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2"/>
        </w:rPr>
        <w:t>Buyer Capacity Diligence Request</w:t>
      </w:r>
    </w:p>
    <w:p>
      <w:pPr>
        <w:pStyle w:val="Subtitle"/>
      </w:pPr>
      <w:r>
        <w:t>Evidence request for CB-2026-041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From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Northstar Models, Inc.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To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Alder Ridge Compute LLC and relevant project entities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Issued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August 10, 2026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Phase 1 requested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August 17, 2026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Phase 2 requested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August 24, 2026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Scope: </w:t>
            </w:r>
            <w:r>
              <w:t>Provide current documents for the provider, campus owner, operator, hardware owner, and any affiliate whose rights are needed to deliver the offered capacity.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550"/>
        <w:gridCol w:w="5660"/>
        <w:gridCol w:w="1450"/>
      </w:tblGrid>
      <w:tr>
        <w:trPr>
          <w:tblHeader w:val="true"/>
          <w:cantSplit/>
        </w:trPr>
        <w:tc>
          <w:tcPr>
            <w:tcW w:type="dxa" w:w="7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6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Request</w:t>
            </w:r>
          </w:p>
        </w:tc>
        <w:tc>
          <w:tcPr>
            <w:tcW w:type="dxa" w:w="14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Target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D-01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Corporate / KYC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Formation, good standing, ownership, beneficial ownership, organization chart, signing authority, and KYC for the provider and relevant affiliates.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D-02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Site control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Title, lease, option, easements, surveys, landlord consents, and all amendments for Blue Mesa AI Campus.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D-03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Permits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Land-use, construction, environmental, fire and life-safety permits; open conditions and inspection status.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D-04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Utility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Executed utility service agreements, amendments, unredacted tariff and energy-price schedules, and 12 months of invoices if available.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D-05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Power ramp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Evidence that 24 MW is deliverable by January 15, 2027, including utility milestones and any bridge supply.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D-06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Electrical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One-line diagrams, load study, transformer and switchgear schedules, redundancy, and commissioning reports.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D-07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Cooling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Design basis, capacity model, latest commissioning report, water or coolant dependencies, and operating limits for the B200 deployment.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D-08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Facility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Current design set, construction schedule, certificates, life-safety evidence, and completion punch list.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D-09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Hardware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BOM, purchase documents, unredacted supplier confirmations, serial inventory, title evidence, liens, and delivery schedule.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D-10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Warranty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OEM and integrator warranties, support agreements, RMA process, and spare-parts plan.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2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D-11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Network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Topology, port map, oversubscription, NorthSpan and other carrier agreements, external capacity, redundancy, and test results.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D-12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Current SOC 2 Type II, physical-security plan, access controls, vulnerability management, incident response, encryption, and audit logging.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D-13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Operations / SLA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Staffing model, operating procedures, availability history, proposed SLA, maintenance policy, monitoring, and acceptance plan.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D-14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Incidents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Material outages, safety events, security incidents, root-cause reports, and corrective actions for the last 24 months.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2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D-15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Capacity commitments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Existing customer or financing commitments that allocate, restrict, or prime the offered GPUs, power, space, or network capacity.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D-16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Commercial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Current offer, price build, pass-through assumptions, term sheet, draft capacity agreement, deposits, credits, and extension terms.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D-17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Financial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Audited or reviewed financial statements, project budget, sources and uses, remaining capex, and liquidity plan.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2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D-18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Financing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Debt and equipment financing documents, collateral, UCC records, consent requirements, defaults, and payoff or release mechanics.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D-19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Insurance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Property, casualty, cyber, technology E&amp;O, business interruption, limits, deductibles, and claims history.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D-20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Disputes / compliance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Litigation, claims, regulatory correspondence, sanctions, export controls, environmental matters, and compliance policies.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2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D-21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Sustainability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Power-source mix, hourly matching claims, certificates, emissions methodology, water use, and environmental reports.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2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D-22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Data handling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Data location, subprocessors, retention, deletion, customer-managed keys, access logs, and data-processing terms.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D-23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Personnel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Key operations, engineering, security, and support personnel; on-call coverage; contractors; and dependency on affiliates.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2</w:t>
            </w:r>
          </w:p>
        </w:tc>
      </w:tr>
      <w:tr>
        <w:trPr>
          <w:cantSplit/>
        </w:trPr>
        <w:tc>
          <w:tcPr>
            <w:tcW w:type="dxa" w:w="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D-24</w:t>
            </w:r>
          </w:p>
        </w:tc>
        <w:tc>
          <w:tcPr>
            <w:tcW w:type="dxa" w:w="1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Consents</w:t>
            </w:r>
          </w:p>
        </w:tc>
        <w:tc>
          <w:tcPr>
            <w:tcW w:type="dxa" w:w="5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All assignment, change-of-control, use, disclosure, notice, and consent provisions relevant to the proposed transaction.</w:t>
            </w:r>
          </w:p>
        </w:tc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Phase 1</w:t>
            </w:r>
          </w:p>
        </w:tc>
      </w:tr>
    </w:tbl>
    <w:p>
      <w:pPr>
        <w:spacing w:after="0"/>
      </w:pPr>
    </w:p>
    <w:p>
      <w:pPr>
        <w:pStyle w:val="Heading1"/>
      </w:pPr>
      <w:r>
        <w:t>Production instructions</w:t>
      </w:r>
    </w:p>
    <w:p>
      <w:pPr>
        <w:ind w:left="173" w:hanging="173"/>
      </w:pPr>
      <w:r>
        <w:rPr>
          <w:b/>
          <w:color w:val="1F4D78"/>
        </w:rPr>
        <w:t xml:space="preserve">Index: </w:t>
      </w:r>
      <w:r>
        <w:t>Map each uploaded document to one or more request IDs and identify the relevant legal entity.</w:t>
      </w:r>
    </w:p>
    <w:p>
      <w:pPr>
        <w:ind w:left="173" w:hanging="173"/>
      </w:pPr>
      <w:r>
        <w:rPr>
          <w:b/>
          <w:color w:val="1F4D78"/>
        </w:rPr>
        <w:t xml:space="preserve">Versions: </w:t>
      </w:r>
      <w:r>
        <w:t>Provide executed and current versions; mark drafts and superseded copies clearly.</w:t>
      </w:r>
    </w:p>
    <w:p>
      <w:pPr>
        <w:ind w:left="173" w:hanging="173"/>
      </w:pPr>
      <w:r>
        <w:rPr>
          <w:b/>
          <w:color w:val="1F4D78"/>
        </w:rPr>
        <w:t xml:space="preserve">Redactions: </w:t>
      </w:r>
      <w:r>
        <w:t>Identify each redaction and its basis. Northstar requests unredacted tariff, supplier provenance, and financing evidence subject to agreed clean-team controls.</w:t>
      </w:r>
    </w:p>
    <w:p>
      <w:pPr>
        <w:ind w:left="173" w:hanging="173"/>
      </w:pPr>
      <w:r>
        <w:rPr>
          <w:b/>
          <w:color w:val="1F4D78"/>
        </w:rPr>
        <w:t xml:space="preserve">Missing items: </w:t>
      </w:r>
      <w:r>
        <w:t>Do not mark a request complete if evidence is unavailable, stale, or only partially responsive.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A73"/>
        <w:sz w:val="16"/>
      </w:rPr>
      <w:t xml:space="preserve">Synthetic benchmark matter - not a real transaction | </w:t>
    </w:r>
    <w:r>
      <w:rPr>
        <w:rFonts w:ascii="Calibri" w:hAnsi="Calibri"/>
        <w:color w:val="5E6A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3" w:color="D7DEE5"/>
      </w:pBdr>
    </w:pPr>
    <w:r>
      <w:rPr>
        <w:b/>
        <w:color w:val="5E6A73"/>
        <w:sz w:val="16"/>
      </w:rPr>
      <w:t>NORTHSTAR MODELS - CAPACITY DILIGENCE REQUEST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compute-bazaar-bench synthetic matter</dc:subject>
  <dc:creator>Adam Sioud</dc:creator>
  <cp:keywords>compute-bazaar-bench, synthetic, CB-2026-041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