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Precedent Data Room Index</w:t>
      </w:r>
    </w:p>
    <w:p>
      <w:pPr>
        <w:pStyle w:val="Subtitle"/>
      </w:pPr>
      <w:r>
        <w:t>Data center development and powered-shell diligence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Precedent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Project Juniper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Use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Structural reference only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November 2025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Precedent warning: </w:t>
            </w:r>
            <w:r>
              <w:t>This precedent is stronger on site and utility diligence but does not cover GPU title, cluster acceptance, or model-training operations.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900"/>
        <w:gridCol w:w="5410"/>
      </w:tblGrid>
      <w:tr>
        <w:trPr>
          <w:tblHeader w:val="true"/>
          <w:cantSplit/>
        </w:trPr>
        <w:tc>
          <w:tcPr>
            <w:tcW w:type="dxa" w:w="10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Heading</w:t>
            </w:r>
          </w:p>
        </w:tc>
        <w:tc>
          <w:tcPr>
            <w:tcW w:type="dxa" w:w="54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Illustrative contents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Ownership and project entities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Organization, authority, project SPVs, joint ventures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2.0</w:t>
            </w:r>
          </w:p>
        </w:tc>
        <w:tc>
          <w:tcPr>
            <w:tcW w:type="dxa" w:w="2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Real estate and site control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Title, leases, options, surveys, easements, zoning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3.0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Power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Utility agreements, interconnection, tariffs, substations, backup generation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4.0</w:t>
            </w:r>
          </w:p>
        </w:tc>
        <w:tc>
          <w:tcPr>
            <w:tcW w:type="dxa" w:w="2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Design and construction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Design set, EPC, schedule, permits, life safety, commissioning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5.0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Cooling and water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Design basis, water rights, capacity, controls, commissioning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6.0</w:t>
            </w:r>
          </w:p>
        </w:tc>
        <w:tc>
          <w:tcPr>
            <w:tcW w:type="dxa" w:w="2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Telecommunications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Fiber routes, carrier agreements, diversity, meet-me rooms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Staffing, maintenance, BMS/DCIM, incidents, emergency response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8.0</w:t>
            </w:r>
          </w:p>
        </w:tc>
        <w:tc>
          <w:tcPr>
            <w:tcW w:type="dxa" w:w="2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Environmental and sustainability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Phase I, permits, water, emissions, energy claims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9.0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Finance, tax, and insurance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Budget, debt, collateral, tax, policies, claims</w:t>
            </w:r>
          </w:p>
        </w:tc>
      </w:tr>
      <w:tr>
        <w:trPr>
          <w:cantSplit/>
        </w:trPr>
        <w:tc>
          <w:tcPr>
            <w:tcW w:type="dxa" w:w="10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10.0</w:t>
            </w:r>
          </w:p>
        </w:tc>
        <w:tc>
          <w:tcPr>
            <w:tcW w:type="dxa" w:w="2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Material contracts and consents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Contract register, assignment, change of control, notices</w:t>
            </w:r>
          </w:p>
        </w:tc>
      </w:tr>
    </w:tbl>
    <w:p>
      <w:pPr>
        <w:spacing w:after="0"/>
      </w:pPr>
    </w:p>
    <w:p>
      <w:pPr>
        <w:pStyle w:val="Heading1"/>
      </w:pPr>
      <w:r>
        <w:t>Population practice</w:t>
      </w:r>
    </w:p>
    <w:p>
      <w:r>
        <w:t>The precedent used a request-to-document cross-reference, one accountable owner per stream, weekly delta releases, and a separate consent tracker. Superseded versions remained archived but were not shown as current.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PRECEDENT INDEX - DATA CENTER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