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Stakeholder Map</w:t>
      </w:r>
    </w:p>
    <w:p>
      <w:pPr>
        <w:pStyle w:val="Subtitle"/>
      </w:pPr>
      <w:r>
        <w:t>Blue Mesa AI Campus / CB-2026-041</w:t>
      </w:r>
    </w:p>
    <w:tbl>
      <w:tblPr>
        <w:tblStyle w:val="TableGrid"/>
        <w:tblW w:type="dxa" w:w="9360"/>
        <w:jc w:val="left"/>
        <w:tblLayout w:type="fixed"/>
        <w:tblLook w:firstColumn="1" w:firstRow="1" w:lastColumn="0" w:lastRow="0" w:noHBand="0" w:noVBand="1" w:val="04A0"/>
        <w:tblInd w:w="120" w:type="dxa"/>
      </w:tblPr>
      <w:tblGrid>
        <w:gridCol w:w="1900"/>
        <w:gridCol w:w="7460"/>
      </w:tblGrid>
      <w:tr>
        <w:trPr>
          <w:cantSplit/>
        </w:trPr>
        <w:tc>
          <w:tcPr>
            <w:tcW w:type="dxa" w:w="1900"/>
            <w:vAlign w:val="center"/>
            <w:tcMar>
              <w:top w:w="80" w:type="dxa"/>
              <w:start w:w="120" w:type="dxa"/>
              <w:bottom w:w="80" w:type="dxa"/>
              <w:end w:w="120" w:type="dxa"/>
            </w:tcMar>
            <w:shd w:fill="E8EEF5"/>
          </w:tcPr>
          <w:p>
            <w:pPr>
              <w:spacing w:after="0"/>
            </w:pPr>
            <w:r>
              <w:rPr>
                <w:b/>
                <w:color w:val="1F4D78"/>
              </w:rPr>
              <w:t>Prepared</w:t>
            </w:r>
          </w:p>
        </w:tc>
        <w:tc>
          <w:tcPr>
            <w:tcW w:type="dxa" w:w="7460"/>
            <w:vAlign w:val="center"/>
            <w:tcMar>
              <w:top w:w="80" w:type="dxa"/>
              <w:start w:w="120" w:type="dxa"/>
              <w:bottom w:w="80" w:type="dxa"/>
              <w:end w:w="120" w:type="dxa"/>
            </w:tcMar>
          </w:tcPr>
          <w:p>
            <w:pPr>
              <w:spacing w:after="0"/>
            </w:pPr>
            <w:r>
              <w:t>August 11, 2026</w:t>
            </w:r>
          </w:p>
        </w:tc>
      </w:tr>
      <w:tr>
        <w:trPr>
          <w:cantSplit/>
        </w:trPr>
        <w:tc>
          <w:tcPr>
            <w:tcW w:type="dxa" w:w="1900"/>
            <w:vAlign w:val="center"/>
            <w:tcMar>
              <w:top w:w="80" w:type="dxa"/>
              <w:start w:w="120" w:type="dxa"/>
              <w:bottom w:w="80" w:type="dxa"/>
              <w:end w:w="120" w:type="dxa"/>
            </w:tcMar>
            <w:shd w:fill="E8EEF5"/>
          </w:tcPr>
          <w:p>
            <w:pPr>
              <w:spacing w:after="0"/>
            </w:pPr>
            <w:r>
              <w:rPr>
                <w:b/>
                <w:color w:val="1F4D78"/>
              </w:rPr>
              <w:t>Prepared by</w:t>
            </w:r>
          </w:p>
        </w:tc>
        <w:tc>
          <w:tcPr>
            <w:tcW w:type="dxa" w:w="7460"/>
            <w:vAlign w:val="center"/>
            <w:tcMar>
              <w:top w:w="80" w:type="dxa"/>
              <w:start w:w="120" w:type="dxa"/>
              <w:bottom w:w="80" w:type="dxa"/>
              <w:end w:w="120" w:type="dxa"/>
            </w:tcMar>
          </w:tcPr>
          <w:p>
            <w:pPr>
              <w:spacing w:after="0"/>
            </w:pPr>
            <w:r>
              <w:t>Tess Ward, Data Room Manager</w:t>
            </w:r>
          </w:p>
        </w:tc>
      </w:tr>
      <w:tr>
        <w:trPr>
          <w:cantSplit/>
        </w:trPr>
        <w:tc>
          <w:tcPr>
            <w:tcW w:type="dxa" w:w="1900"/>
            <w:vAlign w:val="center"/>
            <w:tcMar>
              <w:top w:w="80" w:type="dxa"/>
              <w:start w:w="120" w:type="dxa"/>
              <w:bottom w:w="80" w:type="dxa"/>
              <w:end w:w="120" w:type="dxa"/>
            </w:tcMar>
            <w:shd w:fill="E8EEF5"/>
          </w:tcPr>
          <w:p>
            <w:pPr>
              <w:spacing w:after="0"/>
            </w:pPr>
            <w:r>
              <w:rPr>
                <w:b/>
                <w:color w:val="1F4D78"/>
              </w:rPr>
              <w:t>Status</w:t>
            </w:r>
          </w:p>
        </w:tc>
        <w:tc>
          <w:tcPr>
            <w:tcW w:type="dxa" w:w="7460"/>
            <w:vAlign w:val="center"/>
            <w:tcMar>
              <w:top w:w="80" w:type="dxa"/>
              <w:start w:w="120" w:type="dxa"/>
              <w:bottom w:w="80" w:type="dxa"/>
              <w:end w:w="120" w:type="dxa"/>
            </w:tcMar>
          </w:tcPr>
          <w:p>
            <w:pPr>
              <w:spacing w:after="0"/>
            </w:pPr>
            <w:r>
              <w:t>Working map - confirm entity naming before release</w:t>
            </w:r>
          </w:p>
        </w:tc>
      </w:tr>
    </w:tbl>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2F4F7"/>
          </w:tcPr>
          <w:p>
            <w:pPr>
              <w:spacing w:after="0"/>
            </w:pPr>
            <w:r>
              <w:rPr>
                <w:b/>
                <w:color w:val="1F4D78"/>
              </w:rPr>
              <w:t xml:space="preserve">Synthetic matter: </w:t>
            </w:r>
            <w:r>
              <w:t>All entities and people are fictional.</w:t>
            </w:r>
          </w:p>
        </w:tc>
      </w:tr>
    </w:tbl>
    <w:p>
      <w:pPr>
        <w:spacing w:after="0"/>
      </w:pPr>
    </w:p>
    <w:p>
      <w:pPr>
        <w:pStyle w:val="Heading1"/>
      </w:pPr>
      <w:r>
        <w:t>1. Entity structure</w:t>
      </w:r>
    </w:p>
    <w:tbl>
      <w:tblPr>
        <w:tblStyle w:val="TableGrid"/>
        <w:tblW w:type="dxa" w:w="9360"/>
        <w:jc w:val="left"/>
        <w:tblLayout w:type="fixed"/>
        <w:tblLook w:firstColumn="1" w:firstRow="1" w:lastColumn="0" w:lastRow="0" w:noHBand="0" w:noVBand="1" w:val="04A0"/>
        <w:tblInd w:w="120" w:type="dxa"/>
      </w:tblPr>
      <w:tblGrid>
        <w:gridCol w:w="3000"/>
        <w:gridCol w:w="2200"/>
        <w:gridCol w:w="4160"/>
      </w:tblGrid>
      <w:tr>
        <w:trPr>
          <w:tblHeader w:val="true"/>
          <w:cantSplit/>
        </w:trPr>
        <w:tc>
          <w:tcPr>
            <w:tcW w:type="dxa" w:w="3000"/>
            <w:shd w:fill="1F4D78"/>
            <w:vAlign w:val="center"/>
            <w:tcMar>
              <w:top w:w="80" w:type="dxa"/>
              <w:start w:w="120" w:type="dxa"/>
              <w:bottom w:w="80" w:type="dxa"/>
              <w:end w:w="120" w:type="dxa"/>
            </w:tcMar>
          </w:tcPr>
          <w:p>
            <w:pPr>
              <w:spacing w:after="0"/>
            </w:pPr>
            <w:r>
              <w:rPr>
                <w:b/>
                <w:color w:val="FFFFFF"/>
                <w:sz w:val="18"/>
              </w:rPr>
              <w:t>Entity</w:t>
            </w:r>
          </w:p>
        </w:tc>
        <w:tc>
          <w:tcPr>
            <w:tcW w:type="dxa" w:w="2200"/>
            <w:shd w:fill="1F4D78"/>
            <w:vAlign w:val="center"/>
            <w:tcMar>
              <w:top w:w="80" w:type="dxa"/>
              <w:start w:w="120" w:type="dxa"/>
              <w:bottom w:w="80" w:type="dxa"/>
              <w:end w:w="120" w:type="dxa"/>
            </w:tcMar>
          </w:tcPr>
          <w:p>
            <w:pPr>
              <w:spacing w:after="0"/>
            </w:pPr>
            <w:r>
              <w:rPr>
                <w:b/>
                <w:color w:val="FFFFFF"/>
                <w:sz w:val="18"/>
              </w:rPr>
              <w:t>Relationship</w:t>
            </w:r>
          </w:p>
        </w:tc>
        <w:tc>
          <w:tcPr>
            <w:tcW w:type="dxa" w:w="4160"/>
            <w:shd w:fill="1F4D78"/>
            <w:vAlign w:val="center"/>
            <w:tcMar>
              <w:top w:w="80" w:type="dxa"/>
              <w:start w:w="120" w:type="dxa"/>
              <w:bottom w:w="80" w:type="dxa"/>
              <w:end w:w="120" w:type="dxa"/>
            </w:tcMar>
          </w:tcPr>
          <w:p>
            <w:pPr>
              <w:spacing w:after="0"/>
            </w:pPr>
            <w:r>
              <w:rPr>
                <w:b/>
                <w:color w:val="FFFFFF"/>
                <w:sz w:val="18"/>
              </w:rPr>
              <w:t>Relevant rights or role</w:t>
            </w:r>
          </w:p>
        </w:tc>
      </w:tr>
      <w:tr>
        <w:trPr>
          <w:cantSplit/>
        </w:trPr>
        <w:tc>
          <w:tcPr>
            <w:tcW w:type="dxa" w:w="3000"/>
            <w:vAlign w:val="center"/>
            <w:tcMar>
              <w:top w:w="80" w:type="dxa"/>
              <w:start w:w="120" w:type="dxa"/>
              <w:bottom w:w="80" w:type="dxa"/>
              <w:end w:w="120" w:type="dxa"/>
            </w:tcMar>
          </w:tcPr>
          <w:p>
            <w:pPr>
              <w:spacing w:after="0" w:line="240" w:lineRule="auto"/>
            </w:pPr>
            <w:r>
              <w:rPr>
                <w:sz w:val="18"/>
              </w:rPr>
              <w:t>Alder Ridge Compute Holdings, Inc.</w:t>
            </w:r>
          </w:p>
        </w:tc>
        <w:tc>
          <w:tcPr>
            <w:tcW w:type="dxa" w:w="2200"/>
            <w:vAlign w:val="center"/>
            <w:tcMar>
              <w:top w:w="80" w:type="dxa"/>
              <w:start w:w="120" w:type="dxa"/>
              <w:bottom w:w="80" w:type="dxa"/>
              <w:end w:w="120" w:type="dxa"/>
            </w:tcMar>
          </w:tcPr>
          <w:p>
            <w:pPr>
              <w:spacing w:after="0" w:line="240" w:lineRule="auto"/>
            </w:pPr>
            <w:r>
              <w:rPr>
                <w:sz w:val="18"/>
              </w:rPr>
              <w:t>Parent company</w:t>
            </w:r>
          </w:p>
        </w:tc>
        <w:tc>
          <w:tcPr>
            <w:tcW w:type="dxa" w:w="4160"/>
            <w:vAlign w:val="center"/>
            <w:tcMar>
              <w:top w:w="80" w:type="dxa"/>
              <w:start w:w="120" w:type="dxa"/>
              <w:bottom w:w="80" w:type="dxa"/>
              <w:end w:w="120" w:type="dxa"/>
            </w:tcMar>
          </w:tcPr>
          <w:p>
            <w:pPr>
              <w:spacing w:after="0" w:line="240" w:lineRule="auto"/>
            </w:pPr>
            <w:r>
              <w:rPr>
                <w:sz w:val="18"/>
              </w:rPr>
              <w:t>Group ownership, financing support, board approvals, and proposed parent guarantee</w:t>
            </w:r>
          </w:p>
        </w:tc>
      </w:tr>
      <w:tr>
        <w:trPr>
          <w:cantSplit/>
        </w:trPr>
        <w:tc>
          <w:tcPr>
            <w:tcW w:type="dxa" w:w="3000"/>
            <w:shd w:fill="F8FAFB"/>
            <w:vAlign w:val="center"/>
            <w:tcMar>
              <w:top w:w="80" w:type="dxa"/>
              <w:start w:w="120" w:type="dxa"/>
              <w:bottom w:w="80" w:type="dxa"/>
              <w:end w:w="120" w:type="dxa"/>
            </w:tcMar>
          </w:tcPr>
          <w:p>
            <w:pPr>
              <w:spacing w:after="0" w:line="240" w:lineRule="auto"/>
            </w:pPr>
            <w:r>
              <w:rPr>
                <w:sz w:val="18"/>
              </w:rPr>
              <w:t>Alder Ridge Compute LLC</w:t>
            </w:r>
          </w:p>
        </w:tc>
        <w:tc>
          <w:tcPr>
            <w:tcW w:type="dxa" w:w="2200"/>
            <w:shd w:fill="F8FAFB"/>
            <w:vAlign w:val="center"/>
            <w:tcMar>
              <w:top w:w="80" w:type="dxa"/>
              <w:start w:w="120" w:type="dxa"/>
              <w:bottom w:w="80" w:type="dxa"/>
              <w:end w:w="120" w:type="dxa"/>
            </w:tcMar>
          </w:tcPr>
          <w:p>
            <w:pPr>
              <w:spacing w:after="0" w:line="240" w:lineRule="auto"/>
            </w:pPr>
            <w:r>
              <w:rPr>
                <w:sz w:val="18"/>
              </w:rPr>
              <w:t>Commercial affiliate</w:t>
            </w:r>
          </w:p>
        </w:tc>
        <w:tc>
          <w:tcPr>
            <w:tcW w:type="dxa" w:w="4160"/>
            <w:shd w:fill="F8FAFB"/>
            <w:vAlign w:val="center"/>
            <w:tcMar>
              <w:top w:w="80" w:type="dxa"/>
              <w:start w:w="120" w:type="dxa"/>
              <w:bottom w:w="80" w:type="dxa"/>
              <w:end w:w="120" w:type="dxa"/>
            </w:tcMar>
          </w:tcPr>
          <w:p>
            <w:pPr>
              <w:spacing w:after="0" w:line="240" w:lineRule="auto"/>
            </w:pPr>
            <w:r>
              <w:rPr>
                <w:sz w:val="18"/>
              </w:rPr>
              <w:t>Led buyer discussions and issued the initial offer; not the site or hardware owner</w:t>
            </w:r>
          </w:p>
        </w:tc>
      </w:tr>
      <w:tr>
        <w:trPr>
          <w:cantSplit/>
        </w:trPr>
        <w:tc>
          <w:tcPr>
            <w:tcW w:type="dxa" w:w="3000"/>
            <w:vAlign w:val="center"/>
            <w:tcMar>
              <w:top w:w="80" w:type="dxa"/>
              <w:start w:w="120" w:type="dxa"/>
              <w:bottom w:w="80" w:type="dxa"/>
              <w:end w:w="120" w:type="dxa"/>
            </w:tcMar>
          </w:tcPr>
          <w:p>
            <w:pPr>
              <w:spacing w:after="0" w:line="240" w:lineRule="auto"/>
            </w:pPr>
            <w:r>
              <w:rPr>
                <w:sz w:val="18"/>
              </w:rPr>
              <w:t>Alder Ridge Compute Campus LLC</w:t>
            </w:r>
          </w:p>
        </w:tc>
        <w:tc>
          <w:tcPr>
            <w:tcW w:type="dxa" w:w="2200"/>
            <w:vAlign w:val="center"/>
            <w:tcMar>
              <w:top w:w="80" w:type="dxa"/>
              <w:start w:w="120" w:type="dxa"/>
              <w:bottom w:w="80" w:type="dxa"/>
              <w:end w:w="120" w:type="dxa"/>
            </w:tcMar>
          </w:tcPr>
          <w:p>
            <w:pPr>
              <w:spacing w:after="0" w:line="240" w:lineRule="auto"/>
            </w:pPr>
            <w:r>
              <w:rPr>
                <w:sz w:val="18"/>
              </w:rPr>
              <w:t>Wholly owned project SPV</w:t>
            </w:r>
          </w:p>
        </w:tc>
        <w:tc>
          <w:tcPr>
            <w:tcW w:type="dxa" w:w="4160"/>
            <w:vAlign w:val="center"/>
            <w:tcMar>
              <w:top w:w="80" w:type="dxa"/>
              <w:start w:w="120" w:type="dxa"/>
              <w:bottom w:w="80" w:type="dxa"/>
              <w:end w:w="120" w:type="dxa"/>
            </w:tcMar>
          </w:tcPr>
          <w:p>
            <w:pPr>
              <w:spacing w:after="0" w:line="240" w:lineRule="auto"/>
            </w:pPr>
            <w:r>
              <w:rPr>
                <w:sz w:val="18"/>
              </w:rPr>
              <w:t>Blue Mesa site option, campus permits, utility service agreement, and facility assets</w:t>
            </w:r>
          </w:p>
        </w:tc>
      </w:tr>
      <w:tr>
        <w:trPr>
          <w:cantSplit/>
        </w:trPr>
        <w:tc>
          <w:tcPr>
            <w:tcW w:type="dxa" w:w="3000"/>
            <w:shd w:fill="F8FAFB"/>
            <w:vAlign w:val="center"/>
            <w:tcMar>
              <w:top w:w="80" w:type="dxa"/>
              <w:start w:w="120" w:type="dxa"/>
              <w:bottom w:w="80" w:type="dxa"/>
              <w:end w:w="120" w:type="dxa"/>
            </w:tcMar>
          </w:tcPr>
          <w:p>
            <w:pPr>
              <w:spacing w:after="0" w:line="240" w:lineRule="auto"/>
            </w:pPr>
            <w:r>
              <w:rPr>
                <w:sz w:val="18"/>
              </w:rPr>
              <w:t>Northline Compute Operations LLC</w:t>
            </w:r>
          </w:p>
        </w:tc>
        <w:tc>
          <w:tcPr>
            <w:tcW w:type="dxa" w:w="2200"/>
            <w:shd w:fill="F8FAFB"/>
            <w:vAlign w:val="center"/>
            <w:tcMar>
              <w:top w:w="80" w:type="dxa"/>
              <w:start w:w="120" w:type="dxa"/>
              <w:bottom w:w="80" w:type="dxa"/>
              <w:end w:w="120" w:type="dxa"/>
            </w:tcMar>
          </w:tcPr>
          <w:p>
            <w:pPr>
              <w:spacing w:after="0" w:line="240" w:lineRule="auto"/>
            </w:pPr>
            <w:r>
              <w:rPr>
                <w:sz w:val="18"/>
              </w:rPr>
              <w:t>Wholly owned operating affiliate</w:t>
            </w:r>
          </w:p>
        </w:tc>
        <w:tc>
          <w:tcPr>
            <w:tcW w:type="dxa" w:w="4160"/>
            <w:shd w:fill="F8FAFB"/>
            <w:vAlign w:val="center"/>
            <w:tcMar>
              <w:top w:w="80" w:type="dxa"/>
              <w:start w:w="120" w:type="dxa"/>
              <w:bottom w:w="80" w:type="dxa"/>
              <w:end w:w="120" w:type="dxa"/>
            </w:tcMar>
          </w:tcPr>
          <w:p>
            <w:pPr>
              <w:spacing w:after="0" w:line="240" w:lineRule="auto"/>
            </w:pPr>
            <w:r>
              <w:rPr>
                <w:sz w:val="18"/>
              </w:rPr>
              <w:t>GPU purchase orders and title, operations staff, NorthSpan carrier agreement, and PolarLoop O&amp;M agreement</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BEAEA"/>
          </w:tcPr>
          <w:p>
            <w:pPr>
              <w:spacing w:after="0"/>
            </w:pPr>
            <w:r>
              <w:rPr>
                <w:b/>
                <w:color w:val="9B1C1C"/>
              </w:rPr>
              <w:t xml:space="preserve">Entity issue: </w:t>
            </w:r>
            <w:r>
              <w:t>The buyer request is addressed to Alder Ridge Compute LLC. The room must also cover the project SPV and Northline because those entities hold the rights needed to deliver the capacity.</w:t>
            </w:r>
          </w:p>
        </w:tc>
      </w:tr>
    </w:tbl>
    <w:p>
      <w:pPr>
        <w:spacing w:after="0"/>
      </w:pPr>
    </w:p>
    <w:p>
      <w:pPr>
        <w:pStyle w:val="Heading1"/>
      </w:pPr>
      <w:r>
        <w:t>2. Internal owners</w:t>
      </w:r>
    </w:p>
    <w:tbl>
      <w:tblPr>
        <w:tblStyle w:val="TableGrid"/>
        <w:tblW w:type="dxa" w:w="9360"/>
        <w:jc w:val="left"/>
        <w:tblLayout w:type="fixed"/>
        <w:tblLook w:firstColumn="1" w:firstRow="1" w:lastColumn="0" w:lastRow="0" w:noHBand="0" w:noVBand="1" w:val="04A0"/>
        <w:tblInd w:w="120" w:type="dxa"/>
      </w:tblPr>
      <w:tblGrid>
        <w:gridCol w:w="2150"/>
        <w:gridCol w:w="2750"/>
        <w:gridCol w:w="4460"/>
      </w:tblGrid>
      <w:tr>
        <w:trPr>
          <w:tblHeader w:val="true"/>
          <w:cantSplit/>
        </w:trPr>
        <w:tc>
          <w:tcPr>
            <w:tcW w:type="dxa" w:w="2150"/>
            <w:shd w:fill="1F4D78"/>
            <w:vAlign w:val="center"/>
            <w:tcMar>
              <w:top w:w="80" w:type="dxa"/>
              <w:start w:w="120" w:type="dxa"/>
              <w:bottom w:w="80" w:type="dxa"/>
              <w:end w:w="120" w:type="dxa"/>
            </w:tcMar>
          </w:tcPr>
          <w:p>
            <w:pPr>
              <w:spacing w:after="0"/>
            </w:pPr>
            <w:r>
              <w:rPr>
                <w:b/>
                <w:color w:val="FFFFFF"/>
                <w:sz w:val="18"/>
              </w:rPr>
              <w:t>Person</w:t>
            </w:r>
          </w:p>
        </w:tc>
        <w:tc>
          <w:tcPr>
            <w:tcW w:type="dxa" w:w="2750"/>
            <w:shd w:fill="1F4D78"/>
            <w:vAlign w:val="center"/>
            <w:tcMar>
              <w:top w:w="80" w:type="dxa"/>
              <w:start w:w="120" w:type="dxa"/>
              <w:bottom w:w="80" w:type="dxa"/>
              <w:end w:w="120" w:type="dxa"/>
            </w:tcMar>
          </w:tcPr>
          <w:p>
            <w:pPr>
              <w:spacing w:after="0"/>
            </w:pPr>
            <w:r>
              <w:rPr>
                <w:b/>
                <w:color w:val="FFFFFF"/>
                <w:sz w:val="18"/>
              </w:rPr>
              <w:t>Role</w:t>
            </w:r>
          </w:p>
        </w:tc>
        <w:tc>
          <w:tcPr>
            <w:tcW w:type="dxa" w:w="4460"/>
            <w:shd w:fill="1F4D78"/>
            <w:vAlign w:val="center"/>
            <w:tcMar>
              <w:top w:w="80" w:type="dxa"/>
              <w:start w:w="120" w:type="dxa"/>
              <w:bottom w:w="80" w:type="dxa"/>
              <w:end w:w="120" w:type="dxa"/>
            </w:tcMar>
          </w:tcPr>
          <w:p>
            <w:pPr>
              <w:spacing w:after="0"/>
            </w:pPr>
            <w:r>
              <w:rPr>
                <w:b/>
                <w:color w:val="FFFFFF"/>
                <w:sz w:val="18"/>
              </w:rPr>
              <w:t>Collection responsibility</w:t>
            </w:r>
          </w:p>
        </w:tc>
      </w:tr>
      <w:tr>
        <w:trPr>
          <w:cantSplit/>
        </w:trPr>
        <w:tc>
          <w:tcPr>
            <w:tcW w:type="dxa" w:w="2150"/>
            <w:vAlign w:val="center"/>
            <w:tcMar>
              <w:top w:w="80" w:type="dxa"/>
              <w:start w:w="120" w:type="dxa"/>
              <w:bottom w:w="80" w:type="dxa"/>
              <w:end w:w="120" w:type="dxa"/>
            </w:tcMar>
          </w:tcPr>
          <w:p>
            <w:pPr>
              <w:spacing w:after="0" w:line="240" w:lineRule="auto"/>
            </w:pPr>
            <w:r>
              <w:rPr>
                <w:sz w:val="18"/>
              </w:rPr>
              <w:t>Elena Park</w:t>
            </w:r>
          </w:p>
        </w:tc>
        <w:tc>
          <w:tcPr>
            <w:tcW w:type="dxa" w:w="2750"/>
            <w:vAlign w:val="center"/>
            <w:tcMar>
              <w:top w:w="80" w:type="dxa"/>
              <w:start w:w="120" w:type="dxa"/>
              <w:bottom w:w="80" w:type="dxa"/>
              <w:end w:w="120" w:type="dxa"/>
            </w:tcMar>
          </w:tcPr>
          <w:p>
            <w:pPr>
              <w:spacing w:after="0" w:line="240" w:lineRule="auto"/>
            </w:pPr>
            <w:r>
              <w:rPr>
                <w:sz w:val="18"/>
              </w:rPr>
              <w:t>VP Development / project lead</w:t>
            </w:r>
          </w:p>
        </w:tc>
        <w:tc>
          <w:tcPr>
            <w:tcW w:type="dxa" w:w="4460"/>
            <w:vAlign w:val="center"/>
            <w:tcMar>
              <w:top w:w="80" w:type="dxa"/>
              <w:start w:w="120" w:type="dxa"/>
              <w:bottom w:w="80" w:type="dxa"/>
              <w:end w:w="120" w:type="dxa"/>
            </w:tcMar>
          </w:tcPr>
          <w:p>
            <w:pPr>
              <w:spacing w:after="0" w:line="240" w:lineRule="auto"/>
            </w:pPr>
            <w:r>
              <w:rPr>
                <w:sz w:val="18"/>
              </w:rPr>
              <w:t>Site, utility, construction, permits, and independent engineer</w:t>
            </w:r>
          </w:p>
        </w:tc>
      </w:tr>
      <w:tr>
        <w:trPr>
          <w:cantSplit/>
        </w:trPr>
        <w:tc>
          <w:tcPr>
            <w:tcW w:type="dxa" w:w="2150"/>
            <w:shd w:fill="F8FAFB"/>
            <w:vAlign w:val="center"/>
            <w:tcMar>
              <w:top w:w="80" w:type="dxa"/>
              <w:start w:w="120" w:type="dxa"/>
              <w:bottom w:w="80" w:type="dxa"/>
              <w:end w:w="120" w:type="dxa"/>
            </w:tcMar>
          </w:tcPr>
          <w:p>
            <w:pPr>
              <w:spacing w:after="0" w:line="240" w:lineRule="auto"/>
            </w:pPr>
            <w:r>
              <w:rPr>
                <w:sz w:val="18"/>
              </w:rPr>
              <w:t>Marcus Hale</w:t>
            </w:r>
          </w:p>
        </w:tc>
        <w:tc>
          <w:tcPr>
            <w:tcW w:type="dxa" w:w="2750"/>
            <w:shd w:fill="F8FAFB"/>
            <w:vAlign w:val="center"/>
            <w:tcMar>
              <w:top w:w="80" w:type="dxa"/>
              <w:start w:w="120" w:type="dxa"/>
              <w:bottom w:w="80" w:type="dxa"/>
              <w:end w:w="120" w:type="dxa"/>
            </w:tcMar>
          </w:tcPr>
          <w:p>
            <w:pPr>
              <w:spacing w:after="0" w:line="240" w:lineRule="auto"/>
            </w:pPr>
            <w:r>
              <w:rPr>
                <w:sz w:val="18"/>
              </w:rPr>
              <w:t>Chief Financial Officer</w:t>
            </w:r>
          </w:p>
        </w:tc>
        <w:tc>
          <w:tcPr>
            <w:tcW w:type="dxa" w:w="4460"/>
            <w:shd w:fill="F8FAFB"/>
            <w:vAlign w:val="center"/>
            <w:tcMar>
              <w:top w:w="80" w:type="dxa"/>
              <w:start w:w="120" w:type="dxa"/>
              <w:bottom w:w="80" w:type="dxa"/>
              <w:end w:w="120" w:type="dxa"/>
            </w:tcMar>
          </w:tcPr>
          <w:p>
            <w:pPr>
              <w:spacing w:after="0" w:line="240" w:lineRule="auto"/>
            </w:pPr>
            <w:r>
              <w:rPr>
                <w:sz w:val="18"/>
              </w:rPr>
              <w:t>Financial statements, project budget, financing, insurance, utility pricing approval</w:t>
            </w:r>
          </w:p>
        </w:tc>
      </w:tr>
      <w:tr>
        <w:trPr>
          <w:cantSplit/>
        </w:trPr>
        <w:tc>
          <w:tcPr>
            <w:tcW w:type="dxa" w:w="2150"/>
            <w:vAlign w:val="center"/>
            <w:tcMar>
              <w:top w:w="80" w:type="dxa"/>
              <w:start w:w="120" w:type="dxa"/>
              <w:bottom w:w="80" w:type="dxa"/>
              <w:end w:w="120" w:type="dxa"/>
            </w:tcMar>
          </w:tcPr>
          <w:p>
            <w:pPr>
              <w:spacing w:after="0" w:line="240" w:lineRule="auto"/>
            </w:pPr>
            <w:r>
              <w:rPr>
                <w:sz w:val="18"/>
              </w:rPr>
              <w:t>Rina Solberg</w:t>
            </w:r>
          </w:p>
        </w:tc>
        <w:tc>
          <w:tcPr>
            <w:tcW w:type="dxa" w:w="2750"/>
            <w:vAlign w:val="center"/>
            <w:tcMar>
              <w:top w:w="80" w:type="dxa"/>
              <w:start w:w="120" w:type="dxa"/>
              <w:bottom w:w="80" w:type="dxa"/>
              <w:end w:w="120" w:type="dxa"/>
            </w:tcMar>
          </w:tcPr>
          <w:p>
            <w:pPr>
              <w:spacing w:after="0" w:line="240" w:lineRule="auto"/>
            </w:pPr>
            <w:r>
              <w:rPr>
                <w:sz w:val="18"/>
              </w:rPr>
              <w:t>CTO / Infrastructure</w:t>
            </w:r>
          </w:p>
        </w:tc>
        <w:tc>
          <w:tcPr>
            <w:tcW w:type="dxa" w:w="4460"/>
            <w:vAlign w:val="center"/>
            <w:tcMar>
              <w:top w:w="80" w:type="dxa"/>
              <w:start w:w="120" w:type="dxa"/>
              <w:bottom w:w="80" w:type="dxa"/>
              <w:end w:w="120" w:type="dxa"/>
            </w:tcMar>
          </w:tcPr>
          <w:p>
            <w:pPr>
              <w:spacing w:after="0" w:line="240" w:lineRule="auto"/>
            </w:pPr>
            <w:r>
              <w:rPr>
                <w:sz w:val="18"/>
              </w:rPr>
              <w:t>Hardware, network, cooling, security, acceptance, and operations</w:t>
            </w:r>
          </w:p>
        </w:tc>
      </w:tr>
      <w:tr>
        <w:trPr>
          <w:cantSplit/>
        </w:trPr>
        <w:tc>
          <w:tcPr>
            <w:tcW w:type="dxa" w:w="2150"/>
            <w:shd w:fill="F8FAFB"/>
            <w:vAlign w:val="center"/>
            <w:tcMar>
              <w:top w:w="80" w:type="dxa"/>
              <w:start w:w="120" w:type="dxa"/>
              <w:bottom w:w="80" w:type="dxa"/>
              <w:end w:w="120" w:type="dxa"/>
            </w:tcMar>
          </w:tcPr>
          <w:p>
            <w:pPr>
              <w:spacing w:after="0" w:line="240" w:lineRule="auto"/>
            </w:pPr>
            <w:r>
              <w:rPr>
                <w:sz w:val="18"/>
              </w:rPr>
              <w:t>Owen Mercer</w:t>
            </w:r>
          </w:p>
        </w:tc>
        <w:tc>
          <w:tcPr>
            <w:tcW w:type="dxa" w:w="2750"/>
            <w:shd w:fill="F8FAFB"/>
            <w:vAlign w:val="center"/>
            <w:tcMar>
              <w:top w:w="80" w:type="dxa"/>
              <w:start w:w="120" w:type="dxa"/>
              <w:bottom w:w="80" w:type="dxa"/>
              <w:end w:w="120" w:type="dxa"/>
            </w:tcMar>
          </w:tcPr>
          <w:p>
            <w:pPr>
              <w:spacing w:after="0" w:line="240" w:lineRule="auto"/>
            </w:pPr>
            <w:r>
              <w:rPr>
                <w:sz w:val="18"/>
              </w:rPr>
              <w:t>General Counsel</w:t>
            </w:r>
          </w:p>
        </w:tc>
        <w:tc>
          <w:tcPr>
            <w:tcW w:type="dxa" w:w="4460"/>
            <w:shd w:fill="F8FAFB"/>
            <w:vAlign w:val="center"/>
            <w:tcMar>
              <w:top w:w="80" w:type="dxa"/>
              <w:start w:w="120" w:type="dxa"/>
              <w:bottom w:w="80" w:type="dxa"/>
              <w:end w:w="120" w:type="dxa"/>
            </w:tcMar>
          </w:tcPr>
          <w:p>
            <w:pPr>
              <w:spacing w:after="0" w:line="240" w:lineRule="auto"/>
            </w:pPr>
            <w:r>
              <w:rPr>
                <w:sz w:val="18"/>
              </w:rPr>
              <w:t>Entity scope, contracts, consents, privilege, disputes, and redactions</w:t>
            </w:r>
          </w:p>
        </w:tc>
      </w:tr>
      <w:tr>
        <w:trPr>
          <w:cantSplit/>
        </w:trPr>
        <w:tc>
          <w:tcPr>
            <w:tcW w:type="dxa" w:w="2150"/>
            <w:vAlign w:val="center"/>
            <w:tcMar>
              <w:top w:w="80" w:type="dxa"/>
              <w:start w:w="120" w:type="dxa"/>
              <w:bottom w:w="80" w:type="dxa"/>
              <w:end w:w="120" w:type="dxa"/>
            </w:tcMar>
          </w:tcPr>
          <w:p>
            <w:pPr>
              <w:spacing w:after="0" w:line="240" w:lineRule="auto"/>
            </w:pPr>
            <w:r>
              <w:rPr>
                <w:sz w:val="18"/>
              </w:rPr>
              <w:t>Tess Ward</w:t>
            </w:r>
          </w:p>
        </w:tc>
        <w:tc>
          <w:tcPr>
            <w:tcW w:type="dxa" w:w="2750"/>
            <w:vAlign w:val="center"/>
            <w:tcMar>
              <w:top w:w="80" w:type="dxa"/>
              <w:start w:w="120" w:type="dxa"/>
              <w:bottom w:w="80" w:type="dxa"/>
              <w:end w:w="120" w:type="dxa"/>
            </w:tcMar>
          </w:tcPr>
          <w:p>
            <w:pPr>
              <w:spacing w:after="0" w:line="240" w:lineRule="auto"/>
            </w:pPr>
            <w:r>
              <w:rPr>
                <w:sz w:val="18"/>
              </w:rPr>
              <w:t>Data Room Manager</w:t>
            </w:r>
          </w:p>
        </w:tc>
        <w:tc>
          <w:tcPr>
            <w:tcW w:type="dxa" w:w="4460"/>
            <w:vAlign w:val="center"/>
            <w:tcMar>
              <w:top w:w="80" w:type="dxa"/>
              <w:start w:w="120" w:type="dxa"/>
              <w:bottom w:w="80" w:type="dxa"/>
              <w:end w:w="120" w:type="dxa"/>
            </w:tcMar>
          </w:tcPr>
          <w:p>
            <w:pPr>
              <w:spacing w:after="0" w:line="240" w:lineRule="auto"/>
            </w:pPr>
            <w:r>
              <w:rPr>
                <w:sz w:val="18"/>
              </w:rPr>
              <w:t>Index, request mapping, version control, releases, and issue log</w:t>
            </w:r>
          </w:p>
        </w:tc>
      </w:tr>
      <w:tr>
        <w:trPr>
          <w:cantSplit/>
        </w:trPr>
        <w:tc>
          <w:tcPr>
            <w:tcW w:type="dxa" w:w="2150"/>
            <w:shd w:fill="F8FAFB"/>
            <w:vAlign w:val="center"/>
            <w:tcMar>
              <w:top w:w="80" w:type="dxa"/>
              <w:start w:w="120" w:type="dxa"/>
              <w:bottom w:w="80" w:type="dxa"/>
              <w:end w:w="120" w:type="dxa"/>
            </w:tcMar>
          </w:tcPr>
          <w:p>
            <w:pPr>
              <w:spacing w:after="0" w:line="240" w:lineRule="auto"/>
            </w:pPr>
            <w:r>
              <w:rPr>
                <w:sz w:val="18"/>
              </w:rPr>
              <w:t>Ava Ruiz</w:t>
            </w:r>
          </w:p>
        </w:tc>
        <w:tc>
          <w:tcPr>
            <w:tcW w:type="dxa" w:w="2750"/>
            <w:shd w:fill="F8FAFB"/>
            <w:vAlign w:val="center"/>
            <w:tcMar>
              <w:top w:w="80" w:type="dxa"/>
              <w:start w:w="120" w:type="dxa"/>
              <w:bottom w:w="80" w:type="dxa"/>
              <w:end w:w="120" w:type="dxa"/>
            </w:tcMar>
          </w:tcPr>
          <w:p>
            <w:pPr>
              <w:spacing w:after="0" w:line="240" w:lineRule="auto"/>
            </w:pPr>
            <w:r>
              <w:rPr>
                <w:sz w:val="18"/>
              </w:rPr>
              <w:t>Commercial Director</w:t>
            </w:r>
          </w:p>
        </w:tc>
        <w:tc>
          <w:tcPr>
            <w:tcW w:type="dxa" w:w="4460"/>
            <w:shd w:fill="F8FAFB"/>
            <w:vAlign w:val="center"/>
            <w:tcMar>
              <w:top w:w="80" w:type="dxa"/>
              <w:start w:w="120" w:type="dxa"/>
              <w:bottom w:w="80" w:type="dxa"/>
              <w:end w:w="120" w:type="dxa"/>
            </w:tcMar>
          </w:tcPr>
          <w:p>
            <w:pPr>
              <w:spacing w:after="0" w:line="240" w:lineRule="auto"/>
            </w:pPr>
            <w:r>
              <w:rPr>
                <w:sz w:val="18"/>
              </w:rPr>
              <w:t>Buyer mandate, offer, pricing, term sheet, and capacity agreement</w:t>
            </w:r>
          </w:p>
        </w:tc>
      </w:tr>
    </w:tbl>
    <w:p>
      <w:pPr>
        <w:spacing w:after="0"/>
      </w:pPr>
    </w:p>
    <w:p>
      <w:pPr>
        <w:pStyle w:val="Heading1"/>
      </w:pPr>
      <w:r>
        <w:t>3. External coordination</w:t>
      </w:r>
    </w:p>
    <w:tbl>
      <w:tblPr>
        <w:tblStyle w:val="TableGrid"/>
        <w:tblW w:type="dxa" w:w="9360"/>
        <w:jc w:val="left"/>
        <w:tblLayout w:type="fixed"/>
        <w:tblLook w:firstColumn="1" w:firstRow="1" w:lastColumn="0" w:lastRow="0" w:noHBand="0" w:noVBand="1" w:val="04A0"/>
        <w:tblInd w:w="120" w:type="dxa"/>
      </w:tblPr>
      <w:tblGrid>
        <w:gridCol w:w="2750"/>
        <w:gridCol w:w="2300"/>
        <w:gridCol w:w="4310"/>
      </w:tblGrid>
      <w:tr>
        <w:trPr>
          <w:tblHeader w:val="true"/>
          <w:cantSplit/>
        </w:trPr>
        <w:tc>
          <w:tcPr>
            <w:tcW w:type="dxa" w:w="2750"/>
            <w:shd w:fill="1F4D78"/>
            <w:vAlign w:val="center"/>
            <w:tcMar>
              <w:top w:w="80" w:type="dxa"/>
              <w:start w:w="120" w:type="dxa"/>
              <w:bottom w:w="80" w:type="dxa"/>
              <w:end w:w="120" w:type="dxa"/>
            </w:tcMar>
          </w:tcPr>
          <w:p>
            <w:pPr>
              <w:spacing w:after="0"/>
            </w:pPr>
            <w:r>
              <w:rPr>
                <w:b/>
                <w:color w:val="FFFFFF"/>
                <w:sz w:val="18"/>
              </w:rPr>
              <w:t>Party</w:t>
            </w:r>
          </w:p>
        </w:tc>
        <w:tc>
          <w:tcPr>
            <w:tcW w:type="dxa" w:w="2300"/>
            <w:shd w:fill="1F4D78"/>
            <w:vAlign w:val="center"/>
            <w:tcMar>
              <w:top w:w="80" w:type="dxa"/>
              <w:start w:w="120" w:type="dxa"/>
              <w:bottom w:w="80" w:type="dxa"/>
              <w:end w:w="120" w:type="dxa"/>
            </w:tcMar>
          </w:tcPr>
          <w:p>
            <w:pPr>
              <w:spacing w:after="0"/>
            </w:pPr>
            <w:r>
              <w:rPr>
                <w:b/>
                <w:color w:val="FFFFFF"/>
                <w:sz w:val="18"/>
              </w:rPr>
              <w:t>Role</w:t>
            </w:r>
          </w:p>
        </w:tc>
        <w:tc>
          <w:tcPr>
            <w:tcW w:type="dxa" w:w="4310"/>
            <w:shd w:fill="1F4D78"/>
            <w:vAlign w:val="center"/>
            <w:tcMar>
              <w:top w:w="80" w:type="dxa"/>
              <w:start w:w="120" w:type="dxa"/>
              <w:bottom w:w="80" w:type="dxa"/>
              <w:end w:w="120" w:type="dxa"/>
            </w:tcMar>
          </w:tcPr>
          <w:p>
            <w:pPr>
              <w:spacing w:after="0"/>
            </w:pPr>
            <w:r>
              <w:rPr>
                <w:b/>
                <w:color w:val="FFFFFF"/>
                <w:sz w:val="18"/>
              </w:rPr>
              <w:t>Primary contact / evidence</w:t>
            </w:r>
          </w:p>
        </w:tc>
      </w:tr>
      <w:tr>
        <w:trPr>
          <w:cantSplit/>
        </w:trPr>
        <w:tc>
          <w:tcPr>
            <w:tcW w:type="dxa" w:w="2750"/>
            <w:vAlign w:val="center"/>
            <w:tcMar>
              <w:top w:w="80" w:type="dxa"/>
              <w:start w:w="120" w:type="dxa"/>
              <w:bottom w:w="80" w:type="dxa"/>
              <w:end w:w="120" w:type="dxa"/>
            </w:tcMar>
          </w:tcPr>
          <w:p>
            <w:pPr>
              <w:spacing w:after="0" w:line="240" w:lineRule="auto"/>
            </w:pPr>
            <w:r>
              <w:rPr>
                <w:sz w:val="18"/>
              </w:rPr>
              <w:t>Hart &amp; Vale LLP</w:t>
            </w:r>
          </w:p>
        </w:tc>
        <w:tc>
          <w:tcPr>
            <w:tcW w:type="dxa" w:w="2300"/>
            <w:vAlign w:val="center"/>
            <w:tcMar>
              <w:top w:w="80" w:type="dxa"/>
              <w:start w:w="120" w:type="dxa"/>
              <w:bottom w:w="80" w:type="dxa"/>
              <w:end w:w="120" w:type="dxa"/>
            </w:tcMar>
          </w:tcPr>
          <w:p>
            <w:pPr>
              <w:spacing w:after="0" w:line="240" w:lineRule="auto"/>
            </w:pPr>
            <w:r>
              <w:rPr>
                <w:sz w:val="18"/>
              </w:rPr>
              <w:t>Outside transaction counsel</w:t>
            </w:r>
          </w:p>
        </w:tc>
        <w:tc>
          <w:tcPr>
            <w:tcW w:type="dxa" w:w="4310"/>
            <w:vAlign w:val="center"/>
            <w:tcMar>
              <w:top w:w="80" w:type="dxa"/>
              <w:start w:w="120" w:type="dxa"/>
              <w:bottom w:w="80" w:type="dxa"/>
              <w:end w:w="120" w:type="dxa"/>
            </w:tcMar>
          </w:tcPr>
          <w:p>
            <w:pPr>
              <w:spacing w:after="0" w:line="240" w:lineRule="auto"/>
            </w:pPr>
            <w:r>
              <w:rPr>
                <w:sz w:val="18"/>
              </w:rPr>
              <w:t>Nadia Hart - contracts, consents, privilege, and disclosure review</w:t>
            </w:r>
          </w:p>
        </w:tc>
      </w:tr>
      <w:tr>
        <w:trPr>
          <w:cantSplit/>
        </w:trPr>
        <w:tc>
          <w:tcPr>
            <w:tcW w:type="dxa" w:w="2750"/>
            <w:shd w:fill="F8FAFB"/>
            <w:vAlign w:val="center"/>
            <w:tcMar>
              <w:top w:w="80" w:type="dxa"/>
              <w:start w:w="120" w:type="dxa"/>
              <w:bottom w:w="80" w:type="dxa"/>
              <w:end w:w="120" w:type="dxa"/>
            </w:tcMar>
          </w:tcPr>
          <w:p>
            <w:pPr>
              <w:spacing w:after="0" w:line="240" w:lineRule="auto"/>
            </w:pPr>
            <w:r>
              <w:rPr>
                <w:sz w:val="18"/>
              </w:rPr>
              <w:t>Granite Plains Electric Cooperative</w:t>
            </w:r>
          </w:p>
        </w:tc>
        <w:tc>
          <w:tcPr>
            <w:tcW w:type="dxa" w:w="2300"/>
            <w:shd w:fill="F8FAFB"/>
            <w:vAlign w:val="center"/>
            <w:tcMar>
              <w:top w:w="80" w:type="dxa"/>
              <w:start w:w="120" w:type="dxa"/>
              <w:bottom w:w="80" w:type="dxa"/>
              <w:end w:w="120" w:type="dxa"/>
            </w:tcMar>
          </w:tcPr>
          <w:p>
            <w:pPr>
              <w:spacing w:after="0" w:line="240" w:lineRule="auto"/>
            </w:pPr>
            <w:r>
              <w:rPr>
                <w:sz w:val="18"/>
              </w:rPr>
              <w:t>Utility</w:t>
            </w:r>
          </w:p>
        </w:tc>
        <w:tc>
          <w:tcPr>
            <w:tcW w:type="dxa" w:w="4310"/>
            <w:shd w:fill="F8FAFB"/>
            <w:vAlign w:val="center"/>
            <w:tcMar>
              <w:top w:w="80" w:type="dxa"/>
              <w:start w:w="120" w:type="dxa"/>
              <w:bottom w:w="80" w:type="dxa"/>
              <w:end w:w="120" w:type="dxa"/>
            </w:tcMar>
          </w:tcPr>
          <w:p>
            <w:pPr>
              <w:spacing w:after="0" w:line="240" w:lineRule="auto"/>
            </w:pPr>
            <w:r>
              <w:rPr>
                <w:sz w:val="18"/>
              </w:rPr>
              <w:t>Jordan Bell - service milestones, tariff, invoices, and load study</w:t>
            </w:r>
          </w:p>
        </w:tc>
      </w:tr>
      <w:tr>
        <w:trPr>
          <w:cantSplit/>
        </w:trPr>
        <w:tc>
          <w:tcPr>
            <w:tcW w:type="dxa" w:w="2750"/>
            <w:vAlign w:val="center"/>
            <w:tcMar>
              <w:top w:w="80" w:type="dxa"/>
              <w:start w:w="120" w:type="dxa"/>
              <w:bottom w:w="80" w:type="dxa"/>
              <w:end w:w="120" w:type="dxa"/>
            </w:tcMar>
          </w:tcPr>
          <w:p>
            <w:pPr>
              <w:spacing w:after="0" w:line="240" w:lineRule="auto"/>
            </w:pPr>
            <w:r>
              <w:rPr>
                <w:sz w:val="18"/>
              </w:rPr>
              <w:t>NorthSpan Fiber</w:t>
            </w:r>
          </w:p>
        </w:tc>
        <w:tc>
          <w:tcPr>
            <w:tcW w:type="dxa" w:w="2300"/>
            <w:vAlign w:val="center"/>
            <w:tcMar>
              <w:top w:w="80" w:type="dxa"/>
              <w:start w:w="120" w:type="dxa"/>
              <w:bottom w:w="80" w:type="dxa"/>
              <w:end w:w="120" w:type="dxa"/>
            </w:tcMar>
          </w:tcPr>
          <w:p>
            <w:pPr>
              <w:spacing w:after="0" w:line="240" w:lineRule="auto"/>
            </w:pPr>
            <w:r>
              <w:rPr>
                <w:sz w:val="18"/>
              </w:rPr>
              <w:t>Carrier</w:t>
            </w:r>
          </w:p>
        </w:tc>
        <w:tc>
          <w:tcPr>
            <w:tcW w:type="dxa" w:w="4310"/>
            <w:vAlign w:val="center"/>
            <w:tcMar>
              <w:top w:w="80" w:type="dxa"/>
              <w:start w:w="120" w:type="dxa"/>
              <w:bottom w:w="80" w:type="dxa"/>
              <w:end w:w="120" w:type="dxa"/>
            </w:tcMar>
          </w:tcPr>
          <w:p>
            <w:pPr>
              <w:spacing w:after="0" w:line="240" w:lineRule="auto"/>
            </w:pPr>
            <w:r>
              <w:rPr>
                <w:sz w:val="18"/>
              </w:rPr>
              <w:t>Priya Nair - network agreement, delivery order, and test evidence</w:t>
            </w:r>
          </w:p>
        </w:tc>
      </w:tr>
      <w:tr>
        <w:trPr>
          <w:cantSplit/>
        </w:trPr>
        <w:tc>
          <w:tcPr>
            <w:tcW w:type="dxa" w:w="2750"/>
            <w:shd w:fill="F8FAFB"/>
            <w:vAlign w:val="center"/>
            <w:tcMar>
              <w:top w:w="80" w:type="dxa"/>
              <w:start w:w="120" w:type="dxa"/>
              <w:bottom w:w="80" w:type="dxa"/>
              <w:end w:w="120" w:type="dxa"/>
            </w:tcMar>
          </w:tcPr>
          <w:p>
            <w:pPr>
              <w:spacing w:after="0" w:line="240" w:lineRule="auto"/>
            </w:pPr>
            <w:r>
              <w:rPr>
                <w:sz w:val="18"/>
              </w:rPr>
              <w:t>Crestline Infrastructure Credit</w:t>
            </w:r>
          </w:p>
        </w:tc>
        <w:tc>
          <w:tcPr>
            <w:tcW w:type="dxa" w:w="2300"/>
            <w:shd w:fill="F8FAFB"/>
            <w:vAlign w:val="center"/>
            <w:tcMar>
              <w:top w:w="80" w:type="dxa"/>
              <w:start w:w="120" w:type="dxa"/>
              <w:bottom w:w="80" w:type="dxa"/>
              <w:end w:w="120" w:type="dxa"/>
            </w:tcMar>
          </w:tcPr>
          <w:p>
            <w:pPr>
              <w:spacing w:after="0" w:line="240" w:lineRule="auto"/>
            </w:pPr>
            <w:r>
              <w:rPr>
                <w:sz w:val="18"/>
              </w:rPr>
              <w:t>Equipment lender</w:t>
            </w:r>
          </w:p>
        </w:tc>
        <w:tc>
          <w:tcPr>
            <w:tcW w:type="dxa" w:w="4310"/>
            <w:shd w:fill="F8FAFB"/>
            <w:vAlign w:val="center"/>
            <w:tcMar>
              <w:top w:w="80" w:type="dxa"/>
              <w:start w:w="120" w:type="dxa"/>
              <w:bottom w:w="80" w:type="dxa"/>
              <w:end w:w="120" w:type="dxa"/>
            </w:tcMar>
          </w:tcPr>
          <w:p>
            <w:pPr>
              <w:spacing w:after="0" w:line="240" w:lineRule="auto"/>
            </w:pPr>
            <w:r>
              <w:rPr>
                <w:sz w:val="18"/>
              </w:rPr>
              <w:t>Samuel Frost - collateral, UCC filings, consent, and release mechanics</w:t>
            </w:r>
          </w:p>
        </w:tc>
      </w:tr>
      <w:tr>
        <w:trPr>
          <w:cantSplit/>
        </w:trPr>
        <w:tc>
          <w:tcPr>
            <w:tcW w:type="dxa" w:w="2750"/>
            <w:vAlign w:val="center"/>
            <w:tcMar>
              <w:top w:w="80" w:type="dxa"/>
              <w:start w:w="120" w:type="dxa"/>
              <w:bottom w:w="80" w:type="dxa"/>
              <w:end w:w="120" w:type="dxa"/>
            </w:tcMar>
          </w:tcPr>
          <w:p>
            <w:pPr>
              <w:spacing w:after="0" w:line="240" w:lineRule="auto"/>
            </w:pPr>
            <w:r>
              <w:rPr>
                <w:sz w:val="18"/>
              </w:rPr>
              <w:t>Kestrel Infrastructure Advisory</w:t>
            </w:r>
          </w:p>
        </w:tc>
        <w:tc>
          <w:tcPr>
            <w:tcW w:type="dxa" w:w="2300"/>
            <w:vAlign w:val="center"/>
            <w:tcMar>
              <w:top w:w="80" w:type="dxa"/>
              <w:start w:w="120" w:type="dxa"/>
              <w:bottom w:w="80" w:type="dxa"/>
              <w:end w:w="120" w:type="dxa"/>
            </w:tcMar>
          </w:tcPr>
          <w:p>
            <w:pPr>
              <w:spacing w:after="0" w:line="240" w:lineRule="auto"/>
            </w:pPr>
            <w:r>
              <w:rPr>
                <w:sz w:val="18"/>
              </w:rPr>
              <w:t>Independent engineer</w:t>
            </w:r>
          </w:p>
        </w:tc>
        <w:tc>
          <w:tcPr>
            <w:tcW w:type="dxa" w:w="4310"/>
            <w:vAlign w:val="center"/>
            <w:tcMar>
              <w:top w:w="80" w:type="dxa"/>
              <w:start w:w="120" w:type="dxa"/>
              <w:bottom w:w="80" w:type="dxa"/>
              <w:end w:w="120" w:type="dxa"/>
            </w:tcMar>
          </w:tcPr>
          <w:p>
            <w:pPr>
              <w:spacing w:after="0" w:line="240" w:lineRule="auto"/>
            </w:pPr>
            <w:r>
              <w:rPr>
                <w:sz w:val="18"/>
              </w:rPr>
              <w:t>Leah Kim - cooling and facility commissioning refresh</w:t>
            </w:r>
          </w:p>
        </w:tc>
      </w:tr>
      <w:tr>
        <w:trPr>
          <w:cantSplit/>
        </w:trPr>
        <w:tc>
          <w:tcPr>
            <w:tcW w:type="dxa" w:w="2750"/>
            <w:shd w:fill="F8FAFB"/>
            <w:vAlign w:val="center"/>
            <w:tcMar>
              <w:top w:w="80" w:type="dxa"/>
              <w:start w:w="120" w:type="dxa"/>
              <w:bottom w:w="80" w:type="dxa"/>
              <w:end w:w="120" w:type="dxa"/>
            </w:tcMar>
          </w:tcPr>
          <w:p>
            <w:pPr>
              <w:spacing w:after="0" w:line="240" w:lineRule="auto"/>
            </w:pPr>
            <w:r>
              <w:rPr>
                <w:sz w:val="18"/>
              </w:rPr>
              <w:t>PolarLoop Services</w:t>
            </w:r>
          </w:p>
        </w:tc>
        <w:tc>
          <w:tcPr>
            <w:tcW w:type="dxa" w:w="2300"/>
            <w:shd w:fill="F8FAFB"/>
            <w:vAlign w:val="center"/>
            <w:tcMar>
              <w:top w:w="80" w:type="dxa"/>
              <w:start w:w="120" w:type="dxa"/>
              <w:bottom w:w="80" w:type="dxa"/>
              <w:end w:w="120" w:type="dxa"/>
            </w:tcMar>
          </w:tcPr>
          <w:p>
            <w:pPr>
              <w:spacing w:after="0" w:line="240" w:lineRule="auto"/>
            </w:pPr>
            <w:r>
              <w:rPr>
                <w:sz w:val="18"/>
              </w:rPr>
              <w:t>Cooling O&amp;M provider</w:t>
            </w:r>
          </w:p>
        </w:tc>
        <w:tc>
          <w:tcPr>
            <w:tcW w:type="dxa" w:w="4310"/>
            <w:shd w:fill="F8FAFB"/>
            <w:vAlign w:val="center"/>
            <w:tcMar>
              <w:top w:w="80" w:type="dxa"/>
              <w:start w:w="120" w:type="dxa"/>
              <w:bottom w:w="80" w:type="dxa"/>
              <w:end w:w="120" w:type="dxa"/>
            </w:tcMar>
          </w:tcPr>
          <w:p>
            <w:pPr>
              <w:spacing w:after="0" w:line="240" w:lineRule="auto"/>
            </w:pPr>
            <w:r>
              <w:rPr>
                <w:sz w:val="18"/>
              </w:rPr>
              <w:t>Amir Patel - O&amp;M agreement and operating records</w:t>
            </w:r>
          </w:p>
        </w:tc>
      </w:tr>
    </w:tbl>
    <w:p>
      <w:pPr>
        <w:spacing w:after="0"/>
      </w:pPr>
    </w:p>
    <w:sectPr w:rsidR="00FC693F" w:rsidRPr="0006063C" w:rsidSect="00034616">
      <w:headerReference w:type="default" r:id="rId9"/>
      <w:footerReference w:type="default" r:id="rId10"/>
      <w:pgSz w:w="12240" w:h="15840"/>
      <w:pgMar w:top="1181" w:right="1440" w:bottom="1181"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E6A73"/>
        <w:sz w:val="16"/>
      </w:rPr>
      <w:t xml:space="preserve">Synthetic benchmark matter - not a real transaction | </w:t>
    </w:r>
    <w:r>
      <w:rPr>
        <w:rFonts w:ascii="Calibri" w:hAnsi="Calibri"/>
        <w:color w:val="5E6A73"/>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40"/>
      <w:pBdr>
        <w:bottom w:val="single" w:sz="6" w:space="3" w:color="D7DEE5"/>
      </w:pBdr>
    </w:pPr>
    <w:r>
      <w:rPr>
        <w:b/>
        <w:color w:val="5E6A73"/>
        <w:sz w:val="16"/>
      </w:rPr>
      <w:t>ALDER RIDGE - PROJECT STAKEHOLDER 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10" w:line="264" w:lineRule="auto"/>
    </w:pPr>
    <w:rPr>
      <w:rFonts w:ascii="Calibri" w:hAnsi="Calibri"/>
      <w:color w:val="17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1F4D78"/>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Calibri" w:hAnsi="Calibri"/>
      <w:b/>
      <w:color w:val="17212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5E6A73"/>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compute-bazaar-bench synthetic matter</dc:subject>
  <dc:creator>Adam Sioud</dc:creator>
  <cp:keywords>compute-bazaar-bench, synthetic, CB-2026-041</cp:keywords>
  <dc:description>generated by python-docx</dc:description>
  <cp:lastModifiedBy/>
  <cp:revision>1</cp:revision>
  <dcterms:created xsi:type="dcterms:W3CDTF">2013-12-23T23:15:00Z</dcterms:created>
  <dcterms:modified xsi:type="dcterms:W3CDTF">2013-12-23T23:15:00Z</dcterms:modified>
  <cp:category/>
</cp:coreProperties>
</file>