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2"/>
        </w:rPr>
        <w:t>Workload and Cluster Requirements</w:t>
      </w:r>
    </w:p>
    <w:p>
      <w:pPr>
        <w:pStyle w:val="Subtitle"/>
      </w:pPr>
      <w:r>
        <w:t>Engineering requirements for CB-2026-041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Owner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Jonas Reed, Principal ML Systems Engineer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Version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1.3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Issued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August 4, 2026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Scope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1,024-GPU firm deployment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Synthetic matter: </w:t>
            </w:r>
            <w:r>
              <w:t>This benchmark document describes a fictional buyer and workload.</w:t>
            </w:r>
          </w:p>
        </w:tc>
      </w:tr>
    </w:tbl>
    <w:p>
      <w:pPr>
        <w:spacing w:after="0"/>
      </w:pPr>
    </w:p>
    <w:p>
      <w:pPr>
        <w:pStyle w:val="Heading1"/>
      </w:pPr>
      <w:r>
        <w:t>1. Workload profile</w:t>
      </w:r>
    </w:p>
    <w:p>
      <w:r>
        <w:t>The cluster will run sustained multimodal model pretraining, followed by fine-tuning and evaluation. Training jobs may occupy the full cluster for several days. Checkpoint recovery, collective performance, and predictable maintenance windows matter more than burst elasticity.</w:t>
      </w:r>
    </w:p>
    <w:p>
      <w:pPr>
        <w:pStyle w:val="Heading1"/>
      </w:pPr>
      <w:r>
        <w:t>2. Compute and software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00"/>
        <w:gridCol w:w="3560"/>
      </w:tblGrid>
      <w:tr>
        <w:trPr>
          <w:tblHeader w:val="true"/>
          <w:cantSplit/>
        </w:trPr>
        <w:tc>
          <w:tcPr>
            <w:tcW w:type="dxa" w:w="21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7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3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Preference or note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Accelerators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1,024 NVIDIA B200 SXM GPUs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No prior-generation substitution</w:t>
            </w:r>
          </w:p>
        </w:tc>
      </w:tr>
      <w:tr>
        <w:trPr>
          <w:cantSplit/>
        </w:trPr>
        <w:tc>
          <w:tcPr>
            <w:tcW w:type="dxa" w:w="21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Node shape</w:t>
            </w:r>
          </w:p>
        </w:tc>
        <w:tc>
          <w:tcPr>
            <w:tcW w:type="dxa" w:w="3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128 dedicated HGX B200 nodes, eight GPUs each</w:t>
            </w:r>
          </w:p>
        </w:tc>
        <w:tc>
          <w:tcPr>
            <w:tcW w:type="dxa" w:w="3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Homogeneous node fleet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Virtualization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No shared or fractional GPU service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Buyer may use its own scheduler</w:t>
            </w:r>
          </w:p>
        </w:tc>
      </w:tr>
      <w:tr>
        <w:trPr>
          <w:cantSplit/>
        </w:trPr>
        <w:tc>
          <w:tcPr>
            <w:tcW w:type="dxa" w:w="21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Software</w:t>
            </w:r>
          </w:p>
        </w:tc>
        <w:tc>
          <w:tcPr>
            <w:tcW w:type="dxa" w:w="3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Buyer image compatible with CUDA 13 toolchain</w:t>
            </w:r>
          </w:p>
        </w:tc>
        <w:tc>
          <w:tcPr>
            <w:tcW w:type="dxa" w:w="3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Provider supplies validated driver and firmware matrix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Configuration change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Northstar written consent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Applies to GPU generation and material node changes</w:t>
            </w:r>
          </w:p>
        </w:tc>
      </w:tr>
    </w:tbl>
    <w:p>
      <w:pPr>
        <w:spacing w:after="0"/>
      </w:pPr>
    </w:p>
    <w:p>
      <w:pPr>
        <w:pStyle w:val="Heading1"/>
      </w:pPr>
      <w:r>
        <w:t>3. Fabric, ingress, and storage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3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2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Evidence expected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Scale-up/scale-out fabric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At least one 400 Gb/s endpoint per GPU; dual-rail 800 Gb/s preferred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Topology, port map, oversubscription statement, and burn-in results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External ingress</w:t>
            </w:r>
          </w:p>
        </w:tc>
        <w:tc>
          <w:tcPr>
            <w:tcW w:type="dxa" w:w="43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At least 200 Gb/s committed; 400 Gb/s preferred</w:t>
            </w:r>
          </w:p>
        </w:tc>
        <w:tc>
          <w:tcPr>
            <w:tcW w:type="dxa" w:w="32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Carrier order and test result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Shared storage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6 PiB usable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Capacity and protection-policy statement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Read throughput</w:t>
            </w:r>
          </w:p>
        </w:tc>
        <w:tc>
          <w:tcPr>
            <w:tcW w:type="dxa" w:w="43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1.2 TB/s aggregate sustained</w:t>
            </w:r>
          </w:p>
        </w:tc>
        <w:tc>
          <w:tcPr>
            <w:tcW w:type="dxa" w:w="32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Representative benchmark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Write throughput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800 GB/s aggregate sustained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Representative benchmark</w:t>
            </w:r>
          </w:p>
        </w:tc>
      </w:tr>
    </w:tbl>
    <w:p>
      <w:pPr>
        <w:spacing w:after="0"/>
      </w:pPr>
    </w:p>
    <w:p>
      <w:pPr>
        <w:pStyle w:val="Heading1"/>
      </w:pPr>
      <w:r>
        <w:t>4. Availability and maintenance</w:t>
      </w:r>
    </w:p>
    <w:p>
      <w:pPr>
        <w:ind w:left="173" w:hanging="173"/>
      </w:pPr>
      <w:r>
        <w:rPr>
          <w:b/>
          <w:color w:val="1F4D78"/>
        </w:rPr>
        <w:t xml:space="preserve">Cluster availability: </w:t>
      </w:r>
      <w:r>
        <w:t>At least 99.5% per calendar month, measured across accepted GPUs</w:t>
      </w:r>
    </w:p>
    <w:p>
      <w:pPr>
        <w:ind w:left="173" w:hanging="173"/>
      </w:pPr>
      <w:r>
        <w:rPr>
          <w:b/>
          <w:color w:val="1F4D78"/>
        </w:rPr>
        <w:t xml:space="preserve">Planned maintenance: </w:t>
      </w:r>
      <w:r>
        <w:t>No more than eight hours per month</w:t>
      </w:r>
    </w:p>
    <w:p>
      <w:pPr>
        <w:ind w:left="173" w:hanging="173"/>
      </w:pPr>
      <w:r>
        <w:rPr>
          <w:b/>
          <w:color w:val="1F4D78"/>
        </w:rPr>
        <w:t xml:space="preserve">Notice: </w:t>
      </w:r>
      <w:r>
        <w:t>At least seven days before planned maintenance</w:t>
      </w:r>
    </w:p>
    <w:p>
      <w:pPr>
        <w:ind w:left="173" w:hanging="173"/>
      </w:pPr>
      <w:r>
        <w:rPr>
          <w:b/>
          <w:color w:val="1F4D78"/>
        </w:rPr>
        <w:t xml:space="preserve">Incidents: </w:t>
      </w:r>
      <w:r>
        <w:t>Severity classification, status communications, root-cause analysis, and corrective action for material events</w:t>
      </w:r>
    </w:p>
    <w:p>
      <w:pPr>
        <w:pStyle w:val="Heading1"/>
      </w:pPr>
      <w:r>
        <w:t>5. Acceptance</w:t>
      </w:r>
    </w:p>
    <w:p>
      <w:pPr>
        <w:ind w:left="173" w:hanging="173"/>
      </w:pPr>
      <w:r>
        <w:rPr>
          <w:b/>
          <w:color w:val="1F4D78"/>
        </w:rPr>
        <w:t xml:space="preserve">Burn-in: </w:t>
      </w:r>
      <w:r>
        <w:t>72 continuous hours after each tranche is ready</w:t>
      </w:r>
    </w:p>
    <w:p>
      <w:pPr>
        <w:ind w:left="173" w:hanging="173"/>
      </w:pPr>
      <w:r>
        <w:rPr>
          <w:b/>
          <w:color w:val="1F4D78"/>
        </w:rPr>
        <w:t xml:space="preserve">Inventory: </w:t>
      </w:r>
      <w:r>
        <w:t>Serial-number and node inventory attestation before testing</w:t>
      </w:r>
    </w:p>
    <w:p>
      <w:pPr>
        <w:ind w:left="173" w:hanging="173"/>
      </w:pPr>
      <w:r>
        <w:rPr>
          <w:b/>
          <w:color w:val="1F4D78"/>
        </w:rPr>
        <w:t xml:space="preserve">Performance: </w:t>
      </w:r>
      <w:r>
        <w:t>NCCL benchmark against an agreed reference result</w:t>
      </w:r>
    </w:p>
    <w:p>
      <w:pPr>
        <w:ind w:left="173" w:hanging="173"/>
      </w:pPr>
      <w:r>
        <w:rPr>
          <w:b/>
          <w:color w:val="1F4D78"/>
        </w:rPr>
        <w:t xml:space="preserve">Open item: </w:t>
      </w:r>
      <w:r>
        <w:t>The reference cluster, workload, and passing threshold must be agreed before signing</w:t>
      </w:r>
    </w:p>
    <w:p>
      <w:pPr>
        <w:pStyle w:val="Heading1"/>
      </w:pPr>
      <w:r>
        <w:t>6. Security and location</w:t>
      </w:r>
    </w:p>
    <w:p>
      <w:pPr>
        <w:ind w:left="173" w:hanging="173"/>
      </w:pPr>
      <w:r>
        <w:rPr>
          <w:b/>
          <w:color w:val="1F4D78"/>
        </w:rPr>
        <w:t xml:space="preserve">Data residency: </w:t>
      </w:r>
      <w:r>
        <w:t>United States only</w:t>
      </w:r>
    </w:p>
    <w:p>
      <w:pPr>
        <w:ind w:left="173" w:hanging="173"/>
      </w:pPr>
      <w:r>
        <w:rPr>
          <w:b/>
          <w:color w:val="1F4D78"/>
        </w:rPr>
        <w:t xml:space="preserve">Controls: </w:t>
      </w:r>
      <w:r>
        <w:t>Current SOC 2 Type II report</w:t>
      </w:r>
    </w:p>
    <w:p>
      <w:pPr>
        <w:ind w:left="173" w:hanging="173"/>
      </w:pPr>
      <w:r>
        <w:rPr>
          <w:b/>
          <w:color w:val="1F4D78"/>
        </w:rPr>
        <w:t xml:space="preserve">Encryption: </w:t>
      </w:r>
      <w:r>
        <w:t>Customer-managed keys for data at rest where applicable</w:t>
      </w:r>
    </w:p>
    <w:p>
      <w:pPr>
        <w:ind w:left="173" w:hanging="173"/>
      </w:pPr>
      <w:r>
        <w:rPr>
          <w:b/>
          <w:color w:val="1F4D78"/>
        </w:rPr>
        <w:t xml:space="preserve">Logging: </w:t>
      </w:r>
      <w:r>
        <w:t>Exportable administrative and workload-access logs</w:t>
      </w:r>
    </w:p>
    <w:p>
      <w:pPr>
        <w:ind w:left="173" w:hanging="173"/>
      </w:pPr>
      <w:r>
        <w:rPr>
          <w:b/>
          <w:color w:val="1F4D78"/>
        </w:rPr>
        <w:t xml:space="preserve">Physical access: </w:t>
      </w:r>
      <w:r>
        <w:t>Controlled GPU-hall access with named-person access records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A73"/>
        <w:sz w:val="16"/>
      </w:rPr>
      <w:t xml:space="preserve">Synthetic benchmark matter - not a real transaction | </w:t>
    </w:r>
    <w:r>
      <w:rPr>
        <w:rFonts w:ascii="Calibri" w:hAnsi="Calibri"/>
        <w:color w:val="5E6A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pBdr>
        <w:bottom w:val="single" w:sz="6" w:space="3" w:color="D7DEE5"/>
      </w:pBdr>
    </w:pPr>
    <w:r>
      <w:rPr>
        <w:b/>
        <w:color w:val="5E6A73"/>
        <w:sz w:val="16"/>
      </w:rPr>
      <w:t>NORTHSTAR MODELS - WORKLOAD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10" w:line="264" w:lineRule="auto"/>
    </w:pPr>
    <w:rPr>
      <w:rFonts w:ascii="Calibri" w:hAnsi="Calibr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1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E6A73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compute-bazaar-bench synthetic matter</dc:subject>
  <dc:creator>Adam Sioud</dc:creator>
  <cp:keywords>compute-bazaar-bench, synthetic, CB-2026-041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