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13948" w14:textId="186DFDF3" w:rsidR="008319AC" w:rsidRDefault="00E64A49">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Project </w:t>
      </w:r>
      <w:r w:rsidR="00DB346A">
        <w:rPr>
          <w:rFonts w:ascii="Times New Roman" w:eastAsia="Times New Roman" w:hAnsi="Times New Roman" w:cs="Times New Roman"/>
          <w:b/>
          <w:sz w:val="52"/>
          <w:szCs w:val="52"/>
        </w:rPr>
        <w:t>2</w:t>
      </w:r>
      <w:r>
        <w:rPr>
          <w:rFonts w:ascii="Times New Roman" w:eastAsia="Times New Roman" w:hAnsi="Times New Roman" w:cs="Times New Roman"/>
          <w:b/>
          <w:sz w:val="52"/>
          <w:szCs w:val="52"/>
        </w:rPr>
        <w:t xml:space="preserve"> Report:</w:t>
      </w:r>
    </w:p>
    <w:p w14:paraId="63DF443D" w14:textId="2867CF6E" w:rsidR="008319AC" w:rsidRDefault="00552895">
      <w:pPr>
        <w:jc w:val="center"/>
        <w:rPr>
          <w:rFonts w:ascii="Times New Roman" w:eastAsia="Times New Roman" w:hAnsi="Times New Roman" w:cs="Times New Roman"/>
          <w:b/>
          <w:sz w:val="52"/>
          <w:szCs w:val="52"/>
        </w:rPr>
      </w:pPr>
      <w:proofErr w:type="gramStart"/>
      <w:r>
        <w:rPr>
          <w:rFonts w:ascii="Times New Roman" w:eastAsia="Times New Roman" w:hAnsi="Times New Roman" w:cs="Times New Roman"/>
          <w:b/>
          <w:sz w:val="52"/>
          <w:szCs w:val="52"/>
        </w:rPr>
        <w:t>gs</w:t>
      </w:r>
      <w:r w:rsidR="00DB346A">
        <w:rPr>
          <w:rFonts w:ascii="Times New Roman" w:eastAsia="Times New Roman" w:hAnsi="Times New Roman" w:cs="Times New Roman"/>
          <w:b/>
          <w:sz w:val="52"/>
          <w:szCs w:val="52"/>
        </w:rPr>
        <w:t>hare</w:t>
      </w:r>
      <w:proofErr w:type="gramEnd"/>
      <w:r w:rsidR="00DB346A">
        <w:rPr>
          <w:rFonts w:ascii="Times New Roman" w:eastAsia="Times New Roman" w:hAnsi="Times New Roman" w:cs="Times New Roman"/>
          <w:b/>
          <w:sz w:val="52"/>
          <w:szCs w:val="52"/>
        </w:rPr>
        <w:t xml:space="preserve"> Predictor</w:t>
      </w:r>
    </w:p>
    <w:p w14:paraId="0749C423"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33F61C60"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03AB686B"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61D186AB"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3E2837FF"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By: Joshua Nichols</w:t>
      </w:r>
    </w:p>
    <w:p w14:paraId="27F8FE5D"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16430FA1"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25BB3ECC"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1B64F180"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0A9189BB"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0C5D7054"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Computer Architecture</w:t>
      </w:r>
    </w:p>
    <w:p w14:paraId="77AAEC20"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EEL 4768-003</w:t>
      </w:r>
    </w:p>
    <w:p w14:paraId="73318EDE" w14:textId="11F90F12" w:rsidR="008319AC" w:rsidRDefault="00E64A49">
      <w:pPr>
        <w:jc w:val="center"/>
      </w:pPr>
      <w:r>
        <w:rPr>
          <w:rFonts w:ascii="Times New Roman" w:eastAsia="Times New Roman" w:hAnsi="Times New Roman" w:cs="Times New Roman"/>
          <w:sz w:val="52"/>
          <w:szCs w:val="52"/>
        </w:rPr>
        <w:t>1</w:t>
      </w:r>
      <w:r w:rsidR="00213776">
        <w:rPr>
          <w:rFonts w:ascii="Times New Roman" w:eastAsia="Times New Roman" w:hAnsi="Times New Roman" w:cs="Times New Roman"/>
          <w:sz w:val="52"/>
          <w:szCs w:val="52"/>
        </w:rPr>
        <w:t>2/01</w:t>
      </w:r>
      <w:r>
        <w:rPr>
          <w:rFonts w:ascii="Times New Roman" w:eastAsia="Times New Roman" w:hAnsi="Times New Roman" w:cs="Times New Roman"/>
          <w:sz w:val="52"/>
          <w:szCs w:val="52"/>
        </w:rPr>
        <w:t>/2019</w:t>
      </w:r>
    </w:p>
    <w:p w14:paraId="4F42D59B" w14:textId="77777777" w:rsidR="008319AC" w:rsidRDefault="008319AC"/>
    <w:p w14:paraId="520977FE" w14:textId="77777777" w:rsidR="008319AC" w:rsidRDefault="008319AC"/>
    <w:p w14:paraId="504D3F90" w14:textId="77777777" w:rsidR="008319AC" w:rsidRDefault="008319AC"/>
    <w:p w14:paraId="3E8C4D8E" w14:textId="77777777" w:rsidR="008319AC" w:rsidRDefault="008319AC"/>
    <w:p w14:paraId="27881D0D" w14:textId="77777777" w:rsidR="008319AC" w:rsidRDefault="008319AC"/>
    <w:p w14:paraId="2BCF34BF" w14:textId="77777777" w:rsidR="008319AC" w:rsidRDefault="008319AC"/>
    <w:p w14:paraId="47273FA1" w14:textId="77777777" w:rsidR="008319AC" w:rsidRDefault="008319AC"/>
    <w:p w14:paraId="47C0DED3" w14:textId="77777777" w:rsidR="00AF538C" w:rsidRDefault="00AF538C"/>
    <w:p w14:paraId="29638448" w14:textId="63E06CD9" w:rsidR="001F7551" w:rsidRDefault="001F7551">
      <w:pPr>
        <w:rPr>
          <w:bCs/>
          <w:sz w:val="28"/>
          <w:szCs w:val="28"/>
        </w:rPr>
      </w:pPr>
      <w:r>
        <w:rPr>
          <w:b/>
          <w:sz w:val="28"/>
          <w:szCs w:val="28"/>
        </w:rPr>
        <w:lastRenderedPageBreak/>
        <w:t>Objective</w:t>
      </w:r>
    </w:p>
    <w:p w14:paraId="33BCAC81" w14:textId="3B054A2A" w:rsidR="001F7551" w:rsidRPr="00FE1792" w:rsidRDefault="001F7551" w:rsidP="00FE1792">
      <w:pPr>
        <w:rPr>
          <w:bCs/>
        </w:rPr>
      </w:pPr>
      <w:r w:rsidRPr="00FE1792">
        <w:rPr>
          <w:bCs/>
        </w:rPr>
        <w:t xml:space="preserve">To see the impact of changing </w:t>
      </w:r>
      <w:r w:rsidR="00DA2EFB" w:rsidRPr="00FE1792">
        <w:rPr>
          <w:bCs/>
        </w:rPr>
        <w:t>the Global Branch History (GBH) size and the number of lower program counter bits</w:t>
      </w:r>
      <w:r w:rsidRPr="00FE1792">
        <w:rPr>
          <w:bCs/>
        </w:rPr>
        <w:t xml:space="preserve"> on the </w:t>
      </w:r>
      <w:r w:rsidR="00C06807">
        <w:rPr>
          <w:bCs/>
        </w:rPr>
        <w:t>mis</w:t>
      </w:r>
      <w:r w:rsidR="00DA2EFB" w:rsidRPr="00FE1792">
        <w:rPr>
          <w:bCs/>
        </w:rPr>
        <w:t xml:space="preserve">prediction rate of the </w:t>
      </w:r>
      <w:r w:rsidR="00552895">
        <w:rPr>
          <w:bCs/>
        </w:rPr>
        <w:t>gshare</w:t>
      </w:r>
      <w:r w:rsidR="00DA2EFB" w:rsidRPr="00FE1792">
        <w:rPr>
          <w:bCs/>
        </w:rPr>
        <w:t xml:space="preserve"> branch predictor</w:t>
      </w:r>
      <w:r w:rsidRPr="00FE1792">
        <w:rPr>
          <w:bCs/>
        </w:rPr>
        <w:t xml:space="preserve"> that we made.</w:t>
      </w:r>
      <w:r w:rsidR="00120594" w:rsidRPr="00FE1792">
        <w:rPr>
          <w:bCs/>
        </w:rPr>
        <w:t xml:space="preserve"> When the lower program counter bits parameter is set to </w:t>
      </w:r>
      <w:r w:rsidR="00577C4D">
        <w:rPr>
          <w:bCs/>
        </w:rPr>
        <w:t>zero</w:t>
      </w:r>
      <w:r w:rsidR="00120594" w:rsidRPr="00FE1792">
        <w:rPr>
          <w:bCs/>
        </w:rPr>
        <w:t xml:space="preserve">, the </w:t>
      </w:r>
      <w:r w:rsidR="00552895">
        <w:rPr>
          <w:bCs/>
        </w:rPr>
        <w:t>gshare</w:t>
      </w:r>
      <w:r w:rsidR="00552895" w:rsidRPr="00FE1792">
        <w:rPr>
          <w:bCs/>
        </w:rPr>
        <w:t xml:space="preserve"> </w:t>
      </w:r>
      <w:r w:rsidR="00120594" w:rsidRPr="00FE1792">
        <w:rPr>
          <w:bCs/>
        </w:rPr>
        <w:t>acts as a simple bimodal branch predictor.</w:t>
      </w:r>
    </w:p>
    <w:p w14:paraId="3F648E5B" w14:textId="46D7E838" w:rsidR="001F7551" w:rsidRDefault="001F7551" w:rsidP="001F7551">
      <w:pPr>
        <w:rPr>
          <w:bCs/>
        </w:rPr>
      </w:pPr>
    </w:p>
    <w:p w14:paraId="63F47F4A" w14:textId="6E2D57D2" w:rsidR="001F7551" w:rsidRDefault="001F7551" w:rsidP="001F7551">
      <w:pPr>
        <w:rPr>
          <w:bCs/>
        </w:rPr>
      </w:pPr>
      <w:r w:rsidRPr="001F7551">
        <w:rPr>
          <w:b/>
          <w:sz w:val="28"/>
          <w:szCs w:val="28"/>
        </w:rPr>
        <w:t>Process</w:t>
      </w:r>
    </w:p>
    <w:p w14:paraId="5C8EFA04" w14:textId="122FD7D4" w:rsidR="001F7551" w:rsidRDefault="001F7551" w:rsidP="001F7551">
      <w:pPr>
        <w:pStyle w:val="ListParagraph"/>
        <w:numPr>
          <w:ilvl w:val="0"/>
          <w:numId w:val="3"/>
        </w:numPr>
        <w:rPr>
          <w:bCs/>
        </w:rPr>
      </w:pPr>
      <w:r>
        <w:rPr>
          <w:bCs/>
        </w:rPr>
        <w:t>Run each experiment using the setup mentioned for each.</w:t>
      </w:r>
    </w:p>
    <w:p w14:paraId="50778973" w14:textId="33000071" w:rsidR="001F7551" w:rsidRDefault="001F7551" w:rsidP="001F7551">
      <w:pPr>
        <w:pStyle w:val="ListParagraph"/>
        <w:numPr>
          <w:ilvl w:val="0"/>
          <w:numId w:val="3"/>
        </w:numPr>
        <w:rPr>
          <w:bCs/>
        </w:rPr>
      </w:pPr>
      <w:r>
        <w:rPr>
          <w:bCs/>
        </w:rPr>
        <w:t>Due to not being able to run this in Eustis</w:t>
      </w:r>
      <w:r w:rsidR="005E2076">
        <w:rPr>
          <w:bCs/>
        </w:rPr>
        <w:t xml:space="preserve"> (as it wa</w:t>
      </w:r>
      <w:r w:rsidR="007578E6">
        <w:rPr>
          <w:bCs/>
        </w:rPr>
        <w:t>s down at the time of writing this report)</w:t>
      </w:r>
      <w:r>
        <w:rPr>
          <w:bCs/>
        </w:rPr>
        <w:t>, the following method was used to test the program in command prompt:</w:t>
      </w:r>
    </w:p>
    <w:p w14:paraId="1BA50886" w14:textId="23823DE4" w:rsidR="001F7551" w:rsidRDefault="001F7551" w:rsidP="001F7551">
      <w:pPr>
        <w:pStyle w:val="ListParagraph"/>
        <w:numPr>
          <w:ilvl w:val="1"/>
          <w:numId w:val="3"/>
        </w:numPr>
        <w:rPr>
          <w:bCs/>
        </w:rPr>
      </w:pPr>
      <w:proofErr w:type="spellStart"/>
      <w:r w:rsidRPr="001F7551">
        <w:rPr>
          <w:bCs/>
        </w:rPr>
        <w:t>gcc</w:t>
      </w:r>
      <w:proofErr w:type="spellEnd"/>
      <w:r w:rsidRPr="001F7551">
        <w:rPr>
          <w:bCs/>
        </w:rPr>
        <w:t xml:space="preserve"> -o </w:t>
      </w:r>
      <w:r w:rsidR="00EA190D">
        <w:rPr>
          <w:bCs/>
        </w:rPr>
        <w:t>gshare</w:t>
      </w:r>
      <w:r w:rsidRPr="001F7551">
        <w:rPr>
          <w:bCs/>
        </w:rPr>
        <w:t xml:space="preserve"> </w:t>
      </w:r>
      <w:proofErr w:type="spellStart"/>
      <w:r w:rsidR="00EA190D">
        <w:rPr>
          <w:bCs/>
        </w:rPr>
        <w:t>gshare</w:t>
      </w:r>
      <w:r w:rsidRPr="001F7551">
        <w:rPr>
          <w:bCs/>
        </w:rPr>
        <w:t>.c</w:t>
      </w:r>
      <w:proofErr w:type="spellEnd"/>
    </w:p>
    <w:p w14:paraId="1BDF3A5F" w14:textId="7EED4402" w:rsidR="001F7551" w:rsidRDefault="00EA190D" w:rsidP="001F7551">
      <w:pPr>
        <w:pStyle w:val="ListParagraph"/>
        <w:numPr>
          <w:ilvl w:val="1"/>
          <w:numId w:val="3"/>
        </w:numPr>
        <w:rPr>
          <w:bCs/>
        </w:rPr>
      </w:pPr>
      <w:r>
        <w:rPr>
          <w:bCs/>
        </w:rPr>
        <w:t>gshare</w:t>
      </w:r>
      <w:r w:rsidR="001F7551" w:rsidRPr="001F7551">
        <w:rPr>
          <w:bCs/>
        </w:rPr>
        <w:t xml:space="preserve">.exe </w:t>
      </w:r>
      <w:r w:rsidR="001F7551">
        <w:rPr>
          <w:bCs/>
        </w:rPr>
        <w:t xml:space="preserve">[ </w:t>
      </w:r>
      <w:r>
        <w:rPr>
          <w:bCs/>
        </w:rPr>
        <w:t>M</w:t>
      </w:r>
      <w:r w:rsidR="001F7551">
        <w:rPr>
          <w:bCs/>
        </w:rPr>
        <w:t xml:space="preserve"> ]</w:t>
      </w:r>
      <w:r w:rsidR="001F7551" w:rsidRPr="001F7551">
        <w:rPr>
          <w:bCs/>
        </w:rPr>
        <w:t xml:space="preserve"> </w:t>
      </w:r>
      <w:r w:rsidR="001F7551">
        <w:rPr>
          <w:bCs/>
        </w:rPr>
        <w:t xml:space="preserve">[ </w:t>
      </w:r>
      <w:r>
        <w:rPr>
          <w:bCs/>
        </w:rPr>
        <w:t>N</w:t>
      </w:r>
      <w:r w:rsidR="001F7551">
        <w:rPr>
          <w:bCs/>
        </w:rPr>
        <w:t xml:space="preserve"> ]</w:t>
      </w:r>
      <w:r w:rsidR="001F7551" w:rsidRPr="001F7551">
        <w:rPr>
          <w:bCs/>
        </w:rPr>
        <w:t xml:space="preserve"> "C:\Users\</w:t>
      </w:r>
      <w:r w:rsidR="001F7551">
        <w:rPr>
          <w:bCs/>
        </w:rPr>
        <w:t>Josh</w:t>
      </w:r>
      <w:r w:rsidR="001F7551" w:rsidRPr="001F7551">
        <w:rPr>
          <w:bCs/>
        </w:rPr>
        <w:t>\Desktop\</w:t>
      </w:r>
      <w:r w:rsidR="001F7551">
        <w:rPr>
          <w:bCs/>
        </w:rPr>
        <w:t>[ T ]</w:t>
      </w:r>
      <w:r w:rsidR="001F7551" w:rsidRPr="001F7551">
        <w:rPr>
          <w:bCs/>
        </w:rPr>
        <w:t>"</w:t>
      </w:r>
    </w:p>
    <w:p w14:paraId="19B58101" w14:textId="25719519" w:rsidR="001F7551" w:rsidRDefault="001F7551" w:rsidP="001F7551">
      <w:pPr>
        <w:pStyle w:val="ListParagraph"/>
        <w:numPr>
          <w:ilvl w:val="1"/>
          <w:numId w:val="3"/>
        </w:numPr>
        <w:rPr>
          <w:bCs/>
        </w:rPr>
      </w:pPr>
      <w:r>
        <w:rPr>
          <w:bCs/>
        </w:rPr>
        <w:t>Where:</w:t>
      </w:r>
    </w:p>
    <w:p w14:paraId="1171A11F" w14:textId="577D8D48" w:rsidR="001F7551" w:rsidRDefault="00EA190D" w:rsidP="001F7551">
      <w:pPr>
        <w:pStyle w:val="ListParagraph"/>
        <w:numPr>
          <w:ilvl w:val="2"/>
          <w:numId w:val="3"/>
        </w:numPr>
        <w:rPr>
          <w:bCs/>
        </w:rPr>
      </w:pPr>
      <w:r>
        <w:rPr>
          <w:bCs/>
        </w:rPr>
        <w:t>M</w:t>
      </w:r>
      <w:r w:rsidR="001F7551">
        <w:rPr>
          <w:bCs/>
        </w:rPr>
        <w:t xml:space="preserve"> is the </w:t>
      </w:r>
      <w:r>
        <w:rPr>
          <w:bCs/>
        </w:rPr>
        <w:t>number of lower program counter bits.</w:t>
      </w:r>
    </w:p>
    <w:p w14:paraId="4BFADCA7" w14:textId="2B0EE0DD" w:rsidR="001F7551" w:rsidRDefault="00E94669" w:rsidP="001F7551">
      <w:pPr>
        <w:pStyle w:val="ListParagraph"/>
        <w:numPr>
          <w:ilvl w:val="2"/>
          <w:numId w:val="3"/>
        </w:numPr>
        <w:rPr>
          <w:bCs/>
        </w:rPr>
      </w:pPr>
      <w:r>
        <w:rPr>
          <w:bCs/>
        </w:rPr>
        <w:t>N is the number of bits in the GBH register.</w:t>
      </w:r>
    </w:p>
    <w:p w14:paraId="1B041B6A" w14:textId="0F667F43" w:rsidR="001F7551" w:rsidRPr="001F7551" w:rsidRDefault="001F7551" w:rsidP="001F7551">
      <w:pPr>
        <w:pStyle w:val="ListParagraph"/>
        <w:numPr>
          <w:ilvl w:val="2"/>
          <w:numId w:val="3"/>
        </w:numPr>
        <w:rPr>
          <w:bCs/>
        </w:rPr>
      </w:pPr>
      <w:r>
        <w:rPr>
          <w:bCs/>
        </w:rPr>
        <w:t>T is the trace file name.</w:t>
      </w:r>
    </w:p>
    <w:p w14:paraId="68BD185F" w14:textId="77777777" w:rsidR="001F7551" w:rsidRDefault="001F7551">
      <w:pPr>
        <w:rPr>
          <w:b/>
          <w:sz w:val="28"/>
          <w:szCs w:val="28"/>
        </w:rPr>
      </w:pPr>
    </w:p>
    <w:p w14:paraId="4D312E9A" w14:textId="37E39FBC" w:rsidR="008319AC" w:rsidRDefault="00DB41A6">
      <w:pPr>
        <w:rPr>
          <w:sz w:val="28"/>
          <w:szCs w:val="28"/>
        </w:rPr>
      </w:pPr>
      <w:r>
        <w:rPr>
          <w:b/>
          <w:sz w:val="28"/>
          <w:szCs w:val="28"/>
        </w:rPr>
        <w:t>Global Branch History Analysis</w:t>
      </w:r>
    </w:p>
    <w:p w14:paraId="72D59DA3" w14:textId="77777777" w:rsidR="008319AC" w:rsidRDefault="008319AC"/>
    <w:p w14:paraId="080D724D" w14:textId="1DEFA149" w:rsidR="008319AC" w:rsidRDefault="00E64A49">
      <w:r>
        <w:t xml:space="preserve">The following settings were maintained for the </w:t>
      </w:r>
      <w:r w:rsidR="00DB41A6">
        <w:t>predictor</w:t>
      </w:r>
      <w:r>
        <w:t xml:space="preserve"> as instructed:</w:t>
      </w:r>
    </w:p>
    <w:p w14:paraId="06E69FA9" w14:textId="03FFAEA2" w:rsidR="008319AC" w:rsidRDefault="00DB41A6">
      <w:pPr>
        <w:numPr>
          <w:ilvl w:val="0"/>
          <w:numId w:val="1"/>
        </w:numPr>
      </w:pPr>
      <w:r>
        <w:t>M is set to 4 bits.</w:t>
      </w:r>
    </w:p>
    <w:p w14:paraId="0D690123" w14:textId="77777777" w:rsidR="008319AC" w:rsidRDefault="008319AC"/>
    <w:tbl>
      <w:tblPr>
        <w:tblStyle w:val="TableGrid"/>
        <w:tblW w:w="0" w:type="auto"/>
        <w:tblLook w:val="04A0" w:firstRow="1" w:lastRow="0" w:firstColumn="1" w:lastColumn="0" w:noHBand="0" w:noVBand="1"/>
      </w:tblPr>
      <w:tblGrid>
        <w:gridCol w:w="828"/>
        <w:gridCol w:w="3600"/>
        <w:gridCol w:w="3780"/>
      </w:tblGrid>
      <w:tr w:rsidR="00134650" w14:paraId="6A28FA9B" w14:textId="55721CA0" w:rsidTr="00C06807">
        <w:tc>
          <w:tcPr>
            <w:tcW w:w="828" w:type="dxa"/>
          </w:tcPr>
          <w:p w14:paraId="31AD8DE3" w14:textId="4A06C442" w:rsidR="00C06807" w:rsidRPr="00C06807" w:rsidRDefault="00134650" w:rsidP="00C06807">
            <w:pPr>
              <w:spacing w:before="240" w:after="240"/>
              <w:jc w:val="center"/>
              <w:rPr>
                <w:b/>
              </w:rPr>
            </w:pPr>
            <w:r w:rsidRPr="00C06807">
              <w:rPr>
                <w:b/>
              </w:rPr>
              <w:t>N</w:t>
            </w:r>
          </w:p>
        </w:tc>
        <w:tc>
          <w:tcPr>
            <w:tcW w:w="3600" w:type="dxa"/>
          </w:tcPr>
          <w:p w14:paraId="24F18D28" w14:textId="00A3F1E5" w:rsidR="00C06807" w:rsidRPr="00C06807" w:rsidRDefault="00134650" w:rsidP="00C06807">
            <w:pPr>
              <w:spacing w:before="240" w:after="240"/>
              <w:jc w:val="center"/>
              <w:rPr>
                <w:b/>
              </w:rPr>
            </w:pPr>
            <w:r w:rsidRPr="00C06807">
              <w:rPr>
                <w:b/>
              </w:rPr>
              <w:t>Misprediction Rate</w:t>
            </w:r>
            <w:r w:rsidR="00C06807" w:rsidRPr="00C06807">
              <w:rPr>
                <w:b/>
              </w:rPr>
              <w:t xml:space="preserve"> (</w:t>
            </w:r>
            <w:proofErr w:type="spellStart"/>
            <w:r w:rsidR="00C06807" w:rsidRPr="00C06807">
              <w:rPr>
                <w:b/>
              </w:rPr>
              <w:t>mcf_trace</w:t>
            </w:r>
            <w:proofErr w:type="spellEnd"/>
            <w:r w:rsidR="00C06807" w:rsidRPr="00C06807">
              <w:rPr>
                <w:b/>
              </w:rPr>
              <w:t>)</w:t>
            </w:r>
          </w:p>
        </w:tc>
        <w:tc>
          <w:tcPr>
            <w:tcW w:w="3780" w:type="dxa"/>
          </w:tcPr>
          <w:p w14:paraId="15C10237" w14:textId="2C839078" w:rsidR="00C06807" w:rsidRPr="00C06807" w:rsidRDefault="00C06807" w:rsidP="00C06807">
            <w:pPr>
              <w:spacing w:before="240" w:after="240"/>
              <w:jc w:val="center"/>
              <w:rPr>
                <w:b/>
              </w:rPr>
            </w:pPr>
            <w:r w:rsidRPr="00C06807">
              <w:rPr>
                <w:b/>
              </w:rPr>
              <w:t>Misprediction Rate (</w:t>
            </w:r>
            <w:proofErr w:type="spellStart"/>
            <w:r w:rsidRPr="00C06807">
              <w:rPr>
                <w:b/>
              </w:rPr>
              <w:t>gobmk_trace</w:t>
            </w:r>
            <w:proofErr w:type="spellEnd"/>
            <w:r w:rsidRPr="00C06807">
              <w:rPr>
                <w:b/>
              </w:rPr>
              <w:t>)</w:t>
            </w:r>
          </w:p>
        </w:tc>
      </w:tr>
      <w:tr w:rsidR="00134650" w14:paraId="742602FD" w14:textId="287EB486" w:rsidTr="00C06807">
        <w:tc>
          <w:tcPr>
            <w:tcW w:w="828" w:type="dxa"/>
          </w:tcPr>
          <w:p w14:paraId="4122EE8A" w14:textId="12B59978" w:rsidR="00134650" w:rsidRDefault="00C06807" w:rsidP="00C06807">
            <w:pPr>
              <w:spacing w:before="240" w:after="240"/>
              <w:jc w:val="center"/>
            </w:pPr>
            <w:r>
              <w:t>1</w:t>
            </w:r>
          </w:p>
        </w:tc>
        <w:tc>
          <w:tcPr>
            <w:tcW w:w="3600" w:type="dxa"/>
          </w:tcPr>
          <w:p w14:paraId="42DBE830" w14:textId="71618023" w:rsidR="00134650" w:rsidRDefault="00F40E76" w:rsidP="00C06807">
            <w:pPr>
              <w:spacing w:before="240" w:after="240"/>
              <w:jc w:val="center"/>
            </w:pPr>
            <w:r>
              <w:t>24.71%</w:t>
            </w:r>
          </w:p>
        </w:tc>
        <w:tc>
          <w:tcPr>
            <w:tcW w:w="3780" w:type="dxa"/>
          </w:tcPr>
          <w:p w14:paraId="1FE04988" w14:textId="38FA095E" w:rsidR="00134650" w:rsidRDefault="009D1560" w:rsidP="00C06807">
            <w:pPr>
              <w:spacing w:before="240" w:after="240"/>
              <w:jc w:val="center"/>
            </w:pPr>
            <w:r>
              <w:t>0.77%</w:t>
            </w:r>
          </w:p>
        </w:tc>
      </w:tr>
      <w:tr w:rsidR="00134650" w14:paraId="4A5E8120" w14:textId="7A719981" w:rsidTr="00C06807">
        <w:tc>
          <w:tcPr>
            <w:tcW w:w="828" w:type="dxa"/>
          </w:tcPr>
          <w:p w14:paraId="714DA276" w14:textId="5BCD5B39" w:rsidR="00134650" w:rsidRDefault="00C06807" w:rsidP="00C06807">
            <w:pPr>
              <w:spacing w:before="240" w:after="240"/>
              <w:jc w:val="center"/>
            </w:pPr>
            <w:r>
              <w:t>2</w:t>
            </w:r>
          </w:p>
        </w:tc>
        <w:tc>
          <w:tcPr>
            <w:tcW w:w="3600" w:type="dxa"/>
          </w:tcPr>
          <w:p w14:paraId="5E14C3E4" w14:textId="447DACC9" w:rsidR="00134650" w:rsidRDefault="00F40E76" w:rsidP="00C06807">
            <w:pPr>
              <w:spacing w:before="240" w:after="240"/>
              <w:jc w:val="center"/>
            </w:pPr>
            <w:r>
              <w:t>26.86%</w:t>
            </w:r>
          </w:p>
        </w:tc>
        <w:tc>
          <w:tcPr>
            <w:tcW w:w="3780" w:type="dxa"/>
          </w:tcPr>
          <w:p w14:paraId="731AE56B" w14:textId="6B462E94" w:rsidR="00134650" w:rsidRDefault="009D1560" w:rsidP="00C06807">
            <w:pPr>
              <w:spacing w:before="240" w:after="240"/>
              <w:jc w:val="center"/>
            </w:pPr>
            <w:r>
              <w:t>0.87%</w:t>
            </w:r>
          </w:p>
        </w:tc>
      </w:tr>
      <w:tr w:rsidR="00134650" w14:paraId="7A897D77" w14:textId="69E027F0" w:rsidTr="00C06807">
        <w:tc>
          <w:tcPr>
            <w:tcW w:w="828" w:type="dxa"/>
          </w:tcPr>
          <w:p w14:paraId="268C96FF" w14:textId="7031703F" w:rsidR="00134650" w:rsidRDefault="00C06807" w:rsidP="00C06807">
            <w:pPr>
              <w:spacing w:before="240" w:after="240"/>
              <w:jc w:val="center"/>
            </w:pPr>
            <w:r>
              <w:t>3</w:t>
            </w:r>
          </w:p>
        </w:tc>
        <w:tc>
          <w:tcPr>
            <w:tcW w:w="3600" w:type="dxa"/>
          </w:tcPr>
          <w:p w14:paraId="2869DA84" w14:textId="245A6E6B" w:rsidR="00134650" w:rsidRDefault="00F40E76" w:rsidP="00C06807">
            <w:pPr>
              <w:spacing w:before="240" w:after="240"/>
              <w:jc w:val="center"/>
            </w:pPr>
            <w:r>
              <w:t>29.36%</w:t>
            </w:r>
          </w:p>
        </w:tc>
        <w:tc>
          <w:tcPr>
            <w:tcW w:w="3780" w:type="dxa"/>
          </w:tcPr>
          <w:p w14:paraId="57691BF2" w14:textId="0A502316" w:rsidR="00134650" w:rsidRDefault="009D1560" w:rsidP="00C06807">
            <w:pPr>
              <w:spacing w:before="240" w:after="240"/>
              <w:jc w:val="center"/>
            </w:pPr>
            <w:r>
              <w:t>0.86%</w:t>
            </w:r>
          </w:p>
        </w:tc>
      </w:tr>
      <w:tr w:rsidR="00134650" w14:paraId="009B9790" w14:textId="7661F31E" w:rsidTr="00C06807">
        <w:tc>
          <w:tcPr>
            <w:tcW w:w="828" w:type="dxa"/>
          </w:tcPr>
          <w:p w14:paraId="079F2D5A" w14:textId="33AC1939" w:rsidR="00134650" w:rsidRDefault="00C06807" w:rsidP="00C06807">
            <w:pPr>
              <w:spacing w:before="240" w:after="240"/>
              <w:jc w:val="center"/>
            </w:pPr>
            <w:r>
              <w:t>4</w:t>
            </w:r>
          </w:p>
        </w:tc>
        <w:tc>
          <w:tcPr>
            <w:tcW w:w="3600" w:type="dxa"/>
          </w:tcPr>
          <w:p w14:paraId="5053D9F5" w14:textId="3C4AB8B7" w:rsidR="00134650" w:rsidRDefault="00F40E76" w:rsidP="00C06807">
            <w:pPr>
              <w:spacing w:before="240" w:after="240"/>
              <w:jc w:val="center"/>
            </w:pPr>
            <w:r>
              <w:t>31.72%</w:t>
            </w:r>
          </w:p>
        </w:tc>
        <w:tc>
          <w:tcPr>
            <w:tcW w:w="3780" w:type="dxa"/>
          </w:tcPr>
          <w:p w14:paraId="26B8CECB" w14:textId="7E75DA99" w:rsidR="00134650" w:rsidRDefault="009D1560" w:rsidP="00C06807">
            <w:pPr>
              <w:spacing w:before="240" w:after="240"/>
              <w:jc w:val="center"/>
            </w:pPr>
            <w:r>
              <w:t>0.82%</w:t>
            </w:r>
          </w:p>
        </w:tc>
      </w:tr>
    </w:tbl>
    <w:p w14:paraId="6B5F6C5A" w14:textId="3A1C2865" w:rsidR="00DB41A6" w:rsidRDefault="004D4592">
      <w:r>
        <w:t>Table 1:</w:t>
      </w:r>
      <w:r w:rsidR="004B52CC">
        <w:t xml:space="preserve"> </w:t>
      </w:r>
      <w:r w:rsidR="00291EC2">
        <w:t>Misprediction rates for the given trace files vs GBH Register Size.</w:t>
      </w:r>
    </w:p>
    <w:p w14:paraId="54480E74" w14:textId="6C0C18CA" w:rsidR="00DB41A6" w:rsidRDefault="00B30C97">
      <w:r>
        <w:rPr>
          <w:noProof/>
          <w:lang w:val="en-US"/>
        </w:rPr>
        <w:lastRenderedPageBreak/>
        <w:drawing>
          <wp:inline distT="0" distB="0" distL="0" distR="0" wp14:anchorId="271FF1C0" wp14:editId="65378F83">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C99D98" w14:textId="65466D87" w:rsidR="004D4592" w:rsidRDefault="004D4592">
      <w:r>
        <w:t>Graph 1:</w:t>
      </w:r>
      <w:r w:rsidR="00291EC2">
        <w:t xml:space="preserve"> Misprediction Rate vs GBH Register Size</w:t>
      </w:r>
    </w:p>
    <w:p w14:paraId="67394B03" w14:textId="77777777" w:rsidR="00B30C97" w:rsidRDefault="00B30C97"/>
    <w:p w14:paraId="4996EA96" w14:textId="321F5C17" w:rsidR="008319AC" w:rsidRDefault="004D4592">
      <w:r>
        <w:t>Having a larger number of GBH entries makes it more likely that branches will map to the same two-bit predictor (called aliasing). This in</w:t>
      </w:r>
      <w:r w:rsidR="00577C4D">
        <w:t>terference</w:t>
      </w:r>
      <w:r>
        <w:t xml:space="preserve"> causes an increase in the misprediction rate.</w:t>
      </w:r>
    </w:p>
    <w:p w14:paraId="44E74844" w14:textId="77777777" w:rsidR="00AF538C" w:rsidRDefault="00AF538C"/>
    <w:p w14:paraId="6BDADA3A" w14:textId="013DB785" w:rsidR="008319AC" w:rsidRDefault="00DA4980">
      <w:pPr>
        <w:rPr>
          <w:sz w:val="28"/>
          <w:szCs w:val="28"/>
        </w:rPr>
      </w:pPr>
      <w:r>
        <w:rPr>
          <w:b/>
          <w:sz w:val="28"/>
          <w:szCs w:val="28"/>
        </w:rPr>
        <w:t>Lower Program Counter Bits Analysis</w:t>
      </w:r>
    </w:p>
    <w:p w14:paraId="45F2E632" w14:textId="77777777" w:rsidR="008319AC" w:rsidRDefault="008319AC"/>
    <w:p w14:paraId="7582E422" w14:textId="77777777" w:rsidR="00021E6A" w:rsidRDefault="00021E6A" w:rsidP="00021E6A">
      <w:r>
        <w:t>The following settings were maintained for the predictor as instructed:</w:t>
      </w:r>
    </w:p>
    <w:p w14:paraId="19EA74A5" w14:textId="09E8A6BF" w:rsidR="008319AC" w:rsidRDefault="00DB41A6">
      <w:pPr>
        <w:numPr>
          <w:ilvl w:val="0"/>
          <w:numId w:val="1"/>
        </w:numPr>
      </w:pPr>
      <w:r>
        <w:t>N is set to 4 bits.</w:t>
      </w:r>
    </w:p>
    <w:p w14:paraId="5289A4E6" w14:textId="77777777" w:rsidR="008319AC" w:rsidRDefault="008319AC"/>
    <w:tbl>
      <w:tblPr>
        <w:tblStyle w:val="TableGrid"/>
        <w:tblW w:w="0" w:type="auto"/>
        <w:tblLook w:val="04A0" w:firstRow="1" w:lastRow="0" w:firstColumn="1" w:lastColumn="0" w:noHBand="0" w:noVBand="1"/>
      </w:tblPr>
      <w:tblGrid>
        <w:gridCol w:w="828"/>
        <w:gridCol w:w="3600"/>
        <w:gridCol w:w="3780"/>
      </w:tblGrid>
      <w:tr w:rsidR="00F40E76" w:rsidRPr="00C06807" w14:paraId="2F67B8CE" w14:textId="77777777" w:rsidTr="00517DBC">
        <w:tc>
          <w:tcPr>
            <w:tcW w:w="828" w:type="dxa"/>
          </w:tcPr>
          <w:p w14:paraId="3C1BAFFD" w14:textId="5C36AD38" w:rsidR="00F40E76" w:rsidRPr="00C06807" w:rsidRDefault="00F40E76" w:rsidP="00517DBC">
            <w:pPr>
              <w:spacing w:before="240" w:after="240"/>
              <w:jc w:val="center"/>
              <w:rPr>
                <w:b/>
              </w:rPr>
            </w:pPr>
            <w:r>
              <w:rPr>
                <w:b/>
              </w:rPr>
              <w:t>M</w:t>
            </w:r>
          </w:p>
        </w:tc>
        <w:tc>
          <w:tcPr>
            <w:tcW w:w="3600" w:type="dxa"/>
          </w:tcPr>
          <w:p w14:paraId="0D3B46DE" w14:textId="77777777" w:rsidR="00F40E76" w:rsidRPr="00C06807" w:rsidRDefault="00F40E76" w:rsidP="00517DBC">
            <w:pPr>
              <w:spacing w:before="240" w:after="240"/>
              <w:jc w:val="center"/>
              <w:rPr>
                <w:b/>
              </w:rPr>
            </w:pPr>
            <w:r w:rsidRPr="00C06807">
              <w:rPr>
                <w:b/>
              </w:rPr>
              <w:t>Misprediction Rate (</w:t>
            </w:r>
            <w:proofErr w:type="spellStart"/>
            <w:r w:rsidRPr="00C06807">
              <w:rPr>
                <w:b/>
              </w:rPr>
              <w:t>mcf_trace</w:t>
            </w:r>
            <w:proofErr w:type="spellEnd"/>
            <w:r w:rsidRPr="00C06807">
              <w:rPr>
                <w:b/>
              </w:rPr>
              <w:t>)</w:t>
            </w:r>
          </w:p>
        </w:tc>
        <w:tc>
          <w:tcPr>
            <w:tcW w:w="3780" w:type="dxa"/>
          </w:tcPr>
          <w:p w14:paraId="361A70D7" w14:textId="77777777" w:rsidR="00F40E76" w:rsidRPr="00C06807" w:rsidRDefault="00F40E76" w:rsidP="00517DBC">
            <w:pPr>
              <w:spacing w:before="240" w:after="240"/>
              <w:jc w:val="center"/>
              <w:rPr>
                <w:b/>
              </w:rPr>
            </w:pPr>
            <w:r w:rsidRPr="00C06807">
              <w:rPr>
                <w:b/>
              </w:rPr>
              <w:t>Misprediction Rate (</w:t>
            </w:r>
            <w:proofErr w:type="spellStart"/>
            <w:r w:rsidRPr="00C06807">
              <w:rPr>
                <w:b/>
              </w:rPr>
              <w:t>gobmk_trace</w:t>
            </w:r>
            <w:proofErr w:type="spellEnd"/>
            <w:r w:rsidRPr="00C06807">
              <w:rPr>
                <w:b/>
              </w:rPr>
              <w:t>)</w:t>
            </w:r>
          </w:p>
        </w:tc>
      </w:tr>
      <w:tr w:rsidR="00B266DC" w14:paraId="51AB6040" w14:textId="77777777" w:rsidTr="00517DBC">
        <w:tc>
          <w:tcPr>
            <w:tcW w:w="828" w:type="dxa"/>
          </w:tcPr>
          <w:p w14:paraId="3929825D" w14:textId="1494D9F1" w:rsidR="00B266DC" w:rsidRDefault="00B266DC" w:rsidP="00517DBC">
            <w:pPr>
              <w:spacing w:before="240" w:after="240"/>
              <w:jc w:val="center"/>
            </w:pPr>
            <w:r>
              <w:t>4</w:t>
            </w:r>
          </w:p>
        </w:tc>
        <w:tc>
          <w:tcPr>
            <w:tcW w:w="3600" w:type="dxa"/>
          </w:tcPr>
          <w:p w14:paraId="087B0739" w14:textId="0B68F4AE" w:rsidR="00B266DC" w:rsidRDefault="00B266DC" w:rsidP="00517DBC">
            <w:pPr>
              <w:spacing w:before="240" w:after="240"/>
              <w:jc w:val="center"/>
            </w:pPr>
            <w:r>
              <w:t>31.72%</w:t>
            </w:r>
          </w:p>
        </w:tc>
        <w:tc>
          <w:tcPr>
            <w:tcW w:w="3780" w:type="dxa"/>
          </w:tcPr>
          <w:p w14:paraId="72D0DC96" w14:textId="547F6CEF" w:rsidR="00B266DC" w:rsidRDefault="00B266DC" w:rsidP="00517DBC">
            <w:pPr>
              <w:spacing w:before="240" w:after="240"/>
              <w:jc w:val="center"/>
            </w:pPr>
            <w:r>
              <w:t>0.82%</w:t>
            </w:r>
          </w:p>
        </w:tc>
      </w:tr>
      <w:tr w:rsidR="00B266DC" w14:paraId="6C18BA7C" w14:textId="77777777" w:rsidTr="00517DBC">
        <w:tc>
          <w:tcPr>
            <w:tcW w:w="828" w:type="dxa"/>
          </w:tcPr>
          <w:p w14:paraId="36985789" w14:textId="2D79AB6C" w:rsidR="00B266DC" w:rsidRDefault="00B266DC" w:rsidP="00517DBC">
            <w:pPr>
              <w:spacing w:before="240" w:after="240"/>
              <w:jc w:val="center"/>
            </w:pPr>
            <w:r>
              <w:t>5</w:t>
            </w:r>
          </w:p>
        </w:tc>
        <w:tc>
          <w:tcPr>
            <w:tcW w:w="3600" w:type="dxa"/>
          </w:tcPr>
          <w:p w14:paraId="0D62E5E9" w14:textId="3782EFBB" w:rsidR="00B266DC" w:rsidRDefault="00B266DC" w:rsidP="00517DBC">
            <w:pPr>
              <w:spacing w:before="240" w:after="240"/>
              <w:jc w:val="center"/>
            </w:pPr>
            <w:r>
              <w:t>26.56%</w:t>
            </w:r>
          </w:p>
        </w:tc>
        <w:tc>
          <w:tcPr>
            <w:tcW w:w="3780" w:type="dxa"/>
          </w:tcPr>
          <w:p w14:paraId="261AC588" w14:textId="55207574" w:rsidR="00B266DC" w:rsidRDefault="00B266DC" w:rsidP="00517DBC">
            <w:pPr>
              <w:spacing w:before="240" w:after="240"/>
              <w:jc w:val="center"/>
            </w:pPr>
            <w:r>
              <w:t>0.67%</w:t>
            </w:r>
          </w:p>
        </w:tc>
      </w:tr>
      <w:tr w:rsidR="00B266DC" w14:paraId="357F6E92" w14:textId="77777777" w:rsidTr="00517DBC">
        <w:tc>
          <w:tcPr>
            <w:tcW w:w="828" w:type="dxa"/>
          </w:tcPr>
          <w:p w14:paraId="0BB71D36" w14:textId="2FB222E8" w:rsidR="00B266DC" w:rsidRDefault="00B266DC" w:rsidP="00517DBC">
            <w:pPr>
              <w:spacing w:before="240" w:after="240"/>
              <w:jc w:val="center"/>
            </w:pPr>
            <w:r>
              <w:t>6</w:t>
            </w:r>
          </w:p>
        </w:tc>
        <w:tc>
          <w:tcPr>
            <w:tcW w:w="3600" w:type="dxa"/>
          </w:tcPr>
          <w:p w14:paraId="0AE86554" w14:textId="3533A9C8" w:rsidR="00B266DC" w:rsidRDefault="00B266DC" w:rsidP="00517DBC">
            <w:pPr>
              <w:spacing w:before="240" w:after="240"/>
              <w:jc w:val="center"/>
            </w:pPr>
            <w:r>
              <w:t>19.81%</w:t>
            </w:r>
          </w:p>
        </w:tc>
        <w:tc>
          <w:tcPr>
            <w:tcW w:w="3780" w:type="dxa"/>
          </w:tcPr>
          <w:p w14:paraId="108410A6" w14:textId="5946D122" w:rsidR="00B266DC" w:rsidRDefault="00B266DC" w:rsidP="00517DBC">
            <w:pPr>
              <w:spacing w:before="240" w:after="240"/>
              <w:jc w:val="center"/>
            </w:pPr>
            <w:r>
              <w:t>0.60%</w:t>
            </w:r>
          </w:p>
        </w:tc>
      </w:tr>
      <w:tr w:rsidR="00B266DC" w14:paraId="65F641FC" w14:textId="77777777" w:rsidTr="00517DBC">
        <w:tc>
          <w:tcPr>
            <w:tcW w:w="828" w:type="dxa"/>
          </w:tcPr>
          <w:p w14:paraId="74C1AEB4" w14:textId="5FF1DB7F" w:rsidR="00B266DC" w:rsidRDefault="00B266DC" w:rsidP="00517DBC">
            <w:pPr>
              <w:spacing w:before="240" w:after="240"/>
              <w:jc w:val="center"/>
            </w:pPr>
            <w:r>
              <w:t>7</w:t>
            </w:r>
          </w:p>
        </w:tc>
        <w:tc>
          <w:tcPr>
            <w:tcW w:w="3600" w:type="dxa"/>
          </w:tcPr>
          <w:p w14:paraId="45581D29" w14:textId="1A053720" w:rsidR="00B266DC" w:rsidRDefault="00B266DC" w:rsidP="00517DBC">
            <w:pPr>
              <w:spacing w:before="240" w:after="240"/>
              <w:jc w:val="center"/>
            </w:pPr>
            <w:r>
              <w:t>12.40%</w:t>
            </w:r>
          </w:p>
        </w:tc>
        <w:tc>
          <w:tcPr>
            <w:tcW w:w="3780" w:type="dxa"/>
          </w:tcPr>
          <w:p w14:paraId="60638BC7" w14:textId="0CD1F812" w:rsidR="00B266DC" w:rsidRDefault="00B266DC" w:rsidP="00517DBC">
            <w:pPr>
              <w:spacing w:before="240" w:after="240"/>
              <w:jc w:val="center"/>
            </w:pPr>
            <w:r>
              <w:t>0.58%</w:t>
            </w:r>
          </w:p>
        </w:tc>
      </w:tr>
    </w:tbl>
    <w:p w14:paraId="41744AD8" w14:textId="7C2A0A1B" w:rsidR="00DB41A6" w:rsidRDefault="004D4592" w:rsidP="00DB41A6">
      <w:proofErr w:type="gramStart"/>
      <w:r>
        <w:t>Table 2:</w:t>
      </w:r>
      <w:r w:rsidR="00291EC2">
        <w:t xml:space="preserve"> Misprediction rates for the given trace files vs the number of saved lower program counter bits using the gshare predictor scheme.</w:t>
      </w:r>
      <w:proofErr w:type="gramEnd"/>
    </w:p>
    <w:p w14:paraId="2647748E" w14:textId="5807C20D" w:rsidR="00DB41A6" w:rsidRDefault="00B30C97" w:rsidP="00DB41A6">
      <w:r>
        <w:rPr>
          <w:noProof/>
          <w:lang w:val="en-US"/>
        </w:rPr>
        <w:lastRenderedPageBreak/>
        <w:drawing>
          <wp:inline distT="0" distB="0" distL="0" distR="0" wp14:anchorId="3CAC4CDB" wp14:editId="390D491F">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C96235" w14:textId="3FA90A44" w:rsidR="004D4592" w:rsidRDefault="004D4592" w:rsidP="00DB41A6">
      <w:r>
        <w:t>Graph 2:</w:t>
      </w:r>
      <w:r w:rsidR="00291EC2">
        <w:t xml:space="preserve"> Misprediction Rate vs Saved Lower Program Counter Bits (gshare)</w:t>
      </w:r>
    </w:p>
    <w:p w14:paraId="35C95FC6" w14:textId="77777777" w:rsidR="004D4592" w:rsidRDefault="004D4592" w:rsidP="00DB41A6"/>
    <w:p w14:paraId="1E4F24FC" w14:textId="46E51348" w:rsidR="00DB41A6" w:rsidRDefault="004D4592" w:rsidP="00DB41A6">
      <w:r>
        <w:t xml:space="preserve">Saving more of the lower bits of the program counter generally caused a decrease in the misprediction rate. This is because </w:t>
      </w:r>
      <w:r w:rsidR="00577C4D">
        <w:t>with more bits the likelihood of unique two bit predictors for</w:t>
      </w:r>
      <w:r>
        <w:t xml:space="preserve"> addresses</w:t>
      </w:r>
      <w:r w:rsidR="00577C4D">
        <w:t xml:space="preserve"> increased and increases the accuracy of the predictor overall.</w:t>
      </w:r>
    </w:p>
    <w:p w14:paraId="50DC766D" w14:textId="77777777" w:rsidR="001F7551" w:rsidRDefault="001F7551"/>
    <w:p w14:paraId="3BD7C2E5" w14:textId="48DA4476" w:rsidR="008319AC" w:rsidRDefault="00155C49">
      <w:pPr>
        <w:rPr>
          <w:sz w:val="28"/>
          <w:szCs w:val="28"/>
        </w:rPr>
      </w:pPr>
      <w:r>
        <w:rPr>
          <w:b/>
          <w:sz w:val="28"/>
          <w:szCs w:val="28"/>
        </w:rPr>
        <w:t>Simple Bimodal Branch Predictor</w:t>
      </w:r>
    </w:p>
    <w:p w14:paraId="5F5CA94D" w14:textId="77777777" w:rsidR="008319AC" w:rsidRDefault="008319AC"/>
    <w:p w14:paraId="01BC7C16" w14:textId="77777777" w:rsidR="00021E6A" w:rsidRDefault="00021E6A" w:rsidP="00021E6A">
      <w:r>
        <w:t>The following settings were maintained for the predictor as instructed:</w:t>
      </w:r>
    </w:p>
    <w:p w14:paraId="202D41E1" w14:textId="4F44C0B9" w:rsidR="008319AC" w:rsidRDefault="00DA4980">
      <w:pPr>
        <w:numPr>
          <w:ilvl w:val="0"/>
          <w:numId w:val="1"/>
        </w:numPr>
      </w:pPr>
      <w:r>
        <w:t>N is set to 0</w:t>
      </w:r>
      <w:r w:rsidR="000E7E89">
        <w:t xml:space="preserve"> </w:t>
      </w:r>
      <w:r w:rsidR="00577C4D">
        <w:t>bits.</w:t>
      </w:r>
    </w:p>
    <w:p w14:paraId="31FEC94B" w14:textId="77777777" w:rsidR="008319AC" w:rsidRDefault="008319AC"/>
    <w:tbl>
      <w:tblPr>
        <w:tblStyle w:val="TableGrid"/>
        <w:tblW w:w="0" w:type="auto"/>
        <w:tblLook w:val="04A0" w:firstRow="1" w:lastRow="0" w:firstColumn="1" w:lastColumn="0" w:noHBand="0" w:noVBand="1"/>
      </w:tblPr>
      <w:tblGrid>
        <w:gridCol w:w="828"/>
        <w:gridCol w:w="3600"/>
        <w:gridCol w:w="3780"/>
      </w:tblGrid>
      <w:tr w:rsidR="000E7E89" w:rsidRPr="00C06807" w14:paraId="203F5EE3" w14:textId="77777777" w:rsidTr="00517DBC">
        <w:tc>
          <w:tcPr>
            <w:tcW w:w="828" w:type="dxa"/>
          </w:tcPr>
          <w:p w14:paraId="2E2CB8D7" w14:textId="77777777" w:rsidR="000E7E89" w:rsidRPr="00C06807" w:rsidRDefault="000E7E89" w:rsidP="00517DBC">
            <w:pPr>
              <w:spacing w:before="240" w:after="240"/>
              <w:jc w:val="center"/>
              <w:rPr>
                <w:b/>
              </w:rPr>
            </w:pPr>
            <w:r>
              <w:rPr>
                <w:b/>
              </w:rPr>
              <w:t>M</w:t>
            </w:r>
          </w:p>
        </w:tc>
        <w:tc>
          <w:tcPr>
            <w:tcW w:w="3600" w:type="dxa"/>
          </w:tcPr>
          <w:p w14:paraId="04BBEEBE" w14:textId="77777777" w:rsidR="000E7E89" w:rsidRPr="00C06807" w:rsidRDefault="000E7E89" w:rsidP="00517DBC">
            <w:pPr>
              <w:spacing w:before="240" w:after="240"/>
              <w:jc w:val="center"/>
              <w:rPr>
                <w:b/>
              </w:rPr>
            </w:pPr>
            <w:r w:rsidRPr="00C06807">
              <w:rPr>
                <w:b/>
              </w:rPr>
              <w:t>Misprediction Rate (</w:t>
            </w:r>
            <w:proofErr w:type="spellStart"/>
            <w:r w:rsidRPr="00C06807">
              <w:rPr>
                <w:b/>
              </w:rPr>
              <w:t>mcf_trace</w:t>
            </w:r>
            <w:proofErr w:type="spellEnd"/>
            <w:r w:rsidRPr="00C06807">
              <w:rPr>
                <w:b/>
              </w:rPr>
              <w:t>)</w:t>
            </w:r>
          </w:p>
        </w:tc>
        <w:tc>
          <w:tcPr>
            <w:tcW w:w="3780" w:type="dxa"/>
          </w:tcPr>
          <w:p w14:paraId="38C2B24F" w14:textId="77777777" w:rsidR="000E7E89" w:rsidRPr="00C06807" w:rsidRDefault="000E7E89" w:rsidP="00517DBC">
            <w:pPr>
              <w:spacing w:before="240" w:after="240"/>
              <w:jc w:val="center"/>
              <w:rPr>
                <w:b/>
              </w:rPr>
            </w:pPr>
            <w:r w:rsidRPr="00C06807">
              <w:rPr>
                <w:b/>
              </w:rPr>
              <w:t>Misprediction Rate (</w:t>
            </w:r>
            <w:proofErr w:type="spellStart"/>
            <w:r w:rsidRPr="00C06807">
              <w:rPr>
                <w:b/>
              </w:rPr>
              <w:t>gobmk_trace</w:t>
            </w:r>
            <w:proofErr w:type="spellEnd"/>
            <w:r w:rsidRPr="00C06807">
              <w:rPr>
                <w:b/>
              </w:rPr>
              <w:t>)</w:t>
            </w:r>
          </w:p>
        </w:tc>
      </w:tr>
      <w:tr w:rsidR="000E7E89" w14:paraId="782B8AC3" w14:textId="77777777" w:rsidTr="00517DBC">
        <w:tc>
          <w:tcPr>
            <w:tcW w:w="828" w:type="dxa"/>
          </w:tcPr>
          <w:p w14:paraId="3A27EA4E" w14:textId="77777777" w:rsidR="000E7E89" w:rsidRDefault="000E7E89" w:rsidP="00517DBC">
            <w:pPr>
              <w:spacing w:before="240" w:after="240"/>
              <w:jc w:val="center"/>
            </w:pPr>
            <w:r>
              <w:t>4</w:t>
            </w:r>
          </w:p>
        </w:tc>
        <w:tc>
          <w:tcPr>
            <w:tcW w:w="3600" w:type="dxa"/>
          </w:tcPr>
          <w:p w14:paraId="285482E3" w14:textId="7B7CB543" w:rsidR="000E7E89" w:rsidRDefault="00C21453" w:rsidP="00517DBC">
            <w:pPr>
              <w:spacing w:before="240" w:after="240"/>
              <w:jc w:val="center"/>
            </w:pPr>
            <w:r>
              <w:t>23.76%</w:t>
            </w:r>
          </w:p>
        </w:tc>
        <w:tc>
          <w:tcPr>
            <w:tcW w:w="3780" w:type="dxa"/>
          </w:tcPr>
          <w:p w14:paraId="4D2DFC0E" w14:textId="0D37E383" w:rsidR="000E7E89" w:rsidRDefault="00C21453" w:rsidP="00517DBC">
            <w:pPr>
              <w:spacing w:before="240" w:after="240"/>
              <w:jc w:val="center"/>
            </w:pPr>
            <w:r>
              <w:t>0.69%</w:t>
            </w:r>
          </w:p>
        </w:tc>
      </w:tr>
      <w:tr w:rsidR="000E7E89" w14:paraId="5F4D357C" w14:textId="77777777" w:rsidTr="00517DBC">
        <w:tc>
          <w:tcPr>
            <w:tcW w:w="828" w:type="dxa"/>
          </w:tcPr>
          <w:p w14:paraId="39774756" w14:textId="77777777" w:rsidR="000E7E89" w:rsidRDefault="000E7E89" w:rsidP="00517DBC">
            <w:pPr>
              <w:spacing w:before="240" w:after="240"/>
              <w:jc w:val="center"/>
            </w:pPr>
            <w:r>
              <w:t>5</w:t>
            </w:r>
          </w:p>
        </w:tc>
        <w:tc>
          <w:tcPr>
            <w:tcW w:w="3600" w:type="dxa"/>
          </w:tcPr>
          <w:p w14:paraId="2FF888AF" w14:textId="7A42C206" w:rsidR="000E7E89" w:rsidRDefault="00C21453" w:rsidP="00517DBC">
            <w:pPr>
              <w:spacing w:before="240" w:after="240"/>
              <w:jc w:val="center"/>
            </w:pPr>
            <w:r>
              <w:t>20.83%</w:t>
            </w:r>
          </w:p>
        </w:tc>
        <w:tc>
          <w:tcPr>
            <w:tcW w:w="3780" w:type="dxa"/>
          </w:tcPr>
          <w:p w14:paraId="6CA05E44" w14:textId="341FDA15" w:rsidR="000E7E89" w:rsidRDefault="00C21453" w:rsidP="00517DBC">
            <w:pPr>
              <w:spacing w:before="240" w:after="240"/>
              <w:jc w:val="center"/>
            </w:pPr>
            <w:r>
              <w:t>0.66%</w:t>
            </w:r>
          </w:p>
        </w:tc>
      </w:tr>
      <w:tr w:rsidR="000E7E89" w14:paraId="1484B3BD" w14:textId="77777777" w:rsidTr="00517DBC">
        <w:tc>
          <w:tcPr>
            <w:tcW w:w="828" w:type="dxa"/>
          </w:tcPr>
          <w:p w14:paraId="3009CDB5" w14:textId="77777777" w:rsidR="000E7E89" w:rsidRDefault="000E7E89" w:rsidP="00517DBC">
            <w:pPr>
              <w:spacing w:before="240" w:after="240"/>
              <w:jc w:val="center"/>
            </w:pPr>
            <w:r>
              <w:t>6</w:t>
            </w:r>
          </w:p>
        </w:tc>
        <w:tc>
          <w:tcPr>
            <w:tcW w:w="3600" w:type="dxa"/>
          </w:tcPr>
          <w:p w14:paraId="032575AB" w14:textId="6E1A5597" w:rsidR="000E7E89" w:rsidRDefault="00C21453" w:rsidP="00517DBC">
            <w:pPr>
              <w:spacing w:before="240" w:after="240"/>
              <w:jc w:val="center"/>
            </w:pPr>
            <w:r>
              <w:t>15.07%</w:t>
            </w:r>
          </w:p>
        </w:tc>
        <w:tc>
          <w:tcPr>
            <w:tcW w:w="3780" w:type="dxa"/>
          </w:tcPr>
          <w:p w14:paraId="4F1FDD96" w14:textId="44FE18A8" w:rsidR="000E7E89" w:rsidRDefault="00C21453" w:rsidP="00517DBC">
            <w:pPr>
              <w:spacing w:before="240" w:after="240"/>
              <w:jc w:val="center"/>
            </w:pPr>
            <w:r>
              <w:t>0.67%</w:t>
            </w:r>
          </w:p>
        </w:tc>
      </w:tr>
      <w:tr w:rsidR="000E7E89" w14:paraId="3B65ADAC" w14:textId="77777777" w:rsidTr="00517DBC">
        <w:tc>
          <w:tcPr>
            <w:tcW w:w="828" w:type="dxa"/>
          </w:tcPr>
          <w:p w14:paraId="41F027E3" w14:textId="77777777" w:rsidR="000E7E89" w:rsidRDefault="000E7E89" w:rsidP="00517DBC">
            <w:pPr>
              <w:spacing w:before="240" w:after="240"/>
              <w:jc w:val="center"/>
            </w:pPr>
            <w:r>
              <w:t>7</w:t>
            </w:r>
          </w:p>
        </w:tc>
        <w:tc>
          <w:tcPr>
            <w:tcW w:w="3600" w:type="dxa"/>
          </w:tcPr>
          <w:p w14:paraId="3536FB38" w14:textId="035273FA" w:rsidR="000E7E89" w:rsidRDefault="00C21453" w:rsidP="00517DBC">
            <w:pPr>
              <w:spacing w:before="240" w:after="240"/>
              <w:jc w:val="center"/>
            </w:pPr>
            <w:r>
              <w:t>10.63%</w:t>
            </w:r>
          </w:p>
        </w:tc>
        <w:tc>
          <w:tcPr>
            <w:tcW w:w="3780" w:type="dxa"/>
          </w:tcPr>
          <w:p w14:paraId="19505F53" w14:textId="6304C919" w:rsidR="000E7E89" w:rsidRDefault="00C21453" w:rsidP="00517DBC">
            <w:pPr>
              <w:spacing w:before="240" w:after="240"/>
              <w:jc w:val="center"/>
            </w:pPr>
            <w:r>
              <w:t>0.60%</w:t>
            </w:r>
          </w:p>
        </w:tc>
      </w:tr>
    </w:tbl>
    <w:p w14:paraId="2AD24B92" w14:textId="714BFC48" w:rsidR="00291EC2" w:rsidRDefault="00D52A58" w:rsidP="00291EC2">
      <w:proofErr w:type="gramStart"/>
      <w:r>
        <w:t>Table 3:</w:t>
      </w:r>
      <w:r w:rsidR="00291EC2">
        <w:t xml:space="preserve"> Misprediction rates for the given trace files vs the number of saved lower program counter bits using the simple bimodal predictor scheme.</w:t>
      </w:r>
      <w:proofErr w:type="gramEnd"/>
    </w:p>
    <w:p w14:paraId="32EAA96E" w14:textId="5F827513" w:rsidR="00DA4980" w:rsidRDefault="00DA4980" w:rsidP="00DA4980"/>
    <w:p w14:paraId="1BA0E83F" w14:textId="41CAEC4A" w:rsidR="00DA4980" w:rsidRDefault="00B30C97" w:rsidP="00DA4980">
      <w:r>
        <w:rPr>
          <w:noProof/>
          <w:lang w:val="en-US"/>
        </w:rPr>
        <w:lastRenderedPageBreak/>
        <w:drawing>
          <wp:inline distT="0" distB="0" distL="0" distR="0" wp14:anchorId="20D7B710" wp14:editId="0E96B509">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AEDF62" w14:textId="370C11D7" w:rsidR="00D52A58" w:rsidRPr="00291EC2" w:rsidRDefault="00D52A58" w:rsidP="00DA4980">
      <w:r>
        <w:t>Graph 3:</w:t>
      </w:r>
      <w:r w:rsidR="00291EC2">
        <w:t xml:space="preserve"> Misprediction Rate vs Saved Lower Program Counter Bits (simple bimodal)</w:t>
      </w:r>
    </w:p>
    <w:p w14:paraId="1E85CBA1" w14:textId="77777777" w:rsidR="00B30C97" w:rsidRDefault="00B30C97" w:rsidP="00DA4980"/>
    <w:p w14:paraId="04E491A9" w14:textId="4A6E9E43" w:rsidR="00021E6A" w:rsidRDefault="0044374B">
      <w:r>
        <w:t>Both</w:t>
      </w:r>
      <w:r w:rsidR="00B30C97">
        <w:t xml:space="preserve"> the simple bimodal and gshare branch predictors </w:t>
      </w:r>
      <w:r>
        <w:t>showed a decrease in the misprediction rate when the number of lower program counter bits utilized increases.</w:t>
      </w:r>
      <w:r w:rsidR="00D52A58">
        <w:t xml:space="preserve"> This is because </w:t>
      </w:r>
      <w:r w:rsidR="00CB63DE">
        <w:t>the gshare predictor scheme acts similar to the bimodal prediction scheme</w:t>
      </w:r>
      <w:r w:rsidR="0075392F">
        <w:t xml:space="preserve"> and avoids the aliasing problem mentioned in the global branch history analysis.</w:t>
      </w:r>
    </w:p>
    <w:p w14:paraId="7FE3F8D1" w14:textId="77777777" w:rsidR="008319AC" w:rsidRDefault="008319AC"/>
    <w:p w14:paraId="67CD6C99" w14:textId="77777777" w:rsidR="008319AC" w:rsidRDefault="00E64A49">
      <w:pPr>
        <w:rPr>
          <w:sz w:val="28"/>
          <w:szCs w:val="28"/>
        </w:rPr>
      </w:pPr>
      <w:r>
        <w:rPr>
          <w:b/>
          <w:sz w:val="28"/>
          <w:szCs w:val="28"/>
        </w:rPr>
        <w:t>Conclusion</w:t>
      </w:r>
    </w:p>
    <w:p w14:paraId="4ECC2164" w14:textId="77777777" w:rsidR="008319AC" w:rsidRDefault="008319AC"/>
    <w:p w14:paraId="1ADA140B" w14:textId="3CD23497" w:rsidR="008319AC" w:rsidRDefault="00E64A49">
      <w:r>
        <w:t xml:space="preserve">From this project and the experiments performed above, </w:t>
      </w:r>
      <w:r w:rsidR="00D52A58">
        <w:t xml:space="preserve">we have seen how both the size of the global branch history and the </w:t>
      </w:r>
      <w:r w:rsidR="00EE08FA">
        <w:t>number of saved program counter bits influences</w:t>
      </w:r>
      <w:r w:rsidR="00D52A58">
        <w:t xml:space="preserve"> the misprediction rate of the gshare branch predictor.</w:t>
      </w:r>
      <w:r w:rsidR="00EE08FA">
        <w:t xml:space="preserve"> </w:t>
      </w:r>
      <w:r w:rsidR="00E41AC2">
        <w:t xml:space="preserve">Changing the global branch history size caused a general increase in the misprediction rate due to overlapping mappings, called aliasing. This problem is reduced when more of the lower program counter bits are retained, and the addresses become more unique. </w:t>
      </w:r>
      <w:r w:rsidR="00EE08FA">
        <w:t>We have also seen how the behaviors of both the simple bimodal and gshare predictors are similar.</w:t>
      </w:r>
      <w:bookmarkStart w:id="0" w:name="_GoBack"/>
      <w:bookmarkEnd w:id="0"/>
      <w:r w:rsidR="00E41AC2">
        <w:t xml:space="preserve"> </w:t>
      </w:r>
    </w:p>
    <w:sectPr w:rsidR="008319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E5718"/>
    <w:multiLevelType w:val="hybridMultilevel"/>
    <w:tmpl w:val="8D7A2DF2"/>
    <w:lvl w:ilvl="0" w:tplc="388A78D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1608C"/>
    <w:multiLevelType w:val="hybridMultilevel"/>
    <w:tmpl w:val="9BB03B0E"/>
    <w:lvl w:ilvl="0" w:tplc="CF268D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253A5"/>
    <w:multiLevelType w:val="multilevel"/>
    <w:tmpl w:val="33F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AC"/>
    <w:rsid w:val="00021E6A"/>
    <w:rsid w:val="000E7E89"/>
    <w:rsid w:val="00120594"/>
    <w:rsid w:val="00134650"/>
    <w:rsid w:val="00155C49"/>
    <w:rsid w:val="001F7551"/>
    <w:rsid w:val="00213776"/>
    <w:rsid w:val="00237865"/>
    <w:rsid w:val="00291EC2"/>
    <w:rsid w:val="00394469"/>
    <w:rsid w:val="0044374B"/>
    <w:rsid w:val="004B52CC"/>
    <w:rsid w:val="004D4592"/>
    <w:rsid w:val="00552895"/>
    <w:rsid w:val="00577C4D"/>
    <w:rsid w:val="005E2076"/>
    <w:rsid w:val="0075392F"/>
    <w:rsid w:val="007578E6"/>
    <w:rsid w:val="00817F9D"/>
    <w:rsid w:val="008319AC"/>
    <w:rsid w:val="009D1560"/>
    <w:rsid w:val="00A15231"/>
    <w:rsid w:val="00AF538C"/>
    <w:rsid w:val="00B266DC"/>
    <w:rsid w:val="00B30C97"/>
    <w:rsid w:val="00C06807"/>
    <w:rsid w:val="00C21453"/>
    <w:rsid w:val="00CB63DE"/>
    <w:rsid w:val="00D52A58"/>
    <w:rsid w:val="00D72BDB"/>
    <w:rsid w:val="00DA2EFB"/>
    <w:rsid w:val="00DA4980"/>
    <w:rsid w:val="00DB346A"/>
    <w:rsid w:val="00DB41A6"/>
    <w:rsid w:val="00DF655F"/>
    <w:rsid w:val="00E41AC2"/>
    <w:rsid w:val="00E64A49"/>
    <w:rsid w:val="00E94669"/>
    <w:rsid w:val="00EA190D"/>
    <w:rsid w:val="00EE08FA"/>
    <w:rsid w:val="00F24AFE"/>
    <w:rsid w:val="00F40E76"/>
    <w:rsid w:val="00FE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7551"/>
    <w:pPr>
      <w:ind w:left="720"/>
      <w:contextualSpacing/>
    </w:pPr>
  </w:style>
  <w:style w:type="paragraph" w:styleId="BalloonText">
    <w:name w:val="Balloon Text"/>
    <w:basedOn w:val="Normal"/>
    <w:link w:val="BalloonTextChar"/>
    <w:uiPriority w:val="99"/>
    <w:semiHidden/>
    <w:unhideWhenUsed/>
    <w:rsid w:val="00DB4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A6"/>
    <w:rPr>
      <w:rFonts w:ascii="Tahoma" w:hAnsi="Tahoma" w:cs="Tahoma"/>
      <w:sz w:val="16"/>
      <w:szCs w:val="16"/>
    </w:rPr>
  </w:style>
  <w:style w:type="table" w:styleId="TableGrid">
    <w:name w:val="Table Grid"/>
    <w:basedOn w:val="TableNormal"/>
    <w:uiPriority w:val="39"/>
    <w:rsid w:val="001346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7551"/>
    <w:pPr>
      <w:ind w:left="720"/>
      <w:contextualSpacing/>
    </w:pPr>
  </w:style>
  <w:style w:type="paragraph" w:styleId="BalloonText">
    <w:name w:val="Balloon Text"/>
    <w:basedOn w:val="Normal"/>
    <w:link w:val="BalloonTextChar"/>
    <w:uiPriority w:val="99"/>
    <w:semiHidden/>
    <w:unhideWhenUsed/>
    <w:rsid w:val="00DB4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A6"/>
    <w:rPr>
      <w:rFonts w:ascii="Tahoma" w:hAnsi="Tahoma" w:cs="Tahoma"/>
      <w:sz w:val="16"/>
      <w:szCs w:val="16"/>
    </w:rPr>
  </w:style>
  <w:style w:type="table" w:styleId="TableGrid">
    <w:name w:val="Table Grid"/>
    <w:basedOn w:val="TableNormal"/>
    <w:uiPriority w:val="39"/>
    <w:rsid w:val="001346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Document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Document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mcf_trace.txt</c:v>
          </c:tx>
          <c:marker>
            <c:symbol val="none"/>
          </c:marker>
          <c:xVal>
            <c:numRef>
              <c:f>Sheet1!$A$1:$A$4</c:f>
              <c:numCache>
                <c:formatCode>General</c:formatCode>
                <c:ptCount val="4"/>
                <c:pt idx="0">
                  <c:v>1</c:v>
                </c:pt>
                <c:pt idx="1">
                  <c:v>2</c:v>
                </c:pt>
                <c:pt idx="2">
                  <c:v>3</c:v>
                </c:pt>
                <c:pt idx="3">
                  <c:v>4</c:v>
                </c:pt>
              </c:numCache>
            </c:numRef>
          </c:xVal>
          <c:yVal>
            <c:numRef>
              <c:f>Sheet1!$B$1:$B$4</c:f>
              <c:numCache>
                <c:formatCode>0.00%</c:formatCode>
                <c:ptCount val="4"/>
                <c:pt idx="0">
                  <c:v>0.24709999999999999</c:v>
                </c:pt>
                <c:pt idx="1">
                  <c:v>0.26860000000000001</c:v>
                </c:pt>
                <c:pt idx="2">
                  <c:v>0.29360000000000003</c:v>
                </c:pt>
                <c:pt idx="3">
                  <c:v>0.31719999999999998</c:v>
                </c:pt>
              </c:numCache>
            </c:numRef>
          </c:yVal>
          <c:smooth val="1"/>
        </c:ser>
        <c:ser>
          <c:idx val="1"/>
          <c:order val="1"/>
          <c:tx>
            <c:v>gobmk_trace.txt</c:v>
          </c:tx>
          <c:marker>
            <c:symbol val="none"/>
          </c:marker>
          <c:xVal>
            <c:numRef>
              <c:f>Sheet1!$A$1:$A$4</c:f>
              <c:numCache>
                <c:formatCode>General</c:formatCode>
                <c:ptCount val="4"/>
                <c:pt idx="0">
                  <c:v>1</c:v>
                </c:pt>
                <c:pt idx="1">
                  <c:v>2</c:v>
                </c:pt>
                <c:pt idx="2">
                  <c:v>3</c:v>
                </c:pt>
                <c:pt idx="3">
                  <c:v>4</c:v>
                </c:pt>
              </c:numCache>
            </c:numRef>
          </c:xVal>
          <c:yVal>
            <c:numRef>
              <c:f>Sheet1!$C$1:$C$4</c:f>
              <c:numCache>
                <c:formatCode>0.00%</c:formatCode>
                <c:ptCount val="4"/>
                <c:pt idx="0">
                  <c:v>7.7000000000000002E-3</c:v>
                </c:pt>
                <c:pt idx="1">
                  <c:v>8.6999999999999994E-3</c:v>
                </c:pt>
                <c:pt idx="2">
                  <c:v>8.6E-3</c:v>
                </c:pt>
                <c:pt idx="3">
                  <c:v>8.2000000000000007E-3</c:v>
                </c:pt>
              </c:numCache>
            </c:numRef>
          </c:yVal>
          <c:smooth val="1"/>
        </c:ser>
        <c:dLbls>
          <c:showLegendKey val="0"/>
          <c:showVal val="0"/>
          <c:showCatName val="0"/>
          <c:showSerName val="0"/>
          <c:showPercent val="0"/>
          <c:showBubbleSize val="0"/>
        </c:dLbls>
        <c:axId val="85454848"/>
        <c:axId val="85456768"/>
      </c:scatterChart>
      <c:valAx>
        <c:axId val="85454848"/>
        <c:scaling>
          <c:orientation val="minMax"/>
        </c:scaling>
        <c:delete val="0"/>
        <c:axPos val="b"/>
        <c:title>
          <c:tx>
            <c:rich>
              <a:bodyPr/>
              <a:lstStyle/>
              <a:p>
                <a:pPr>
                  <a:defRPr/>
                </a:pPr>
                <a:r>
                  <a:rPr lang="en-US"/>
                  <a:t>GBH</a:t>
                </a:r>
                <a:r>
                  <a:rPr lang="en-US" baseline="0"/>
                  <a:t> Register Size (in bits)</a:t>
                </a:r>
                <a:endParaRPr lang="en-US"/>
              </a:p>
            </c:rich>
          </c:tx>
          <c:overlay val="0"/>
        </c:title>
        <c:numFmt formatCode="General" sourceLinked="1"/>
        <c:majorTickMark val="out"/>
        <c:minorTickMark val="none"/>
        <c:tickLblPos val="nextTo"/>
        <c:crossAx val="85456768"/>
        <c:crosses val="autoZero"/>
        <c:crossBetween val="midCat"/>
      </c:valAx>
      <c:valAx>
        <c:axId val="85456768"/>
        <c:scaling>
          <c:orientation val="minMax"/>
        </c:scaling>
        <c:delete val="0"/>
        <c:axPos val="l"/>
        <c:majorGridlines/>
        <c:title>
          <c:tx>
            <c:rich>
              <a:bodyPr rot="-5400000" vert="horz"/>
              <a:lstStyle/>
              <a:p>
                <a:pPr>
                  <a:defRPr/>
                </a:pPr>
                <a:r>
                  <a:rPr lang="en-US"/>
                  <a:t>Misprediction Rate</a:t>
                </a:r>
              </a:p>
            </c:rich>
          </c:tx>
          <c:overlay val="0"/>
        </c:title>
        <c:numFmt formatCode="0.00%" sourceLinked="1"/>
        <c:majorTickMark val="out"/>
        <c:minorTickMark val="none"/>
        <c:tickLblPos val="nextTo"/>
        <c:crossAx val="8545484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mcf_trace.txt</c:v>
          </c:tx>
          <c:marker>
            <c:symbol val="none"/>
          </c:marker>
          <c:xVal>
            <c:numRef>
              <c:f>Sheet1!$A$17:$A$20</c:f>
              <c:numCache>
                <c:formatCode>General</c:formatCode>
                <c:ptCount val="4"/>
                <c:pt idx="0">
                  <c:v>4</c:v>
                </c:pt>
                <c:pt idx="1">
                  <c:v>5</c:v>
                </c:pt>
                <c:pt idx="2">
                  <c:v>6</c:v>
                </c:pt>
                <c:pt idx="3">
                  <c:v>7</c:v>
                </c:pt>
              </c:numCache>
            </c:numRef>
          </c:xVal>
          <c:yVal>
            <c:numRef>
              <c:f>Sheet1!$B$17:$B$20</c:f>
              <c:numCache>
                <c:formatCode>0.00%</c:formatCode>
                <c:ptCount val="4"/>
                <c:pt idx="0">
                  <c:v>0.31719999999999998</c:v>
                </c:pt>
                <c:pt idx="1">
                  <c:v>0.2656</c:v>
                </c:pt>
                <c:pt idx="2">
                  <c:v>0.1981</c:v>
                </c:pt>
                <c:pt idx="3">
                  <c:v>0.124</c:v>
                </c:pt>
              </c:numCache>
            </c:numRef>
          </c:yVal>
          <c:smooth val="1"/>
        </c:ser>
        <c:ser>
          <c:idx val="1"/>
          <c:order val="1"/>
          <c:tx>
            <c:v>gobmk_trace.txt</c:v>
          </c:tx>
          <c:marker>
            <c:symbol val="none"/>
          </c:marker>
          <c:xVal>
            <c:numRef>
              <c:f>Sheet1!$A$17:$A$20</c:f>
              <c:numCache>
                <c:formatCode>General</c:formatCode>
                <c:ptCount val="4"/>
                <c:pt idx="0">
                  <c:v>4</c:v>
                </c:pt>
                <c:pt idx="1">
                  <c:v>5</c:v>
                </c:pt>
                <c:pt idx="2">
                  <c:v>6</c:v>
                </c:pt>
                <c:pt idx="3">
                  <c:v>7</c:v>
                </c:pt>
              </c:numCache>
            </c:numRef>
          </c:xVal>
          <c:yVal>
            <c:numRef>
              <c:f>Sheet1!$C$17:$C$20</c:f>
              <c:numCache>
                <c:formatCode>0.00%</c:formatCode>
                <c:ptCount val="4"/>
                <c:pt idx="0">
                  <c:v>8.2000000000000007E-3</c:v>
                </c:pt>
                <c:pt idx="1">
                  <c:v>6.7000000000000002E-3</c:v>
                </c:pt>
                <c:pt idx="2">
                  <c:v>6.0000000000000001E-3</c:v>
                </c:pt>
                <c:pt idx="3">
                  <c:v>5.7999999999999996E-3</c:v>
                </c:pt>
              </c:numCache>
            </c:numRef>
          </c:yVal>
          <c:smooth val="1"/>
        </c:ser>
        <c:dLbls>
          <c:showLegendKey val="0"/>
          <c:showVal val="0"/>
          <c:showCatName val="0"/>
          <c:showSerName val="0"/>
          <c:showPercent val="0"/>
          <c:showBubbleSize val="0"/>
        </c:dLbls>
        <c:axId val="85445632"/>
        <c:axId val="86185088"/>
      </c:scatterChart>
      <c:valAx>
        <c:axId val="85445632"/>
        <c:scaling>
          <c:orientation val="minMax"/>
        </c:scaling>
        <c:delete val="0"/>
        <c:axPos val="b"/>
        <c:title>
          <c:tx>
            <c:rich>
              <a:bodyPr/>
              <a:lstStyle/>
              <a:p>
                <a:pPr>
                  <a:defRPr/>
                </a:pPr>
                <a:r>
                  <a:rPr lang="en-US"/>
                  <a:t>Lower</a:t>
                </a:r>
                <a:r>
                  <a:rPr lang="en-US" baseline="0"/>
                  <a:t> Program Counter Bits</a:t>
                </a:r>
                <a:endParaRPr lang="en-US"/>
              </a:p>
            </c:rich>
          </c:tx>
          <c:overlay val="0"/>
        </c:title>
        <c:numFmt formatCode="General" sourceLinked="1"/>
        <c:majorTickMark val="out"/>
        <c:minorTickMark val="none"/>
        <c:tickLblPos val="nextTo"/>
        <c:crossAx val="86185088"/>
        <c:crosses val="autoZero"/>
        <c:crossBetween val="midCat"/>
      </c:valAx>
      <c:valAx>
        <c:axId val="86185088"/>
        <c:scaling>
          <c:orientation val="minMax"/>
        </c:scaling>
        <c:delete val="0"/>
        <c:axPos val="l"/>
        <c:majorGridlines/>
        <c:title>
          <c:tx>
            <c:rich>
              <a:bodyPr rot="-5400000" vert="horz"/>
              <a:lstStyle/>
              <a:p>
                <a:pPr>
                  <a:defRPr/>
                </a:pPr>
                <a:r>
                  <a:rPr lang="en-US"/>
                  <a:t>Misprediction Rate</a:t>
                </a:r>
              </a:p>
            </c:rich>
          </c:tx>
          <c:overlay val="0"/>
        </c:title>
        <c:numFmt formatCode="0.00%" sourceLinked="1"/>
        <c:majorTickMark val="out"/>
        <c:minorTickMark val="none"/>
        <c:tickLblPos val="nextTo"/>
        <c:crossAx val="8544563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mcf_trace.txt</c:v>
          </c:tx>
          <c:marker>
            <c:symbol val="none"/>
          </c:marker>
          <c:xVal>
            <c:numRef>
              <c:f>Sheet1!$A$32:$A$35</c:f>
              <c:numCache>
                <c:formatCode>General</c:formatCode>
                <c:ptCount val="4"/>
                <c:pt idx="0">
                  <c:v>4</c:v>
                </c:pt>
                <c:pt idx="1">
                  <c:v>5</c:v>
                </c:pt>
                <c:pt idx="2">
                  <c:v>6</c:v>
                </c:pt>
                <c:pt idx="3">
                  <c:v>7</c:v>
                </c:pt>
              </c:numCache>
            </c:numRef>
          </c:xVal>
          <c:yVal>
            <c:numRef>
              <c:f>Sheet1!$B$32:$B$35</c:f>
              <c:numCache>
                <c:formatCode>0.00%</c:formatCode>
                <c:ptCount val="4"/>
                <c:pt idx="0">
                  <c:v>0.23760000000000001</c:v>
                </c:pt>
                <c:pt idx="1">
                  <c:v>0.20830000000000001</c:v>
                </c:pt>
                <c:pt idx="2">
                  <c:v>0.1507</c:v>
                </c:pt>
                <c:pt idx="3">
                  <c:v>0.10630000000000001</c:v>
                </c:pt>
              </c:numCache>
            </c:numRef>
          </c:yVal>
          <c:smooth val="1"/>
        </c:ser>
        <c:ser>
          <c:idx val="1"/>
          <c:order val="1"/>
          <c:tx>
            <c:v>gobmk_trace.txt</c:v>
          </c:tx>
          <c:marker>
            <c:symbol val="none"/>
          </c:marker>
          <c:xVal>
            <c:numRef>
              <c:f>Sheet1!$A$32:$A$35</c:f>
              <c:numCache>
                <c:formatCode>General</c:formatCode>
                <c:ptCount val="4"/>
                <c:pt idx="0">
                  <c:v>4</c:v>
                </c:pt>
                <c:pt idx="1">
                  <c:v>5</c:v>
                </c:pt>
                <c:pt idx="2">
                  <c:v>6</c:v>
                </c:pt>
                <c:pt idx="3">
                  <c:v>7</c:v>
                </c:pt>
              </c:numCache>
            </c:numRef>
          </c:xVal>
          <c:yVal>
            <c:numRef>
              <c:f>Sheet1!$C$32:$C$35</c:f>
              <c:numCache>
                <c:formatCode>0.00%</c:formatCode>
                <c:ptCount val="4"/>
                <c:pt idx="0">
                  <c:v>6.8999999999999999E-3</c:v>
                </c:pt>
                <c:pt idx="1">
                  <c:v>6.6E-3</c:v>
                </c:pt>
                <c:pt idx="2">
                  <c:v>6.7000000000000002E-3</c:v>
                </c:pt>
                <c:pt idx="3">
                  <c:v>6.0000000000000001E-3</c:v>
                </c:pt>
              </c:numCache>
            </c:numRef>
          </c:yVal>
          <c:smooth val="1"/>
        </c:ser>
        <c:dLbls>
          <c:showLegendKey val="0"/>
          <c:showVal val="0"/>
          <c:showCatName val="0"/>
          <c:showSerName val="0"/>
          <c:showPercent val="0"/>
          <c:showBubbleSize val="0"/>
        </c:dLbls>
        <c:axId val="86226816"/>
        <c:axId val="92872704"/>
      </c:scatterChart>
      <c:valAx>
        <c:axId val="86226816"/>
        <c:scaling>
          <c:orientation val="minMax"/>
        </c:scaling>
        <c:delete val="0"/>
        <c:axPos val="b"/>
        <c:title>
          <c:tx>
            <c:rich>
              <a:bodyPr/>
              <a:lstStyle/>
              <a:p>
                <a:pPr>
                  <a:defRPr/>
                </a:pPr>
                <a:r>
                  <a:rPr lang="en-US"/>
                  <a:t>Lower Program Counter Bits</a:t>
                </a:r>
              </a:p>
            </c:rich>
          </c:tx>
          <c:overlay val="0"/>
        </c:title>
        <c:numFmt formatCode="General" sourceLinked="1"/>
        <c:majorTickMark val="out"/>
        <c:minorTickMark val="none"/>
        <c:tickLblPos val="nextTo"/>
        <c:crossAx val="92872704"/>
        <c:crosses val="autoZero"/>
        <c:crossBetween val="midCat"/>
      </c:valAx>
      <c:valAx>
        <c:axId val="92872704"/>
        <c:scaling>
          <c:orientation val="minMax"/>
        </c:scaling>
        <c:delete val="0"/>
        <c:axPos val="l"/>
        <c:majorGridlines/>
        <c:title>
          <c:tx>
            <c:rich>
              <a:bodyPr rot="-5400000" vert="horz"/>
              <a:lstStyle/>
              <a:p>
                <a:pPr>
                  <a:defRPr/>
                </a:pPr>
                <a:r>
                  <a:rPr lang="en-US"/>
                  <a:t>Misprediction Rate</a:t>
                </a:r>
              </a:p>
            </c:rich>
          </c:tx>
          <c:overlay val="0"/>
        </c:title>
        <c:numFmt formatCode="0.00%" sourceLinked="1"/>
        <c:majorTickMark val="out"/>
        <c:minorTickMark val="none"/>
        <c:tickLblPos val="nextTo"/>
        <c:crossAx val="862268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Nichols</dc:creator>
  <cp:lastModifiedBy>Joshua Nichols</cp:lastModifiedBy>
  <cp:revision>2</cp:revision>
  <dcterms:created xsi:type="dcterms:W3CDTF">2019-11-30T22:35:00Z</dcterms:created>
  <dcterms:modified xsi:type="dcterms:W3CDTF">2019-11-30T22:35:00Z</dcterms:modified>
</cp:coreProperties>
</file>