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等线" w:hAnsi="等线" w:eastAsia="等线"/>
          <w:b w:val="0"/>
          <w:color w:val="1E3C8C"/>
          <w:sz w:val="36"/>
        </w:rPr>
        <w:t>基于AI的Word论文格式自动修改工具设计与实现</w:t>
      </w:r>
    </w:p>
    <w:p>
      <w:pPr>
        <w:spacing w:line="240" w:lineRule="auto"/>
        <w:ind w:firstLine="0"/>
        <w:jc w:val="right"/>
      </w:pPr>
      <w:r>
        <w:rPr>
          <w:rFonts w:ascii="仿宋" w:hAnsi="仿宋" w:eastAsia="仿宋"/>
          <w:b w:val="0"/>
          <w:sz w:val="21"/>
        </w:rPr>
        <w:t>摘要：本文围绕大学课程论文格式修改中存在的重复劳动问题，设计一个能够读取.docx文件、识别论文结构、按模板自动排版并生成处理报告的工具。本文档故意使用混乱格式，用于测试网页上传版处理流程。</w:t>
      </w:r>
    </w:p>
    <w:p>
      <w:pPr>
        <w:jc w:val="center"/>
      </w:pPr>
      <w:r>
        <w:rPr>
          <w:rFonts w:ascii="楷体" w:hAnsi="楷体" w:eastAsia="楷体"/>
          <w:b/>
          <w:sz w:val="28"/>
        </w:rPr>
        <w:t>关键词：Word格式；论文排版；模板配置；Next.js；Python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一、研究背景</w:t>
      </w:r>
    </w:p>
    <w:p>
      <w:pPr>
        <w:spacing w:line="288" w:lineRule="auto"/>
        <w:ind w:firstLine="240"/>
      </w:pPr>
      <w:r>
        <w:rPr>
          <w:rFonts w:ascii="微软雅黑" w:hAnsi="微软雅黑" w:eastAsia="微软雅黑"/>
          <w:b w:val="0"/>
          <w:sz w:val="22"/>
        </w:rPr>
        <w:t>随着高校课程论文和实践报告数量增加，学生经常需要按照不同教师或学院要求反复调整字体、字号、行距、缩进、标题层级和参考文献格式。这类工作技术含量不高，却非常耗费时间。</w:t>
      </w:r>
    </w:p>
    <w:p>
      <w:pPr>
        <w:spacing w:line="480" w:lineRule="auto"/>
        <w:ind w:firstLine="0"/>
      </w:pPr>
      <w:r>
        <w:rPr>
          <w:rFonts w:ascii="Arial" w:hAnsi="Arial" w:eastAsia="Arial"/>
          <w:b w:val="0"/>
          <w:sz w:val="26"/>
        </w:rPr>
        <w:t>1. 这是一个很长的正文段落，虽然开头带有数字编号，但它其实不是标题，而是为了测试程序的误判警告机制而设计的长正文。程序如果足够稳健，应当把它识别为正文，或者至少在报告中提醒人工确认。</w:t>
      </w:r>
    </w:p>
    <w:p>
      <w:pPr>
        <w:jc w:val="right"/>
      </w:pPr>
      <w:r>
        <w:rPr>
          <w:rFonts w:ascii="黑体" w:hAnsi="黑体" w:eastAsia="黑体"/>
          <w:b/>
          <w:sz w:val="32"/>
        </w:rPr>
        <w:t>（一）用户痛点</w:t>
      </w:r>
    </w:p>
    <w:p>
      <w:pPr>
        <w:spacing w:line="240" w:lineRule="auto"/>
        <w:ind w:firstLine="360"/>
      </w:pPr>
      <w:r>
        <w:rPr>
          <w:rFonts w:ascii="宋体" w:hAnsi="宋体" w:eastAsia="宋体"/>
          <w:b w:val="0"/>
          <w:sz w:val="20"/>
        </w:rPr>
        <w:t>多数学生并不是不会写论文，而是在最后排版阶段被大量细节拖住。不同模板之间的差异，让手动修改变成一种低价值但高频率的劳动。</w:t>
      </w:r>
    </w:p>
    <w:p>
      <w:pPr>
        <w:jc w:val="left"/>
      </w:pPr>
      <w:r>
        <w:rPr>
          <w:rFonts w:ascii="Calibri" w:hAnsi="Calibri" w:eastAsia="Calibri"/>
          <w:b w:val="0"/>
          <w:sz w:val="30"/>
        </w:rPr>
        <w:t>1.1 技术路线</w:t>
      </w:r>
    </w:p>
    <w:p>
      <w:pPr>
        <w:spacing w:line="432" w:lineRule="auto"/>
        <w:ind w:firstLine="0"/>
      </w:pPr>
      <w:r>
        <w:rPr>
          <w:rFonts w:ascii="仿宋" w:hAnsi="仿宋" w:eastAsia="仿宋"/>
          <w:b w:val="0"/>
          <w:sz w:val="22"/>
        </w:rPr>
        <w:t>系统采用前后端分工的方式：Next.js负责本地网页上传、模板选择和结果展示；Python负责真正读取和修改Word文件；JSON模板负责保存不同论文格式规则。</w:t>
      </w:r>
    </w:p>
    <w:p>
      <w:pPr>
        <w:jc w:val="center"/>
      </w:pPr>
      <w:r>
        <w:rPr>
          <w:rFonts w:ascii="微软雅黑" w:hAnsi="微软雅黑" w:eastAsia="微软雅黑"/>
          <w:b/>
          <w:sz w:val="18"/>
        </w:rPr>
        <w:t>1.1.1 本地网页调用Python工具</w:t>
      </w:r>
    </w:p>
    <w:p>
      <w:pPr>
        <w:spacing w:line="240" w:lineRule="auto"/>
        <w:ind w:firstLine="480"/>
      </w:pPr>
      <w:r>
        <w:rPr>
          <w:rFonts w:ascii="等线" w:hAnsi="等线" w:eastAsia="等线"/>
          <w:b w:val="0"/>
          <w:sz w:val="25"/>
        </w:rPr>
        <w:t>网页端并不直接解析Word文件，而是把上传的.docx保存到临时任务目录，再通过Node.js的child_process.spawn调用已有Python命令行工具，最后读取报告并返回下载链接。</w:t>
      </w:r>
    </w:p>
    <w:p>
      <w:pPr>
        <w:jc w:val="left"/>
      </w:pPr>
      <w:r>
        <w:rPr>
          <w:rFonts w:ascii="楷体" w:hAnsi="楷体" w:eastAsia="楷体"/>
          <w:b w:val="0"/>
          <w:sz w:val="26"/>
        </w:rPr>
        <w:t>二、功能设计</w:t>
      </w:r>
    </w:p>
    <w:p>
      <w:pPr>
        <w:spacing w:line="480" w:lineRule="auto"/>
        <w:ind w:firstLine="0"/>
      </w:pPr>
      <w:r>
        <w:rPr>
          <w:rFonts w:ascii="Arial" w:hAnsi="Arial" w:eastAsia="Arial"/>
          <w:b w:val="0"/>
          <w:sz w:val="24"/>
        </w:rPr>
        <w:t>该工具第一阶段不追求覆盖所有复杂论文规范，而是优先完成上传、处理、下载和报告查看四个基本动作，形成最小可用闭环。</w:t>
      </w:r>
    </w:p>
    <w:p>
      <w:pPr>
        <w:jc w:val="left"/>
      </w:pPr>
      <w:r>
        <w:rPr>
          <w:rFonts w:ascii="宋体" w:hAnsi="宋体" w:eastAsia="宋体"/>
          <w:b/>
          <w:sz w:val="22"/>
        </w:rPr>
        <w:t>表1 论文格式处理流程示例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3059"/>
          </w:tcPr>
          <w:p>
            <w:r/>
            <w:r>
              <w:rPr>
                <w:rFonts w:ascii="微软雅黑" w:hAnsi="微软雅黑" w:eastAsia="微软雅黑"/>
                <w:b/>
                <w:sz w:val="24"/>
              </w:rPr>
              <w:t>阶段</w:t>
            </w:r>
          </w:p>
        </w:tc>
        <w:tc>
          <w:tcPr>
            <w:tcW w:type="dxa" w:w="3059"/>
          </w:tcPr>
          <w:p>
            <w:r/>
            <w:r>
              <w:rPr>
                <w:rFonts w:ascii="微软雅黑" w:hAnsi="微软雅黑" w:eastAsia="微软雅黑"/>
                <w:b/>
                <w:sz w:val="24"/>
              </w:rPr>
              <w:t>输入</w:t>
            </w:r>
          </w:p>
        </w:tc>
        <w:tc>
          <w:tcPr>
            <w:tcW w:type="dxa" w:w="3059"/>
          </w:tcPr>
          <w:p>
            <w:r/>
            <w:r>
              <w:rPr>
                <w:rFonts w:ascii="微软雅黑" w:hAnsi="微软雅黑" w:eastAsia="微软雅黑"/>
                <w:b/>
                <w:sz w:val="24"/>
              </w:rPr>
              <w:t>输出</w:t>
            </w:r>
          </w:p>
        </w:tc>
      </w:tr>
      <w:tr>
        <w:tc>
          <w:tcPr>
            <w:tcW w:type="dxa" w:w="3059"/>
            <w:vAlign w:val="center"/>
          </w:tcPr>
          <w:p>
            <w:r/>
            <w:r>
              <w:rPr>
                <w:rFonts w:ascii="楷体" w:hAnsi="楷体" w:eastAsia="楷体"/>
                <w:sz w:val="28"/>
              </w:rPr>
              <w:t>上传</w:t>
            </w:r>
          </w:p>
        </w:tc>
        <w:tc>
          <w:tcPr>
            <w:tcW w:type="dxa" w:w="3059"/>
            <w:vAlign w:val="center"/>
          </w:tcPr>
          <w:p>
            <w:r/>
            <w:r>
              <w:rPr>
                <w:rFonts w:ascii="楷体" w:hAnsi="楷体" w:eastAsia="楷体"/>
                <w:sz w:val="20"/>
              </w:rPr>
              <w:t>原始.docx</w:t>
            </w:r>
          </w:p>
        </w:tc>
        <w:tc>
          <w:tcPr>
            <w:tcW w:type="dxa" w:w="3059"/>
            <w:vAlign w:val="center"/>
          </w:tcPr>
          <w:p>
            <w:r/>
            <w:r>
              <w:rPr>
                <w:rFonts w:ascii="楷体" w:hAnsi="楷体" w:eastAsia="楷体"/>
                <w:sz w:val="20"/>
              </w:rPr>
              <w:t>临时 input.docx</w:t>
            </w:r>
          </w:p>
        </w:tc>
      </w:tr>
      <w:tr>
        <w:tc>
          <w:tcPr>
            <w:tcW w:type="dxa" w:w="3059"/>
            <w:vAlign w:val="center"/>
          </w:tcPr>
          <w:p>
            <w:r/>
            <w:r>
              <w:rPr>
                <w:rFonts w:ascii="楷体" w:hAnsi="楷体" w:eastAsia="楷体"/>
                <w:sz w:val="28"/>
              </w:rPr>
              <w:t>处理</w:t>
            </w:r>
          </w:p>
        </w:tc>
        <w:tc>
          <w:tcPr>
            <w:tcW w:type="dxa" w:w="3059"/>
            <w:vAlign w:val="center"/>
          </w:tcPr>
          <w:p>
            <w:r/>
            <w:r>
              <w:rPr>
                <w:rFonts w:ascii="楷体" w:hAnsi="楷体" w:eastAsia="楷体"/>
                <w:sz w:val="20"/>
              </w:rPr>
              <w:t>模板JSON + input.docx</w:t>
            </w:r>
          </w:p>
        </w:tc>
        <w:tc>
          <w:tcPr>
            <w:tcW w:type="dxa" w:w="3059"/>
            <w:vAlign w:val="center"/>
          </w:tcPr>
          <w:p>
            <w:r/>
            <w:r>
              <w:rPr>
                <w:rFonts w:ascii="楷体" w:hAnsi="楷体" w:eastAsia="楷体"/>
                <w:sz w:val="20"/>
              </w:rPr>
              <w:t>output.docx + report.json</w:t>
            </w:r>
          </w:p>
        </w:tc>
      </w:tr>
      <w:tr>
        <w:tc>
          <w:tcPr>
            <w:tcW w:type="dxa" w:w="3059"/>
            <w:vAlign w:val="center"/>
          </w:tcPr>
          <w:p>
            <w:r/>
            <w:r>
              <w:rPr>
                <w:rFonts w:ascii="楷体" w:hAnsi="楷体" w:eastAsia="楷体"/>
                <w:sz w:val="28"/>
              </w:rPr>
              <w:t>展示</w:t>
            </w:r>
          </w:p>
        </w:tc>
        <w:tc>
          <w:tcPr>
            <w:tcW w:type="dxa" w:w="3059"/>
            <w:vAlign w:val="center"/>
          </w:tcPr>
          <w:p>
            <w:r/>
            <w:r>
              <w:rPr>
                <w:rFonts w:ascii="楷体" w:hAnsi="楷体" w:eastAsia="楷体"/>
                <w:sz w:val="20"/>
              </w:rPr>
              <w:t>report.json</w:t>
            </w:r>
          </w:p>
        </w:tc>
        <w:tc>
          <w:tcPr>
            <w:tcW w:type="dxa" w:w="3059"/>
            <w:vAlign w:val="center"/>
          </w:tcPr>
          <w:p>
            <w:r/>
            <w:r>
              <w:rPr>
                <w:rFonts w:ascii="楷体" w:hAnsi="楷体" w:eastAsia="楷体"/>
                <w:sz w:val="20"/>
              </w:rPr>
              <w:t>统计摘要与警告列表</w:t>
            </w:r>
          </w:p>
        </w:tc>
      </w:tr>
    </w:tbl>
    <w:p>
      <w:pPr>
        <w:jc w:val="center"/>
      </w:pPr>
      <w:r>
        <w:rPr>
          <w:rFonts w:ascii="宋体" w:hAnsi="宋体" w:eastAsia="宋体"/>
          <w:b w:val="0"/>
          <w:sz w:val="20"/>
        </w:rPr>
        <w:t>三、测试说明</w:t>
      </w:r>
    </w:p>
    <w:p>
      <w:pPr>
        <w:spacing w:line="288" w:lineRule="auto"/>
        <w:ind w:firstLine="0"/>
      </w:pPr>
      <w:r>
        <w:rPr>
          <w:rFonts w:ascii="微软雅黑" w:hAnsi="微软雅黑" w:eastAsia="微软雅黑"/>
          <w:b w:val="0"/>
          <w:sz w:val="24"/>
        </w:rPr>
        <w:t>本测试文件刻意混合多种字体、字号、对齐方式、缩进和行距，用来观察网页上传版是否能成功调用Python处理器，并查看default与course_paper两个模板产生的差异。</w:t>
      </w:r>
    </w:p>
    <w:p>
      <w:r>
        <w:t>该图用于说明本地网页、Next.js API 和 Python 处理工具之间的调用关系。</w:t>
      </w:r>
    </w:p>
    <w:p>
      <w:r>
        <w:t>图1 系统架构图</w:t>
      </w:r>
    </w:p>
    <w:p>
      <w:pPr>
        <w:jc w:val="left"/>
      </w:pPr>
      <w:r>
        <w:rPr>
          <w:rFonts w:ascii="Arial" w:hAnsi="Arial" w:eastAsia="Arial"/>
          <w:b w:val="0"/>
          <w:sz w:val="24"/>
        </w:rPr>
        <w:t>参考文献</w:t>
      </w:r>
    </w:p>
    <w:p>
      <w:r>
        <w:rPr>
          <w:rFonts w:ascii="微软雅黑" w:hAnsi="微软雅黑" w:eastAsia="微软雅黑"/>
          <w:b w:val="0"/>
          <w:sz w:val="21"/>
        </w:rPr>
        <w:t>[1] 张三. 自动化文档处理技术研究[J]. 计算机应用研究, 2024, 41(2): 100-108.</w:t>
      </w:r>
    </w:p>
    <w:p>
      <w:r>
        <w:rPr>
          <w:rFonts w:ascii="等线" w:hAnsi="等线" w:eastAsia="等线"/>
          <w:b w:val="0"/>
          <w:sz w:val="26"/>
        </w:rPr>
        <w:t>[2] 李四. 基于模板配置的论文格式规范化工具设计[D]. 河南大学, 2025.</w:t>
      </w:r>
    </w:p>
    <w:p>
      <w:r>
        <w:rPr>
          <w:rFonts w:ascii="仿宋" w:hAnsi="仿宋" w:eastAsia="仿宋"/>
          <w:b w:val="0"/>
          <w:sz w:val="22"/>
        </w:rPr>
        <w:t>1. 注意：这是一条参考文献区域内的编号文本，不应该被重新识别为正文标题。</w:t>
      </w:r>
    </w:p>
    <w:sectPr w:rsidR="00FC693F" w:rsidRPr="0006063C" w:rsidSect="00034616">
      <w:pgSz w:w="12240" w:h="15840"/>
      <w:pgMar w:top="1814" w:right="1928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