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drawing>
          <wp:inline xmlns:a="http://schemas.openxmlformats.org/drawingml/2006/main" xmlns:pic="http://schemas.openxmlformats.org/drawingml/2006/picture">
            <wp:extent cx="502920" cy="502920"/>
            <wp:docPr id="1" name="Picture 1" descr="芯鉴知微项目标志" title="芯鉴知微项目标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njian-brand-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Heiti SC" w:hAnsi="Heiti SC" w:eastAsia="Heiti SC"/>
          <w:b/>
          <w:color w:val="2E74B5"/>
          <w:sz w:val="20"/>
        </w:rPr>
        <w:t>项目交付报告 · TEAM HANDOFF</w:t>
      </w:r>
    </w:p>
    <w:p>
      <w:pPr>
        <w:spacing w:before="0" w:after="100"/>
      </w:pPr>
      <w:r>
        <w:rPr>
          <w:rFonts w:ascii="Heiti SC" w:hAnsi="Heiti SC" w:eastAsia="Heiti SC"/>
          <w:b/>
          <w:color w:val="17324D"/>
          <w:sz w:val="48"/>
        </w:rPr>
        <w:t>芯鉴知微：当前能力、关键缺口与未来推进路线</w:t>
      </w:r>
    </w:p>
    <w:p>
      <w:pPr>
        <w:spacing w:after="360"/>
      </w:pPr>
      <w:r>
        <w:rPr>
          <w:rFonts w:ascii="Heiti SC" w:hAnsi="Heiti SC" w:eastAsia="Heiti SC"/>
          <w:color w:val="64748B"/>
          <w:sz w:val="25"/>
        </w:rPr>
        <w:t>面向高校嵌入式与物联网实验课程的实时日志、确定性诊断、知识治理与教师处置平台</w:t>
      </w:r>
    </w:p>
    <w:p>
      <w:pPr>
        <w:spacing w:after="40" w:line="240" w:lineRule="auto"/>
      </w:pPr>
      <w:r>
        <w:rPr>
          <w:rFonts w:ascii="Heiti SC" w:hAnsi="Heiti SC" w:eastAsia="Heiti SC"/>
          <w:b/>
          <w:color w:val="17324D"/>
          <w:sz w:val="21"/>
        </w:rPr>
        <w:t>项目版本：</w:t>
      </w:r>
      <w:r>
        <w:rPr>
          <w:rFonts w:ascii="Heiti SC" w:hAnsi="Heiti SC" w:eastAsia="Heiti SC"/>
          <w:color w:val="202B35"/>
          <w:sz w:val="21"/>
        </w:rPr>
        <w:t>1.0.0</w:t>
      </w:r>
    </w:p>
    <w:p>
      <w:pPr>
        <w:spacing w:after="40" w:line="240" w:lineRule="auto"/>
      </w:pPr>
      <w:r>
        <w:rPr>
          <w:rFonts w:ascii="Heiti SC" w:hAnsi="Heiti SC" w:eastAsia="Heiti SC"/>
          <w:b/>
          <w:color w:val="17324D"/>
          <w:sz w:val="21"/>
        </w:rPr>
        <w:t>Git 基线：</w:t>
      </w:r>
      <w:r>
        <w:rPr>
          <w:rFonts w:ascii="Heiti SC" w:hAnsi="Heiti SC" w:eastAsia="Heiti SC"/>
          <w:color w:val="202B35"/>
          <w:sz w:val="21"/>
        </w:rPr>
        <w:t>b5a767a309053ec9e787d459bda396355b6de54e</w:t>
      </w:r>
    </w:p>
    <w:p>
      <w:pPr>
        <w:spacing w:after="40" w:line="240" w:lineRule="auto"/>
      </w:pPr>
      <w:r>
        <w:rPr>
          <w:rFonts w:ascii="Heiti SC" w:hAnsi="Heiti SC" w:eastAsia="Heiti SC"/>
          <w:b/>
          <w:color w:val="17324D"/>
          <w:sz w:val="21"/>
        </w:rPr>
        <w:t>数据库迁移：</w:t>
      </w:r>
      <w:r>
        <w:rPr>
          <w:rFonts w:ascii="Heiti SC" w:hAnsi="Heiti SC" w:eastAsia="Heiti SC"/>
          <w:color w:val="202B35"/>
          <w:sz w:val="21"/>
        </w:rPr>
        <w:t>20260730_0015 (head)</w:t>
      </w:r>
    </w:p>
    <w:p>
      <w:pPr>
        <w:spacing w:after="40" w:line="240" w:lineRule="auto"/>
      </w:pPr>
      <w:r>
        <w:rPr>
          <w:rFonts w:ascii="Heiti SC" w:hAnsi="Heiti SC" w:eastAsia="Heiti SC"/>
          <w:b/>
          <w:color w:val="17324D"/>
          <w:sz w:val="21"/>
        </w:rPr>
        <w:t>报告日期：</w:t>
      </w:r>
      <w:r>
        <w:rPr>
          <w:rFonts w:ascii="Heiti SC" w:hAnsi="Heiti SC" w:eastAsia="Heiti SC"/>
          <w:color w:val="202B35"/>
          <w:sz w:val="21"/>
        </w:rPr>
        <w:t>2026-07-31</w:t>
      </w:r>
    </w:p>
    <w:p>
      <w:pPr>
        <w:spacing w:after="40" w:line="240" w:lineRule="auto"/>
      </w:pPr>
      <w:r>
        <w:rPr>
          <w:rFonts w:ascii="Heiti SC" w:hAnsi="Heiti SC" w:eastAsia="Heiti SC"/>
          <w:b/>
          <w:color w:val="17324D"/>
          <w:sz w:val="21"/>
        </w:rPr>
        <w:t>证据范围：</w:t>
      </w:r>
      <w:r>
        <w:rPr>
          <w:rFonts w:ascii="Heiti SC" w:hAnsi="Heiti SC" w:eastAsia="Heiti SC"/>
          <w:color w:val="202B35"/>
          <w:sz w:val="21"/>
        </w:rPr>
        <w:t>当前已提交源码、自动化测试、Docker 运行验收及项目状态文档</w:t>
      </w:r>
    </w:p>
    <w:p>
      <w:pPr>
        <w:pStyle w:val="Heading1"/>
        <w:keepNext/>
      </w:pPr>
      <w:r>
        <w:t>一页结论</w:t>
      </w:r>
    </w:p>
    <w:p>
      <w:pPr>
        <w:spacing w:before="80" w:after="200" w:line="276" w:lineRule="auto"/>
        <w:ind w:left="173" w:right="173"/>
        <w:shd w:fill="EAF2F8"/>
        <w:pBdr>
          <w:left w:val="single" w:sz="18" w:space="8" w:color="2E74B5"/>
        </w:pBdr>
      </w:pPr>
      <w:r>
        <w:rPr>
          <w:rFonts w:ascii="Heiti SC" w:hAnsi="Heiti SC" w:eastAsia="Heiti SC"/>
          <w:b/>
          <w:color w:val="2E74B5"/>
          <w:sz w:val="22"/>
        </w:rPr>
        <w:t xml:space="preserve">当前定位  </w:t>
      </w:r>
      <w:r>
        <w:rPr>
          <w:rFonts w:ascii="Heiti SC" w:hAnsi="Heiti SC" w:eastAsia="Heiti SC"/>
          <w:color w:val="202B35"/>
          <w:sz w:val="22"/>
        </w:rPr>
        <w:t>项目已经达到“软件通用框架可交付、合成环境可完整演示”的程度；可以演示设备上报、规则诊断、学生反馈、教师工单和知识/AI 治理边界，但没有真实设备数据，不能宣称已经具备经验证的真实硬件故障诊断能力。</w:t>
      </w:r>
    </w:p>
    <w:p>
      <w:r>
        <w:rPr>
          <w:rFonts w:ascii="Heiti SC" w:hAnsi="Heiti SC" w:eastAsia="Heiti SC"/>
          <w:b/>
          <w:color w:val="202B35"/>
          <w:sz w:val="22"/>
        </w:rPr>
        <w:t>已经完成：</w:t>
      </w:r>
      <w:r>
        <w:rPr>
          <w:rFonts w:ascii="Heiti SC" w:hAnsi="Heiti SC" w:eastAsia="Heiti SC"/>
          <w:color w:val="202B35"/>
          <w:sz w:val="22"/>
        </w:rPr>
        <w:t>设备协议、模拟器、确定性诊断、分层提示、学生端、教师端、课堂 RBAC、知识工作区、Provider 无关 AI 框架、就绪门禁、Docker 与自动化测试。</w:t>
      </w:r>
    </w:p>
    <w:p>
      <w:r>
        <w:rPr>
          <w:rFonts w:ascii="Heiti SC" w:hAnsi="Heiti SC" w:eastAsia="Heiti SC"/>
          <w:b/>
          <w:color w:val="202B35"/>
          <w:sz w:val="22"/>
        </w:rPr>
        <w:t>当前证据：</w:t>
      </w:r>
      <w:r>
        <w:rPr>
          <w:rFonts w:ascii="Heiti SC" w:hAnsi="Heiti SC" w:eastAsia="Heiti SC"/>
          <w:color w:val="202B35"/>
          <w:sz w:val="22"/>
        </w:rPr>
        <w:t>后端 88 项测试通过、前端 10 项单元测试通过、Playwright 4 项通过，PostgreSQL / backend / frontend 三个 Docker 服务已验证为 healthy。</w:t>
      </w:r>
    </w:p>
    <w:p>
      <w:r>
        <w:rPr>
          <w:rFonts w:ascii="Heiti SC" w:hAnsi="Heiti SC" w:eastAsia="Heiti SC"/>
          <w:b/>
          <w:color w:val="202B35"/>
          <w:sz w:val="22"/>
        </w:rPr>
        <w:t>关键缺口：</w:t>
      </w:r>
      <w:r>
        <w:rPr>
          <w:rFonts w:ascii="Heiti SC" w:hAnsi="Heiti SC" w:eastAsia="Heiti SC"/>
          <w:color w:val="202B35"/>
          <w:sz w:val="22"/>
        </w:rPr>
        <w:t>真实硬件与固件、正式字段与阈值、带真值故障样本、授权知识、正式课堂数据、AI/Embedding 配置与审批、生产部署参数和量化验收指标。</w:t>
      </w:r>
    </w:p>
    <w:p>
      <w:pPr>
        <w:spacing w:before="80" w:after="200" w:line="276" w:lineRule="auto"/>
        <w:ind w:left="173" w:right="173"/>
        <w:shd w:fill="FFF4D6"/>
        <w:pBdr>
          <w:left w:val="single" w:sz="18" w:space="8" w:color="8A6500"/>
        </w:pBdr>
      </w:pPr>
      <w:r>
        <w:rPr>
          <w:rFonts w:ascii="Heiti SC" w:hAnsi="Heiti SC" w:eastAsia="Heiti SC"/>
          <w:b/>
          <w:color w:val="8A6500"/>
          <w:sz w:val="22"/>
        </w:rPr>
        <w:t xml:space="preserve">对外表述边界  </w:t>
      </w:r>
      <w:r>
        <w:rPr>
          <w:rFonts w:ascii="Heiti SC" w:hAnsi="Heiti SC" w:eastAsia="Heiti SC"/>
          <w:color w:val="202B35"/>
          <w:sz w:val="22"/>
        </w:rPr>
        <w:t>可以称为“嵌入式实验智能分析平台的软件原型/通用框架”；不可称为“已经完成真实硬件故障诊断验证”或“已经拥有正式专业知识库”。</w:t>
      </w:r>
    </w:p>
    <w:p>
      <w:r>
        <w:br w:type="page"/>
      </w:r>
    </w:p>
    <w:p>
      <w:pPr>
        <w:pStyle w:val="Heading1"/>
        <w:keepNext/>
      </w:pPr>
      <w:r>
        <w:t>1. 当前已经能做到什么</w:t>
      </w:r>
    </w:p>
    <w:p>
      <w:r>
        <w:rPr>
          <w:rFonts w:ascii="Heiti SC" w:hAnsi="Heiti SC" w:eastAsia="Heiti SC"/>
          <w:color w:val="202B35"/>
          <w:sz w:val="22"/>
        </w:rPr>
        <w:t>以下能力均已在源码中实现。状态列用于区分“软件能力已完成”与“业务真实性已经成立”这两个不同层级。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4140"/>
        <w:gridCol w:w="1650"/>
        <w:gridCol w:w="2120"/>
      </w:tblGrid>
      <w:tr>
        <w:trPr>
          <w:tblHeader w:val="true"/>
        </w:trPr>
        <w:tc>
          <w:tcPr>
            <w:tcW w:type="dxa" w:w="14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14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16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成熟度</w:t>
            </w:r>
          </w:p>
        </w:tc>
        <w:tc>
          <w:tcPr>
            <w:tcW w:type="dxa" w:w="212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主要证据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设备接入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批量原子上报日志、读数和心跳；持久化幂等、序列冲突、乱序保护、限流及旧接口兼容。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7"/>
              </w:rPr>
              <w:t>已完成（测试验证）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backend/app/api/v1/routes/device.py；设备协议文档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虚拟实验室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10 个版本化 YAML 合成场景；支持校验、运行、重放、报告和定向清理。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7"/>
              </w:rPr>
              <w:t>已完成（仅测试数据）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simulator/；docs/simulator-design.md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确定性诊断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从日志、心跳、读数和模板快照构造上下文，运行 YAML 规则并保留证据、版本和哈希。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7"/>
              </w:rPr>
              <w:t>已完成（示例规则）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backend/app/diagnosis/；docs/diagnosis-rules.md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故障树与提示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候选原因排序、Level 1–4 分层排查、重复失败升级及教师介入触发。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7"/>
              </w:rPr>
              <w:t>已完成（占位参数）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backend/app/diagnosis/fault_trees/；fault-tree-guidance.md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学生端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设备会话、状态、日志、趋势、诊断证据、原因与步骤、反馈和教师处理状态回显。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7"/>
              </w:rPr>
              <w:t>已完成（合成演示）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frontend/src/views/StudentDashboardView.vue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教师端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Bearer 登录、班级范围看板、异常和日志、学生求助工单认领/解决/关闭及结果回传。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7"/>
              </w:rPr>
              <w:t>已完成（合成演示）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frontend/src/views/TeacherDashboardView.vue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知识治理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TXT/MD/CSV/DOCX/PDF 导入、草稿编辑、分块、六状态审核、来源与版本门禁。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A33A3A"/>
                <w:sz w:val="17"/>
              </w:rPr>
              <w:t>框架完成（正式知识缺失）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backend/app/services/knowledge.py；docs/knowledge-base.md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AI 增强框架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统一 AIClient、严格 Schema、缓存、预算、审计、隐私白名单和确定性降级。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框架完成（真实调用关闭）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backend/app/services/ai_diagnosis.py；docs/ai-diagnosis-design.md</w:t>
            </w:r>
          </w:p>
        </w:tc>
      </w:tr>
      <w:tr>
        <w:trPr/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交付与运维</w:t>
            </w:r>
          </w:p>
        </w:tc>
        <w:tc>
          <w:tcPr>
            <w:tcW w:type="dxa" w:w="414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Docker Compose、健康/就绪探针、CI、备份恢复、发布清单和 readiness 页面。</w:t>
            </w:r>
          </w:p>
        </w:tc>
        <w:tc>
          <w:tcPr>
            <w:tcW w:type="dxa" w:w="16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7"/>
              </w:rPr>
              <w:t>本地完成（生产未就绪）</w:t>
            </w:r>
          </w:p>
        </w:tc>
        <w:tc>
          <w:tcPr>
            <w:tcW w:type="dxa" w:w="21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7"/>
              </w:rPr>
              <w:t>compose.yaml；scripts/；docs/deployment.md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当前仍然缺失什么</w:t>
      </w:r>
    </w:p>
    <w:p>
      <w:pPr>
        <w:spacing w:before="80" w:after="200" w:line="276" w:lineRule="auto"/>
        <w:ind w:left="173" w:right="173"/>
        <w:shd w:fill="FDECEC"/>
        <w:pBdr>
          <w:left w:val="single" w:sz="18" w:space="8" w:color="A33A3A"/>
        </w:pBdr>
      </w:pPr>
      <w:r>
        <w:rPr>
          <w:rFonts w:ascii="Heiti SC" w:hAnsi="Heiti SC" w:eastAsia="Heiti SC"/>
          <w:b/>
          <w:color w:val="A33A3A"/>
          <w:sz w:val="22"/>
        </w:rPr>
        <w:t xml:space="preserve">最重要的判断  </w:t>
      </w:r>
      <w:r>
        <w:rPr>
          <w:rFonts w:ascii="Heiti SC" w:hAnsi="Heiti SC" w:eastAsia="Heiti SC"/>
          <w:color w:val="202B35"/>
          <w:sz w:val="22"/>
        </w:rPr>
        <w:t>当前缺失的核心不是更多页面，而是能够把“示例规则”升级为“可靠诊断依据”的真实硬件、真值样本、授权知识和正式业务配置。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30"/>
        <w:gridCol w:w="1550"/>
        <w:gridCol w:w="3190"/>
        <w:gridCol w:w="2320"/>
        <w:gridCol w:w="1670"/>
      </w:tblGrid>
      <w:tr>
        <w:trPr>
          <w:tblHeader w:val="true"/>
        </w:trPr>
        <w:tc>
          <w:tcPr>
            <w:tcW w:type="dxa" w:w="63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5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缺失项</w:t>
            </w:r>
          </w:p>
        </w:tc>
        <w:tc>
          <w:tcPr>
            <w:tcW w:type="dxa" w:w="319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需要提供/确认的内容</w:t>
            </w:r>
          </w:p>
        </w:tc>
        <w:tc>
          <w:tcPr>
            <w:tcW w:type="dxa" w:w="232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当前影响</w:t>
            </w:r>
          </w:p>
        </w:tc>
        <w:tc>
          <w:tcPr>
            <w:tcW w:type="dxa" w:w="167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建议责任方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P0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真实硬件与正式固件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开发板/传感器 BOM、型号与版本、原理图、接线、GPIO、供电、安全限制、正式固件。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无法验证协议、采样、掉线、读数异常和修复闭环。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项目负责人 + 硬件同学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P0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正式数据合同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字段、单位、量程、精度、采样频率、心跳、重试、批量策略、错误码和时间质量规则。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无法冻结设备—后端协议和模板参数。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硬件同学 + 后端负责人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P0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真实诊断依据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正常/故障样本、故障真值、确认根因、修复动作、复测结果，以及说明书/标准中的阈值依据。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现有 YAML 只能作为示例或占位，不能证明诊断准确率。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指导教师 + 硬件同学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P1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正式知识资料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可授权说明书、实验讲义、维修案例、行业标准或论文；来源 URI、版本、许可证与适用硬件。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知识工作区有结构但没有可用于正式 RAG 的内容。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指导教师 + 知识审核人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P1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正式课堂数据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用户、课程、班级、角色、实验任务、设备绑定和试点范围。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无法计算真实班级进度、完成率和正式教师处置指标。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课程负责人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P1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AI 与 Embedding 决策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服务端 Key、模型/维度、预算、限流、数据外发与保留审批、失败责任边界。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AI 保持关闭；向量检索只能使用明确测试向量。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项目负责人 + 数据安全负责人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P2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生产基础设施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域名、HTTPS、服务器、网络拓扑、数据库密码、密钥管理、监控告警、备份责任和保留期限。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当前仅证明本地 Compose 可运行，不等于生产可用。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部署负责人</w:t>
            </w:r>
          </w:p>
        </w:tc>
      </w:tr>
      <w:tr>
        <w:trPr/>
        <w:tc>
          <w:tcPr>
            <w:tcW w:type="dxa" w:w="63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P2</w:t>
            </w:r>
          </w:p>
        </w:tc>
        <w:tc>
          <w:tcPr>
            <w:tcW w:type="dxa" w:w="15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量化验收标准</w:t>
            </w:r>
          </w:p>
        </w:tc>
        <w:tc>
          <w:tcPr>
            <w:tcW w:type="dxa" w:w="319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诊断准确率/召回率、误报率、处理时延、可用性、恢复目标、试点通过标准。</w:t>
            </w:r>
          </w:p>
        </w:tc>
        <w:tc>
          <w:tcPr>
            <w:tcW w:type="dxa" w:w="232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无法客观判断何时从原型升级为可靠系统。</w:t>
            </w:r>
          </w:p>
        </w:tc>
        <w:tc>
          <w:tcPr>
            <w:tcW w:type="dxa" w:w="167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全体负责人共同确认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当前能证明与不能证明的边界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shd w:fill="1F4D78"/>
            <w:tcBorders>
              <w:top w:val="single" w:sz="6" w:color="1F4D78"/>
              <w:left w:val="single" w:sz="6" w:color="1F4D78"/>
              <w:bottom w:val="single" w:sz="6" w:color="1F4D78"/>
              <w:right w:val="single" w:sz="6" w:color="1F4D78"/>
              <w:insideH w:val="single" w:sz="6" w:color="1F4D78"/>
              <w:insideV w:val="single" w:sz="6" w:color="1F4D78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结论类型</w:t>
            </w:r>
          </w:p>
        </w:tc>
        <w:tc>
          <w:tcPr>
            <w:tcW w:type="dxa" w:w="7660"/>
            <w:shd w:fill="1F4D78"/>
            <w:tcBorders>
              <w:top w:val="single" w:sz="6" w:color="1F4D78"/>
              <w:left w:val="single" w:sz="6" w:color="1F4D78"/>
              <w:bottom w:val="single" w:sz="6" w:color="1F4D78"/>
              <w:right w:val="single" w:sz="6" w:color="1F4D78"/>
              <w:insideH w:val="single" w:sz="6" w:color="1F4D78"/>
              <w:insideV w:val="single" w:sz="6" w:color="1F4D78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明确边界</w:t>
            </w:r>
          </w:p>
        </w:tc>
      </w:tr>
      <w:tr>
        <w:trPr/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9"/>
              </w:rPr>
              <w:t>可以证明</w:t>
            </w:r>
          </w:p>
        </w:tc>
        <w:tc>
          <w:tcPr>
            <w:tcW w:type="dxa" w:w="7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9"/>
              </w:rPr>
              <w:t>软件框架能接收测试设备数据；合成场景可重复；示例规则输出确定；学生求助与教师处理可闭环；知识和 AI 在缺失条件下能够失败关闭；本地 Docker 与自动化测试可通过。</w:t>
            </w:r>
          </w:p>
        </w:tc>
      </w:tr>
      <w:tr>
        <w:trPr/>
        <w:tc>
          <w:tcPr>
            <w:tcW w:type="dxa" w:w="1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9"/>
              </w:rPr>
              <w:t>不能证明</w:t>
            </w:r>
          </w:p>
        </w:tc>
        <w:tc>
          <w:tcPr>
            <w:tcW w:type="dxa" w:w="7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9"/>
              </w:rPr>
              <w:t>对某一真实 ESP32/传感器组合的诊断准确性；阈值符合说明书或行业标准；知识库包含正式专业知识；真实 AI 服务已调用；系统满足生产 SLA；系统已通过正式课堂试运行。</w:t>
            </w:r>
          </w:p>
        </w:tc>
      </w:tr>
    </w:tbl>
    <w:p>
      <w:pPr>
        <w:spacing w:after="40"/>
      </w:pPr>
    </w:p>
    <w:p>
      <w:pPr>
        <w:spacing w:before="80" w:after="200" w:line="276" w:lineRule="auto"/>
        <w:ind w:left="173" w:right="173"/>
        <w:shd w:fill="FDECEC"/>
        <w:pBdr>
          <w:left w:val="single" w:sz="18" w:space="8" w:color="A33A3A"/>
        </w:pBdr>
      </w:pPr>
      <w:r>
        <w:rPr>
          <w:rFonts w:ascii="Heiti SC" w:hAnsi="Heiti SC" w:eastAsia="Heiti SC"/>
          <w:b/>
          <w:color w:val="A33A3A"/>
          <w:sz w:val="22"/>
        </w:rPr>
        <w:t xml:space="preserve">真实硬件诊断结论  </w:t>
      </w:r>
      <w:r>
        <w:rPr>
          <w:rFonts w:ascii="Heiti SC" w:hAnsi="Heiti SC" w:eastAsia="Heiti SC"/>
          <w:color w:val="202B35"/>
          <w:sz w:val="22"/>
        </w:rPr>
        <w:t>当前系统尚不具备“已经验证”的真实硬件故障诊断能力。它具备承接真实数据、正式规则和正式知识的工程基础，但可靠性必须通过后续硬件联调、真值样本和量化评测建立。</w:t>
      </w:r>
    </w:p>
    <w:p>
      <w:pPr>
        <w:pStyle w:val="Heading1"/>
        <w:keepNext/>
      </w:pPr>
      <w:r>
        <w:t>4. 建议的未来推进路线</w:t>
      </w:r>
    </w:p>
    <w:p>
      <w:r>
        <w:rPr>
          <w:rFonts w:ascii="Heiti SC" w:hAnsi="Heiti SC" w:eastAsia="Heiti SC"/>
          <w:color w:val="202B35"/>
          <w:sz w:val="22"/>
        </w:rPr>
        <w:t>以下周期仅用于排期参考，前提是对应资料按时提供。每一阶段都应在进入下一阶段前完成门禁验收，避免在真实依据不足时继续堆叠页面或 AI 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00"/>
        <w:gridCol w:w="1450"/>
        <w:gridCol w:w="3400"/>
        <w:gridCol w:w="2760"/>
        <w:gridCol w:w="1150"/>
      </w:tblGrid>
      <w:tr>
        <w:trPr>
          <w:tblHeader w:val="true"/>
        </w:trPr>
        <w:tc>
          <w:tcPr>
            <w:tcW w:type="dxa" w:w="60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40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核心工作</w:t>
            </w:r>
          </w:p>
        </w:tc>
        <w:tc>
          <w:tcPr>
            <w:tcW w:type="dxa" w:w="276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退出门禁</w:t>
            </w:r>
          </w:p>
        </w:tc>
        <w:tc>
          <w:tcPr>
            <w:tcW w:type="dxa" w:w="115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参考周期</w:t>
            </w:r>
          </w:p>
        </w:tc>
      </w:tr>
      <w:tr>
        <w:trPr/>
        <w:tc>
          <w:tcPr>
            <w:tcW w:type="dxa" w:w="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A</w:t>
            </w:r>
          </w:p>
        </w:tc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真实设备基线</w:t>
            </w:r>
          </w:p>
        </w:tc>
        <w:tc>
          <w:tcPr>
            <w:tcW w:type="dxa" w:w="3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冻结首批板卡/传感器、字段和协议；完成固件最小上报；采集正常、断连、越界和读取失败样本。</w:t>
            </w:r>
          </w:p>
        </w:tc>
        <w:tc>
          <w:tcPr>
            <w:tcW w:type="dxa" w:w="2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真实设备可持续上报；每条数据可追溯；无密钥写入固件仓库。</w:t>
            </w:r>
          </w:p>
        </w:tc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1–2 周</w:t>
            </w:r>
          </w:p>
        </w:tc>
      </w:tr>
      <w:tr>
        <w:trPr/>
        <w:tc>
          <w:tcPr>
            <w:tcW w:type="dxa" w:w="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B</w:t>
            </w:r>
          </w:p>
        </w:tc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规则与知识校准</w:t>
            </w:r>
          </w:p>
        </w:tc>
        <w:tc>
          <w:tcPr>
            <w:tcW w:type="dxa" w:w="3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逐条替换示例阈值；登记依据；导入授权资料；形成故障—根因—修复—复测闭环。</w:t>
            </w:r>
          </w:p>
        </w:tc>
        <w:tc>
          <w:tcPr>
            <w:tcW w:type="dxa" w:w="2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规则均有来源；正式知识通过审核；真实样本评测报告可复现。</w:t>
            </w:r>
          </w:p>
        </w:tc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2–4 周</w:t>
            </w:r>
          </w:p>
        </w:tc>
      </w:tr>
      <w:tr>
        <w:trPr/>
        <w:tc>
          <w:tcPr>
            <w:tcW w:type="dxa" w:w="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C</w:t>
            </w:r>
          </w:p>
        </w:tc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课堂试点</w:t>
            </w:r>
          </w:p>
        </w:tc>
        <w:tc>
          <w:tcPr>
            <w:tcW w:type="dxa" w:w="3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导入正式账号、班级、任务和设备绑定；完成一轮小规模实验；收集学生反馈与教师处置数据。</w:t>
            </w:r>
          </w:p>
        </w:tc>
        <w:tc>
          <w:tcPr>
            <w:tcW w:type="dxa" w:w="2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完成率、求助率、误报与处理时延可统计；问题清单有负责人。</w:t>
            </w:r>
          </w:p>
        </w:tc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2–3 周</w:t>
            </w:r>
          </w:p>
        </w:tc>
      </w:tr>
      <w:tr>
        <w:trPr/>
        <w:tc>
          <w:tcPr>
            <w:tcW w:type="dxa" w:w="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D</w:t>
            </w:r>
          </w:p>
        </w:tc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可选 AI 增强</w:t>
            </w:r>
          </w:p>
        </w:tc>
        <w:tc>
          <w:tcPr>
            <w:tcW w:type="dxa" w:w="3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在规则/知识基线稳定后配置 AI 与 Embedding；做隐私、预算、降级和引用准确性验收。</w:t>
            </w:r>
          </w:p>
        </w:tc>
        <w:tc>
          <w:tcPr>
            <w:tcW w:type="dxa" w:w="2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AI 失败不影响核心诊断；引用可追溯；成本和外发范围可审计。</w:t>
            </w:r>
          </w:p>
        </w:tc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1–2 周</w:t>
            </w:r>
          </w:p>
        </w:tc>
      </w:tr>
      <w:tr>
        <w:trPr/>
        <w:tc>
          <w:tcPr>
            <w:tcW w:type="dxa" w:w="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6"/>
              </w:rPr>
              <w:t>E</w:t>
            </w:r>
          </w:p>
        </w:tc>
        <w:tc>
          <w:tcPr>
            <w:tcW w:type="dxa" w:w="14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生产化与验收</w:t>
            </w:r>
          </w:p>
        </w:tc>
        <w:tc>
          <w:tcPr>
            <w:tcW w:type="dxa" w:w="34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配置域名、HTTPS、密钥管理、监控、备份和保留；执行压力、安全、恢复和发布演练。</w:t>
            </w:r>
          </w:p>
        </w:tc>
        <w:tc>
          <w:tcPr>
            <w:tcW w:type="dxa" w:w="27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达到双方确认的 SLA/恢复目标；发布 Tag、部署手册和回滚方案齐备。</w:t>
            </w:r>
          </w:p>
        </w:tc>
        <w:tc>
          <w:tcPr>
            <w:tcW w:type="dxa" w:w="115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6"/>
              </w:rPr>
              <w:t>2–4 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下一步最值得优先做的五件事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2500"/>
        <w:gridCol w:w="6160"/>
      </w:tblGrid>
      <w:tr>
        <w:trPr>
          <w:tblHeader w:val="true"/>
        </w:trPr>
        <w:tc>
          <w:tcPr>
            <w:tcW w:type="dxa" w:w="700"/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500"/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立即行动</w:t>
            </w:r>
          </w:p>
        </w:tc>
        <w:tc>
          <w:tcPr>
            <w:tcW w:type="dxa" w:w="6160"/>
            <w:shd w:fill="2E74B5"/>
            <w:tcBorders>
              <w:top w:val="single" w:sz="6" w:color="2E74B5"/>
              <w:left w:val="single" w:sz="6" w:color="2E74B5"/>
              <w:bottom w:val="single" w:sz="6" w:color="2E74B5"/>
              <w:right w:val="single" w:sz="6" w:color="2E74B5"/>
              <w:insideH w:val="single" w:sz="6" w:color="2E74B5"/>
              <w:insideV w:val="single" w:sz="6" w:color="2E74B5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完成标准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1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确定首批真实硬件范围</w:t>
            </w:r>
          </w:p>
        </w:tc>
        <w:tc>
          <w:tcPr>
            <w:tcW w:type="dxa" w:w="6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只选 1 种开发板 + 1–2 种传感器，冻结版本、接线和供电，避免同时支持过多组合。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2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建立真值样本表</w:t>
            </w:r>
          </w:p>
        </w:tc>
        <w:tc>
          <w:tcPr>
            <w:tcW w:type="dxa" w:w="6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每个故障保存触发条件、原始日志/读数、确认根因、修复动作和复测结论。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3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逐条审核 YAML 规则</w:t>
            </w:r>
          </w:p>
        </w:tc>
        <w:tc>
          <w:tcPr>
            <w:tcW w:type="dxa" w:w="6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为每个条件、阈值、故障代码和提示文本登记依据；无依据项继续标记“待确认”。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4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导入第一批授权知识</w:t>
            </w:r>
          </w:p>
        </w:tc>
        <w:tc>
          <w:tcPr>
            <w:tcW w:type="dxa" w:w="6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优先导入对应硬件说明书和课程实验讲义；完成来源、版本、许可和双角色审核。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5</w:t>
            </w:r>
          </w:p>
        </w:tc>
        <w:tc>
          <w:tcPr>
            <w:tcW w:type="dxa" w:w="25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设计一次小规模课堂试点</w:t>
            </w:r>
          </w:p>
        </w:tc>
        <w:tc>
          <w:tcPr>
            <w:tcW w:type="dxa" w:w="61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确定班级、设备数、实验任务、教师处置流程和量化指标；AI 可继续保持关闭。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队友接手与本地运行</w:t>
      </w:r>
    </w:p>
    <w:p>
      <w:r>
        <w:rPr>
          <w:rFonts w:ascii="Heiti SC" w:hAnsi="Heiti SC" w:eastAsia="Heiti SC"/>
          <w:color w:val="202B35"/>
          <w:sz w:val="22"/>
        </w:rPr>
        <w:t>交付压缩包来自 Git 提交 b5a767a，仅包含已跟踪源码和本报告，不包含 .git 历史、.env、数据库数据、密钥、依赖目录、缓存、构建产物或测试报告。</w:t>
      </w:r>
    </w:p>
    <w:p>
      <w:pPr>
        <w:pStyle w:val="Heading2"/>
        <w:keepNext/>
      </w:pPr>
      <w:r>
        <w:t>6.1 启动步骤</w:t>
      </w:r>
    </w:p>
    <w:p>
      <w:pPr>
        <w:spacing w:before="60" w:after="100" w:line="240" w:lineRule="auto"/>
        <w:ind w:left="230" w:right="230"/>
        <w:shd w:fill="F2F4F7"/>
      </w:pPr>
      <w:r>
        <w:rPr>
          <w:rFonts w:ascii="Heiti SC" w:hAnsi="Heiti SC" w:eastAsia="Heiti SC"/>
          <w:color w:val="17324D"/>
          <w:sz w:val="18"/>
        </w:rPr>
        <w:t>cp .env.example .env</w:t>
      </w:r>
    </w:p>
    <w:p>
      <w:pPr>
        <w:spacing w:before="60" w:after="100" w:line="240" w:lineRule="auto"/>
        <w:ind w:left="230" w:right="230"/>
        <w:shd w:fill="F2F4F7"/>
      </w:pPr>
      <w:r>
        <w:rPr>
          <w:rFonts w:ascii="Heiti SC" w:hAnsi="Heiti SC" w:eastAsia="Heiti SC"/>
          <w:color w:val="17324D"/>
          <w:sz w:val="18"/>
        </w:rPr>
        <w:t>docker compose up -d --build</w:t>
      </w:r>
    </w:p>
    <w:p>
      <w:pPr>
        <w:spacing w:before="60" w:after="100" w:line="240" w:lineRule="auto"/>
        <w:ind w:left="230" w:right="230"/>
        <w:shd w:fill="F2F4F7"/>
      </w:pPr>
      <w:r>
        <w:rPr>
          <w:rFonts w:ascii="Heiti SC" w:hAnsi="Heiti SC" w:eastAsia="Heiti SC"/>
          <w:color w:val="17324D"/>
          <w:sz w:val="18"/>
        </w:rPr>
        <w:t>docker compose ps</w:t>
      </w:r>
    </w:p>
    <w:p>
      <w:r>
        <w:rPr>
          <w:rFonts w:ascii="Heiti SC" w:hAnsi="Heiti SC" w:eastAsia="Heiti SC"/>
          <w:color w:val="202B35"/>
          <w:sz w:val="22"/>
        </w:rPr>
        <w:t>服务启动后访问：前端 http://localhost:8080，Swagger http://localhost:8000/docs，就绪门禁 http://localhost:8080/readiness。</w:t>
      </w:r>
    </w:p>
    <w:p>
      <w:pPr>
        <w:pStyle w:val="Heading2"/>
        <w:keepNext/>
      </w:pPr>
      <w:r>
        <w:t>6.2 生成合成演示凭据</w:t>
      </w:r>
    </w:p>
    <w:p>
      <w:pPr>
        <w:spacing w:before="60" w:after="100" w:line="240" w:lineRule="auto"/>
        <w:ind w:left="230" w:right="230"/>
        <w:shd w:fill="F2F4F7"/>
      </w:pPr>
      <w:r>
        <w:rPr>
          <w:rFonts w:ascii="Heiti SC" w:hAnsi="Heiti SC" w:eastAsia="Heiti SC"/>
          <w:color w:val="17324D"/>
          <w:sz w:val="18"/>
        </w:rPr>
        <w:t>docker compose exec backend python -m app.cli.seed_demo --prefix teammate-demo-</w:t>
      </w:r>
    </w:p>
    <w:p>
      <w:r>
        <w:rPr>
          <w:rFonts w:ascii="Heiti SC" w:hAnsi="Heiti SC" w:eastAsia="Heiti SC"/>
          <w:color w:val="202B35"/>
          <w:sz w:val="22"/>
        </w:rPr>
        <w:t>命令会一次性输出学生页面设备凭据和教师页面账号密码；全部为合成测试数据。请勿把输出写入 Git，也不要把测试凭据当作生产账号。</w:t>
      </w:r>
    </w:p>
    <w:p>
      <w:pPr>
        <w:pStyle w:val="Heading2"/>
        <w:keepNext/>
      </w:pPr>
      <w:r>
        <w:t>6.3 推荐阅读顺序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00"/>
        <w:gridCol w:w="3000"/>
        <w:gridCol w:w="5660"/>
      </w:tblGrid>
      <w:tr>
        <w:trPr>
          <w:tblHeader w:val="true"/>
        </w:trPr>
        <w:tc>
          <w:tcPr>
            <w:tcW w:type="dxa" w:w="700"/>
            <w:shd w:fill="1F4D78"/>
            <w:tcBorders>
              <w:top w:val="single" w:sz="6" w:color="1F4D78"/>
              <w:left w:val="single" w:sz="6" w:color="1F4D78"/>
              <w:bottom w:val="single" w:sz="6" w:color="1F4D78"/>
              <w:right w:val="single" w:sz="6" w:color="1F4D78"/>
              <w:insideH w:val="single" w:sz="6" w:color="1F4D78"/>
              <w:insideV w:val="single" w:sz="6" w:color="1F4D78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3000"/>
            <w:shd w:fill="1F4D78"/>
            <w:tcBorders>
              <w:top w:val="single" w:sz="6" w:color="1F4D78"/>
              <w:left w:val="single" w:sz="6" w:color="1F4D78"/>
              <w:bottom w:val="single" w:sz="6" w:color="1F4D78"/>
              <w:right w:val="single" w:sz="6" w:color="1F4D78"/>
              <w:insideH w:val="single" w:sz="6" w:color="1F4D78"/>
              <w:insideV w:val="single" w:sz="6" w:color="1F4D78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660"/>
            <w:shd w:fill="1F4D78"/>
            <w:tcBorders>
              <w:top w:val="single" w:sz="6" w:color="1F4D78"/>
              <w:left w:val="single" w:sz="6" w:color="1F4D78"/>
              <w:bottom w:val="single" w:sz="6" w:color="1F4D78"/>
              <w:right w:val="single" w:sz="6" w:color="1F4D78"/>
              <w:insideH w:val="single" w:sz="6" w:color="1F4D78"/>
              <w:insideV w:val="single" w:sz="6" w:color="1F4D78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用途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1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README.md</w:t>
            </w:r>
          </w:p>
        </w:tc>
        <w:tc>
          <w:tcPr>
            <w:tcW w:type="dxa" w:w="5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项目能力、运行方式、数据边界和待提供资料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2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docs/PROJECT_CONTEXT.md</w:t>
            </w:r>
          </w:p>
        </w:tc>
        <w:tc>
          <w:tcPr>
            <w:tcW w:type="dxa" w:w="5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项目背景和关键约束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3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docs/architecture.md</w:t>
            </w:r>
          </w:p>
        </w:tc>
        <w:tc>
          <w:tcPr>
            <w:tcW w:type="dxa" w:w="5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系统架构和模块关系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4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docs/api-design.md</w:t>
            </w:r>
          </w:p>
        </w:tc>
        <w:tc>
          <w:tcPr>
            <w:tcW w:type="dxa" w:w="5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设备、学生、教师、知识和 AI 接口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5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docs/implementation-status.md</w:t>
            </w:r>
          </w:p>
        </w:tc>
        <w:tc>
          <w:tcPr>
            <w:tcW w:type="dxa" w:w="5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P1–P11 实现状态与验收</w:t>
            </w:r>
          </w:p>
        </w:tc>
      </w:tr>
      <w:tr>
        <w:trPr/>
        <w:tc>
          <w:tcPr>
            <w:tcW w:type="dxa" w:w="7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6</w:t>
            </w:r>
          </w:p>
        </w:tc>
        <w:tc>
          <w:tcPr>
            <w:tcW w:type="dxa" w:w="30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docs/demo-runbook.md</w:t>
            </w:r>
          </w:p>
        </w:tc>
        <w:tc>
          <w:tcPr>
            <w:tcW w:type="dxa" w:w="56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合成演示与重置流程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验收证据摘要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5860"/>
        <w:gridCol w:w="1900"/>
      </w:tblGrid>
      <w:tr>
        <w:trPr>
          <w:tblHeader w:val="true"/>
        </w:trPr>
        <w:tc>
          <w:tcPr>
            <w:tcW w:type="dxa" w:w="160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证据域</w:t>
            </w:r>
          </w:p>
        </w:tc>
        <w:tc>
          <w:tcPr>
            <w:tcW w:type="dxa" w:w="586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当前结果</w:t>
            </w:r>
          </w:p>
        </w:tc>
        <w:tc>
          <w:tcPr>
            <w:tcW w:type="dxa" w:w="1900"/>
            <w:shd w:fill="17324D"/>
            <w:tcBorders>
              <w:top w:val="single" w:sz="6" w:color="17324D"/>
              <w:left w:val="single" w:sz="6" w:color="17324D"/>
              <w:bottom w:val="single" w:sz="6" w:color="17324D"/>
              <w:right w:val="single" w:sz="6" w:color="17324D"/>
              <w:insideH w:val="single" w:sz="6" w:color="17324D"/>
              <w:insideV w:val="single" w:sz="6" w:color="17324D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Heiti SC" w:hAnsi="Heiti SC" w:eastAsia="Heiti SC"/>
                <w:b/>
                <w:color w:val="FFFFFF"/>
                <w:sz w:val="18"/>
              </w:rPr>
              <w:t>状态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Git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提交 b5a767a；项目版本 1.0.0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8"/>
              </w:rPr>
              <w:t>已完成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数据库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Alembic 20260730_0015 (head)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8"/>
              </w:rPr>
              <w:t>已完成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后端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Ruff 通过；pytest 88 项通过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8"/>
              </w:rPr>
              <w:t>已完成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前端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类型检查、ESLint、生产构建通过；单元测试 10 项通过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8"/>
              </w:rPr>
              <w:t>已完成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端到端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Playwright 学生/教师端 4 项通过；求助—认领—解决—关闭已实测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8"/>
              </w:rPr>
              <w:t>已完成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Docker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PostgreSQL、backend、frontend 三服务 healthy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277A4B"/>
                <w:sz w:val="18"/>
              </w:rPr>
              <w:t>已完成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真实硬件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没有真实设备数据；未完成真实硬件验证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A33A3A"/>
                <w:sz w:val="18"/>
              </w:rPr>
              <w:t>缺失</w:t>
            </w:r>
          </w:p>
        </w:tc>
      </w:tr>
      <w:tr>
        <w:trPr/>
        <w:tc>
          <w:tcPr>
            <w:tcW w:type="dxa" w:w="16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color w:val="202B35"/>
                <w:sz w:val="18"/>
              </w:rPr>
              <w:t>正式知识/AI</w:t>
            </w:r>
          </w:p>
        </w:tc>
        <w:tc>
          <w:tcPr>
            <w:tcW w:type="dxa" w:w="586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left"/>
            </w:pPr>
            <w:r>
              <w:rPr>
                <w:rFonts w:ascii="Heiti SC" w:hAnsi="Heiti SC" w:eastAsia="Heiti SC"/>
                <w:color w:val="202B35"/>
                <w:sz w:val="18"/>
              </w:rPr>
              <w:t>只有合成知识与测试向量；AI_ENABLED=false；无真实调用</w:t>
            </w:r>
          </w:p>
        </w:tc>
        <w:tc>
          <w:tcPr>
            <w:tcW w:type="dxa" w:w="1900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center"/>
            <w:shd w:fill="F8FAFC"/>
            <w:tcMar>
              <w:top w:w="95" w:type="dxa"/>
              <w:bottom w:w="95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Heiti SC" w:hAnsi="Heiti SC" w:eastAsia="Heiti SC"/>
                <w:b/>
                <w:color w:val="A33A3A"/>
                <w:sz w:val="18"/>
              </w:rPr>
              <w:t>缺失</w:t>
            </w:r>
          </w:p>
        </w:tc>
      </w:tr>
    </w:tbl>
    <w:p>
      <w:pPr>
        <w:spacing w:after="40"/>
      </w:pPr>
    </w:p>
    <w:p>
      <w:pPr>
        <w:spacing w:before="80" w:after="200" w:line="276" w:lineRule="auto"/>
        <w:ind w:left="173" w:right="173"/>
        <w:shd w:fill="EAF7EF"/>
        <w:pBdr>
          <w:left w:val="single" w:sz="18" w:space="8" w:color="277A4B"/>
        </w:pBdr>
      </w:pPr>
      <w:r>
        <w:rPr>
          <w:rFonts w:ascii="Heiti SC" w:hAnsi="Heiti SC" w:eastAsia="Heiti SC"/>
          <w:b/>
          <w:color w:val="277A4B"/>
          <w:sz w:val="22"/>
        </w:rPr>
        <w:t xml:space="preserve">交付建议  </w:t>
      </w:r>
      <w:r>
        <w:rPr>
          <w:rFonts w:ascii="Heiti SC" w:hAnsi="Heiti SC" w:eastAsia="Heiti SC"/>
          <w:color w:val="202B35"/>
          <w:sz w:val="22"/>
        </w:rPr>
        <w:t>队友可以立即复现合成演示、继续开发通用框架或准备真实资料接入；在真实硬件、正式规则和正式知识到位前，应继续保持可配置接口和明确占位状态，不写死厂商、型号或生产参数。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/>
        <w:color w:val="64748B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Heiti SC" w:hAnsi="Heiti SC" w:eastAsia="Heiti SC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eiti SC" w:hAnsi="Heiti SC" w:eastAsia="Heiti SC"/>
        <w:b/>
        <w:color w:val="64748B"/>
        <w:sz w:val="18"/>
      </w:rPr>
      <w:t>芯鉴知微｜项目交付与推进报告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eiti SC" w:hAnsi="Heiti SC" w:eastAsia="Heiti SC"/>
      <w:color w:val="20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芯鉴知微：当前能力、关键缺口与未来推进路线</dc:title>
  <dc:subject>项目交付、缺口清单与推进路线</dc:subject>
  <dc:creator>芯鉴知微项目组</dc:creator>
  <cp:keywords>芯鉴知微, 嵌入式实验, 项目交付, 路线图</cp:keywords>
  <dc:description>基于 Git 提交 b5a767a 生成；不包含凭据或生产密钥。</dc:description>
  <cp:lastModifiedBy/>
  <cp:revision>1</cp:revision>
  <dcterms:created xsi:type="dcterms:W3CDTF">2026-07-31T00:00:00Z</dcterms:created>
  <dcterms:modified xsi:type="dcterms:W3CDTF">2013-12-23T23:15:00Z</dcterms:modified>
  <cp:category/>
</cp:coreProperties>
</file>