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280"/>
        <w:gridCol w:w="1800"/>
      </w:tblGrid>
      <w:tr>
        <w:tc>
          <w:tcPr>
            <w:tcW w:type="dxa" w:w="82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  <w:jc w:val="left"/>
            </w:pPr>
            <w:r>
              <w:rPr>
                <w:rFonts w:ascii="Calibri" w:hAnsi="Calibri" w:eastAsia="Calibri"/>
                <w:b/>
                <w:color w:val="1F2937"/>
                <w:sz w:val="36"/>
              </w:rPr>
              <w:t>Gustavo Vega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color w:val="5B6573"/>
                <w:sz w:val="22"/>
              </w:rPr>
              <w:t>AUXILIAR ADMINISTRATIVO | GESTIÓN DOCUMENTAL, FACTURACIÓN Y SOPORTE OPERATIVO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Calibri"/>
                <w:b w:val="0"/>
                <w:color w:val="5B6573"/>
                <w:sz w:val="21"/>
              </w:rPr>
              <w:t>669549933 | gusvegabol@gmail.com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118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118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96" w:lineRule="auto"/>
        <w:jc w:val="left"/>
      </w:pP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PERFIL PROFESIONAL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PROPUESTA DE VALOR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Combino dominio de MS Office, organización documental y automatización de procesos administrativos con experiencia resolviendo incidencias de clientes, coordinando operaciones y trabajando con información trazable.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EXPERIENCIA PROFESIONAL RELEVANTE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2011–2024 | Director Ejecutivo — Herfrailes S. L. Diseñé procesos de selección, contratación, onboarding y seguimiento, reduciendo el trabajo posterior a la entrevista de 15–20 minutos a 5; clasifiqué datos laborales, generé documentación y registré solicitudes con control de acceso y trazabilidad.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Elaboré informes económicos en Excel y desarrollé hojas avanzadas, paneles y bases de datos relacionales con SQL Server y CSV. Diseñé sistemas para analizar stock, coordinar rutas y seguir el mantenimiento de vehículos; resolví reclamaciones de clientes cuando los responsables de tienda no podían hacerlo.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1990–1996 | Analista programador — Granintra S. A. Participé en el análisis e implantación de la parte de facturación de una zona de carga y descarga de áridos dentro de un sistema de operaciones portuarias.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color w:val="1F2937"/>
          <w:sz w:val="22"/>
        </w:rPr>
        <w:t>1985–2011 | Analista programador / Programador — Computerland, General de Software de Canarias, INERZA y otras etapas técnicas. Desarrollé soluciones de gestión y, en Computerland, también vendí hardware y servicios, impartí formación y traté directamente con clientes.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COMPETENCIAS Y HERRAMIENTAS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Gestión administrativa y documental · Facturación · Registro y seguimiento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Word y Excel (nivel alto) · Office 365 · Informes y hojas de cálculo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Organización de tareas · Bases de datos · SQL Server · CSV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Atención de reclamaciones · Venta de hardware y servicios · Soporte operativo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FORMACIÓN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color w:val="1F2937"/>
          <w:sz w:val="21"/>
        </w:rPr>
        <w:t>Formación Profesional, Técnico Administrativo — IFP Santa María de Guía.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color w:val="1F2937"/>
          <w:sz w:val="21"/>
        </w:rPr>
        <w:t>Máster en Inteligencia Artificial con Certificación Universitaria — BIG school / Universidad Isabel I (en curso).</w:t>
      </w:r>
    </w:p>
    <w:p>
      <w:pPr>
        <w:spacing w:after="40" w:line="240" w:lineRule="auto"/>
        <w:jc w:val="both"/>
      </w:pPr>
      <w:r>
        <w:rPr>
          <w:rFonts w:ascii="Calibri" w:hAnsi="Calibri" w:eastAsia="Calibri"/>
          <w:color w:val="1F2937"/>
          <w:sz w:val="21"/>
        </w:rPr>
        <w:t>Título oficial de Bachiller — Ministerio de Educación y Ciencia.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INFORMACIÓN ADICIONAL</w:t>
      </w:r>
    </w:p>
    <w:p>
      <w:pPr>
        <w:spacing w:before="0" w:after="40" w:line="240" w:lineRule="auto"/>
        <w:jc w:val="both"/>
      </w:pPr>
      <w:r>
        <w:rPr>
          <w:rFonts w:ascii="Calibri" w:hAnsi="Calibri" w:eastAsia="Calibri"/>
          <w:b w:val="0"/>
          <w:color w:val="1F2937"/>
          <w:sz w:val="21"/>
        </w:rPr>
        <w:t>Disponibilidad para entorno presencial y formación en procedimientos del puesto.</w:t>
      </w:r>
    </w:p>
    <w:sectPr w:rsidR="00FC693F" w:rsidRPr="0006063C" w:rsidSect="00034616">
      <w:footerReference w:type="default" r:id="rId10"/>
      <w:pgSz w:w="12240" w:h="15840"/>
      <w:pgMar w:top="648" w:right="936" w:bottom="648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