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color w:val="1F4D78"/>
          <w:sz w:val="48"/>
        </w:rPr>
        <w:t>HISTORIAL DE FORMACIÓN</w:t>
      </w:r>
    </w:p>
    <w:p>
      <w:pPr>
        <w:pStyle w:val="Normal"/>
        <w:spacing w:before="0" w:after="320"/>
        <w:rPr/>
      </w:pPr>
      <w:r>
        <w:rPr>
          <w:color w:val="5A636E"/>
          <w:sz w:val="26"/>
        </w:rPr>
        <w:t>Estudios reglados, formación complementaria y cursos realizados</w:t>
      </w:r>
    </w:p>
    <w:tbl>
      <w:tblPr>
        <w:tblW w:w="9792" w:type="dxa"/>
        <w:jc w:val="start"/>
        <w:tblInd w:w="113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4896"/>
        <w:gridCol w:w="4896"/>
      </w:tblGrid>
      <w:tr>
        <w:trPr/>
        <w:tc>
          <w:tcPr>
            <w:tcW w:w="4896" w:type="dxa"/>
            <w:tcBorders>
              <w:top w:val="single" w:sz="6" w:space="0" w:color="B7C4D3"/>
              <w:start w:val="single" w:sz="6" w:space="0" w:color="B7C4D3"/>
              <w:bottom w:val="single" w:sz="6" w:space="0" w:color="B7C4D3"/>
              <w:end w:val="single" w:sz="6" w:space="0" w:color="B7C4D3"/>
            </w:tcBorders>
            <w:shd w:fill="E8EE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  <w:sz w:val="22"/>
              </w:rPr>
              <w:t>Documento</w:t>
            </w:r>
          </w:p>
        </w:tc>
        <w:tc>
          <w:tcPr>
            <w:tcW w:w="4896" w:type="dxa"/>
            <w:tcBorders>
              <w:top w:val="single" w:sz="6" w:space="0" w:color="B7C4D3"/>
              <w:start w:val="single" w:sz="6" w:space="0" w:color="B7C4D3"/>
              <w:bottom w:val="single" w:sz="6" w:space="0" w:color="B7C4D3"/>
              <w:end w:val="single" w:sz="6" w:space="0" w:color="B7C4D3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</w:rPr>
              <w:t>Historial completo de formación</w:t>
            </w:r>
          </w:p>
        </w:tc>
      </w:tr>
      <w:tr>
        <w:trPr/>
        <w:tc>
          <w:tcPr>
            <w:tcW w:w="4896" w:type="dxa"/>
            <w:tcBorders>
              <w:top w:val="single" w:sz="6" w:space="0" w:color="B7C4D3"/>
              <w:start w:val="single" w:sz="6" w:space="0" w:color="B7C4D3"/>
              <w:bottom w:val="single" w:sz="6" w:space="0" w:color="B7C4D3"/>
              <w:end w:val="single" w:sz="6" w:space="0" w:color="B7C4D3"/>
            </w:tcBorders>
            <w:shd w:fill="E8EE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  <w:sz w:val="22"/>
              </w:rPr>
              <w:t>Persona</w:t>
            </w:r>
          </w:p>
        </w:tc>
        <w:tc>
          <w:tcPr>
            <w:tcW w:w="4896" w:type="dxa"/>
            <w:tcBorders>
              <w:top w:val="single" w:sz="6" w:space="0" w:color="B7C4D3"/>
              <w:start w:val="single" w:sz="6" w:space="0" w:color="B7C4D3"/>
              <w:bottom w:val="single" w:sz="6" w:space="0" w:color="B7C4D3"/>
              <w:end w:val="single" w:sz="6" w:space="0" w:color="B7C4D3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</w:rPr>
              <w:t>Gustavo Vega Bolaños</w:t>
            </w:r>
          </w:p>
        </w:tc>
      </w:tr>
      <w:tr>
        <w:trPr/>
        <w:tc>
          <w:tcPr>
            <w:tcW w:w="4896" w:type="dxa"/>
            <w:tcBorders>
              <w:top w:val="single" w:sz="6" w:space="0" w:color="B7C4D3"/>
              <w:start w:val="single" w:sz="6" w:space="0" w:color="B7C4D3"/>
              <w:bottom w:val="single" w:sz="6" w:space="0" w:color="B7C4D3"/>
              <w:end w:val="single" w:sz="6" w:space="0" w:color="B7C4D3"/>
            </w:tcBorders>
            <w:shd w:fill="E8EE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F4D78"/>
                <w:sz w:val="22"/>
              </w:rPr>
              <w:t>Alcance</w:t>
            </w:r>
          </w:p>
        </w:tc>
        <w:tc>
          <w:tcPr>
            <w:tcW w:w="4896" w:type="dxa"/>
            <w:tcBorders>
              <w:top w:val="single" w:sz="6" w:space="0" w:color="B7C4D3"/>
              <w:start w:val="single" w:sz="6" w:space="0" w:color="B7C4D3"/>
              <w:bottom w:val="single" w:sz="6" w:space="0" w:color="B7C4D3"/>
              <w:end w:val="single" w:sz="6" w:space="0" w:color="B7C4D3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</w:rPr>
              <w:t>Formación reglada, cursos y jornadas registrados hasta julio de 2026</w:t>
            </w:r>
          </w:p>
        </w:tc>
      </w:tr>
    </w:tbl>
    <w:p>
      <w:pPr>
        <w:pStyle w:val="Heading1"/>
        <w:keepNext w:val="true"/>
        <w:rPr/>
      </w:pPr>
      <w:r>
        <w:rPr>
          <w:b/>
          <w:color w:val="2E74B5"/>
          <w:sz w:val="32"/>
        </w:rPr>
        <w:t>1. Formación reglada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Bachillerato y COU</w:t>
      </w:r>
      <w:r>
        <w:rPr>
          <w:sz w:val="22"/>
        </w:rPr>
        <w:t xml:space="preserve"> — Instituto de Educación Secundaria Saulo Torón, Gáldar (Gran Canaria); septiembre de 1979–mayo de 1983. Incluye 1.º, 2.º, 3.º de Bachillerato y COU, rama de Ciencias.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Título oficial de Bachiller</w:t>
      </w:r>
      <w:r>
        <w:rPr>
          <w:sz w:val="22"/>
        </w:rPr>
        <w:t xml:space="preserve"> — Ministerio de Educación y Ciencia; expedido en Madrid el 11 de mayo de 1987.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Título oficial de Graduado Escolar</w:t>
      </w:r>
      <w:r>
        <w:rPr>
          <w:sz w:val="22"/>
        </w:rPr>
        <w:t xml:space="preserve"> — Ministerio de Educación; expedido en Las Palmas de Gran Canaria el 28 de octubre de 1980.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Ingeniería Técnica en Telecomunicaciones</w:t>
      </w:r>
      <w:r>
        <w:rPr>
          <w:sz w:val="22"/>
        </w:rPr>
        <w:t xml:space="preserve"> — Universidad Politécnica de Las Palmas; septiembre de 1983–junio de 1985. Dos cursos realizados; carrera no finalizada.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Ingeniería Técnica en Informática</w:t>
      </w:r>
      <w:r>
        <w:rPr>
          <w:sz w:val="22"/>
        </w:rPr>
        <w:t xml:space="preserve"> — Universidad Politécnica de Las Palmas; septiembre de 1985–junio de 1986. Un curso realizado; carrera no finalizada.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Formación Profesional, Técnico Administrativo</w:t>
      </w:r>
      <w:r>
        <w:rPr>
          <w:sz w:val="22"/>
        </w:rPr>
        <w:t xml:space="preserve"> — Instituto de Formación Profesional Santa María de Guía; septiembre de 1988–junio de 1989.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Máster en Inteligencia Artificial con Certificación Universitaria</w:t>
      </w:r>
      <w:r>
        <w:rPr>
          <w:sz w:val="22"/>
        </w:rPr>
        <w:t xml:space="preserve"> — BIG school, con certificado de la Universidad Isabel I. En curso; no presentado como máster finalizado.</w:t>
      </w:r>
    </w:p>
    <w:p>
      <w:pPr>
        <w:pStyle w:val="Heading1"/>
        <w:keepNext w:val="true"/>
        <w:rPr/>
      </w:pPr>
      <w:r>
        <w:rPr>
          <w:b/>
          <w:color w:val="2E74B5"/>
          <w:sz w:val="32"/>
        </w:rPr>
        <w:t>2. Formación complementaria acreditada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El arte de reclutar</w:t>
      </w:r>
      <w:r>
        <w:rPr>
          <w:sz w:val="22"/>
        </w:rPr>
        <w:t xml:space="preserve"> — Grupo CENCOSU–SPAR Gran Canaria; jornada de formación sobre reclutamiento, 9 de mayo de 2024. Selección por competencias, igualdad de oportunidades, protección de datos, selección objetiva, herramientas de selección, incorporación y desarrollo.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Curso de IA «De 0 a Agentes»</w:t>
      </w:r>
      <w:r>
        <w:rPr>
          <w:sz w:val="22"/>
        </w:rPr>
        <w:t xml:space="preserve"> — BIG school; 6 horas, 29 de mayo de 2026. Certificado de asistencia.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Leadership for Change / Liderazgo en tiempos de cambio</w:t>
      </w:r>
      <w:r>
        <w:rPr>
          <w:sz w:val="22"/>
        </w:rPr>
        <w:t xml:space="preserve"> — Universitas Telefónica, Telefónica Educación Digital; 10 de julio de 2015, duración estimada de 10 horas.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CNeg001x: Diseño de Estrategias y Acciones Exitosas</w:t>
      </w:r>
      <w:r>
        <w:rPr>
          <w:sz w:val="22"/>
        </w:rPr>
        <w:t xml:space="preserve"> — edX, Universidad Galileo; certificado de honor, 28 de junio de 2016.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Programación de Páginas Web con PHP</w:t>
      </w:r>
      <w:r>
        <w:rPr>
          <w:sz w:val="22"/>
        </w:rPr>
        <w:t xml:space="preserve"> — Consultec, Plan Avanza 2; 65 horas, 22 de noviembre de 2010–31 de marzo de 2011; certificado expedido el 17 de marzo de 2011.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Introducción a Hibernate</w:t>
      </w:r>
      <w:r>
        <w:rPr>
          <w:sz w:val="22"/>
        </w:rPr>
        <w:t xml:space="preserve"> — InterGrupo / Fundación Tripartita; 50 horas, certificado en Avilés el 20 de mayo de 2009.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Introducción a Java J2SE</w:t>
      </w:r>
      <w:r>
        <w:rPr>
          <w:sz w:val="22"/>
        </w:rPr>
        <w:t xml:space="preserve"> — Instituto de Formación Tecnológica / Alhambra Eidos; formación a distancia, puntuación 8,5/10, 17 de octubre de 2007.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Programación Java en Entorno Servidor</w:t>
      </w:r>
      <w:r>
        <w:rPr>
          <w:sz w:val="22"/>
        </w:rPr>
        <w:t xml:space="preserve"> — Garben Consultores / Programa FORINTEL; 20 horas, diciembre de 2007.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Java y las Bases de Datos: JDBC</w:t>
      </w:r>
      <w:r>
        <w:rPr>
          <w:sz w:val="22"/>
        </w:rPr>
        <w:t xml:space="preserve"> — Garben Consultores / Programa FORINTEL; 20 horas, diciembre de 2007.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Desarrollo de Aplicaciones para Dispositivos Móviles J2ME</w:t>
      </w:r>
      <w:r>
        <w:rPr>
          <w:sz w:val="22"/>
        </w:rPr>
        <w:t xml:space="preserve"> — Programa FORINTEL; 50 horas, 16 de febrero de 2007.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Diseño Web: Flash</w:t>
      </w:r>
      <w:r>
        <w:rPr>
          <w:sz w:val="22"/>
        </w:rPr>
        <w:t xml:space="preserve"> — Garben Consultores / Programa FORINTEL; 25 horas, junio de 2006.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Introducción a Staffware Server Objects</w:t>
      </w:r>
      <w:r>
        <w:rPr>
          <w:sz w:val="22"/>
        </w:rPr>
        <w:t xml:space="preserve"> — TIBCO Software Iberia; 23–25 de noviembre de 2005, certificado de asistencia y aprovechamiento satisfactorio.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Programación XML</w:t>
      </w:r>
      <w:r>
        <w:rPr>
          <w:sz w:val="22"/>
        </w:rPr>
        <w:t xml:space="preserve"> — Garben Consultores; 70 horas, diciembre de 2003.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Introducción a ORACLE 8i</w:t>
      </w:r>
      <w:r>
        <w:rPr>
          <w:sz w:val="22"/>
        </w:rPr>
        <w:t xml:space="preserve"> — Data Training / Centro de Formación; septiembre de 2003.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Visual Basic 6</w:t>
      </w:r>
      <w:r>
        <w:rPr>
          <w:sz w:val="22"/>
        </w:rPr>
        <w:t xml:space="preserve"> — Grupo EIDOS; formación a distancia, puntuación 10/10, 11 de febrero de 2000.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Factores de éxito para la innovación en la empresa</w:t>
      </w:r>
      <w:r>
        <w:rPr>
          <w:sz w:val="22"/>
        </w:rPr>
        <w:t xml:space="preserve"> — Cámara Oficial de Comercio, Industria y Navegación de Las Palmas; 8 horas, 16 de mayo de 2000.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Recaudación de los Ingresos Locales</w:t>
      </w:r>
      <w:r>
        <w:rPr>
          <w:sz w:val="22"/>
        </w:rPr>
        <w:t xml:space="preserve"> — Colegio de Secretarios, Interventores y Depositarios de Administración Local de Barcelona; 22–24 de noviembre de 1995.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La Ley de Presupuestos Generales del Estado para 1997 y su Ley de Acompañamiento</w:t>
      </w:r>
      <w:r>
        <w:rPr>
          <w:sz w:val="22"/>
        </w:rPr>
        <w:t xml:space="preserve"> — Jornada de asistencia, 9 horas, Madrid, 6 de febrero de 1997.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Crédito local y recaudación de ingresos municipales</w:t>
      </w:r>
      <w:r>
        <w:rPr>
          <w:sz w:val="22"/>
        </w:rPr>
        <w:t xml:space="preserve"> — Colegio de Secretarios, Interventores y Depositarios de Administración Local de Barcelona; 33 horas lectivas, 12–15 de mayo de 1997.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III Jornadas sobre Tributos Locales</w:t>
      </w:r>
      <w:r>
        <w:rPr>
          <w:sz w:val="22"/>
        </w:rPr>
        <w:t xml:space="preserve"> — Ayuntamiento de Telde; 26 horas lectivas, 9–11 de febrero de 1998.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Recaudación de Ingresos Locales</w:t>
      </w:r>
      <w:r>
        <w:rPr>
          <w:sz w:val="22"/>
        </w:rPr>
        <w:t xml:space="preserve"> — Colegio de Secretarios, Interventores y Depositarios de Administración Local de Barcelona; 24 horas lectivas, 9–11 de diciembre de 1998.</w:t>
      </w:r>
    </w:p>
    <w:p>
      <w:pPr>
        <w:pStyle w:val="Heading1"/>
        <w:keepNext w:val="true"/>
        <w:rPr/>
      </w:pPr>
      <w:r>
        <w:rPr>
          <w:b/>
          <w:color w:val="2E74B5"/>
          <w:sz w:val="32"/>
        </w:rPr>
        <w:t>3. Formación complementaria registrada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Liderazgo y Gestión de Equipos de Alto Rendimiento</w:t>
      </w:r>
      <w:r>
        <w:rPr>
          <w:sz w:val="22"/>
        </w:rPr>
        <w:t xml:space="preserve"> — Universidad Europea, 2015.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Innovación y emprendimiento</w:t>
      </w:r>
      <w:r>
        <w:rPr>
          <w:sz w:val="22"/>
        </w:rPr>
        <w:t xml:space="preserve"> — Universidad Europea, 2014.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Habilidades y competencias a través del coaching personal</w:t>
      </w:r>
      <w:r>
        <w:rPr>
          <w:sz w:val="22"/>
        </w:rPr>
        <w:t xml:space="preserve"> — Universidad de Cantabria, 2014.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Curso breve de prevención de riesgos laborales (PRL)</w:t>
      </w:r>
      <w:r>
        <w:rPr>
          <w:sz w:val="22"/>
        </w:rPr>
        <w:t xml:space="preserve"> — Realizado para el desempeño en Herfrailes S. L.; no equivale a experiencia específica en coordinación empresarial (CAE).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Power BI</w:t>
      </w:r>
      <w:r>
        <w:rPr>
          <w:sz w:val="22"/>
        </w:rPr>
        <w:t xml:space="preserve"> — Curso realizado en Udemy; conocimiento y experiencia previa, con uso no reciente.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PL/SQL Oracle 9i</w:t>
      </w:r>
      <w:r>
        <w:rPr>
          <w:sz w:val="22"/>
        </w:rPr>
        <w:t xml:space="preserve"> — Training Center, 2005.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Máster en desarrollo de software</w:t>
      </w:r>
      <w:r>
        <w:rPr>
          <w:sz w:val="22"/>
        </w:rPr>
        <w:t xml:space="preserve"> — Alhambra EIDOS, 2002–2003.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Visual Basic 5 y 6 avanzado</w:t>
      </w:r>
      <w:r>
        <w:rPr>
          <w:sz w:val="22"/>
        </w:rPr>
        <w:t xml:space="preserve"> — Formación realizada entre 1999 y 2001.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Dirección de empresas y análisis financiero</w:t>
      </w:r>
      <w:r>
        <w:rPr>
          <w:sz w:val="22"/>
        </w:rPr>
        <w:t xml:space="preserve"> — INESFI, 1990.</w:t>
      </w:r>
    </w:p>
    <w:p>
      <w:pPr>
        <w:pStyle w:val="ListBullet"/>
        <w:numPr>
          <w:ilvl w:val="0"/>
          <w:numId w:val="1"/>
        </w:numPr>
        <w:spacing w:lineRule="auto" w:line="300" w:before="0" w:after="80"/>
        <w:ind w:hanging="271" w:start="540"/>
        <w:contextualSpacing/>
        <w:rPr/>
      </w:pPr>
      <w:r>
        <w:rPr>
          <w:b/>
          <w:color w:val="1F4D78"/>
          <w:sz w:val="22"/>
        </w:rPr>
        <w:t>Transtool 4GL</w:t>
      </w:r>
      <w:r>
        <w:rPr>
          <w:sz w:val="22"/>
        </w:rPr>
        <w:t xml:space="preserve"> — TransTool Ibérica, 1990.</w:t>
      </w:r>
    </w:p>
    <w:p>
      <w:pPr>
        <w:pStyle w:val="Heading1"/>
        <w:keepNext w:val="true"/>
        <w:rPr/>
      </w:pPr>
      <w:r>
        <w:rPr>
          <w:b/>
          <w:color w:val="2E74B5"/>
          <w:sz w:val="32"/>
        </w:rPr>
        <w:t>4. Nota de uso</w:t>
      </w:r>
    </w:p>
    <w:p>
      <w:pPr>
        <w:pStyle w:val="Normal"/>
        <w:spacing w:before="0" w:after="120"/>
        <w:rPr/>
      </w:pPr>
      <w:r>
        <w:rPr>
          <w:b/>
          <w:color w:val="1F4D78"/>
          <w:sz w:val="22"/>
        </w:rPr>
        <w:t xml:space="preserve">Criterio de presentación: </w:t>
      </w:r>
      <w:r>
        <w:rPr>
          <w:sz w:val="22"/>
        </w:rPr>
        <w:t>la formación reglada y los cursos se han separado para distinguir titulaciones, estudios no finalizados y formación complementaria. La existencia de un curso en este historial no implica por sí sola una certificación profesional ni sustituye la comprobación del certificado correspondiente.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24" w:right="1224" w:gutter="0" w:header="504" w:top="1080" w:footer="504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A636E"/>
        <w:sz w:val="18"/>
      </w:rPr>
      <w:t>Documento de trabajo · actualizado en julio de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A636E"/>
        <w:sz w:val="18"/>
      </w:rPr>
      <w:t>Documento de trabajo · actualizado en julio de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A636E"/>
        <w:sz w:val="18"/>
      </w:rPr>
      <w:t>Historial de formación | Gustavo Vega Bolaños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A636E"/>
        <w:sz w:val="18"/>
      </w:rPr>
      <w:t>Historial de formación | Gustavo Vega Bolaños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both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300" w:before="0" w:after="80"/>
      <w:ind w:hanging="271" w:start="54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3</Pages>
  <Words>827</Words>
  <Characters>4602</Characters>
  <CharactersWithSpaces>5364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Gustavo Vega Bolaños</dc:creator>
  <dc:description>generated by python-docx</dc:description>
  <dc:language>es-ES</dc:language>
  <cp:lastModifiedBy/>
  <dcterms:modified xsi:type="dcterms:W3CDTF">2026-07-27T01:26:49Z</dcterms:modified>
  <cp:revision>2</cp:revision>
  <dc:subject>Estudios reglados y formación complementaria</dc:subject>
  <dc:title>Historial de formación - Gustavo Vega Bolaños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