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XXXX,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13 de May de 2025.</w:t>
      </w:r>
    </w:p>
    <w:p>
      <w:r>
        <w:t>Promotor(a) de Justiça</w:t>
        <w:br/>
        <w:t>XXXX</w:t>
      </w:r>
    </w:p>
    <w:p>
      <w:r>
        <w:t>CONTRARRAZÕES AO RECURSO ESPECIAL</w:t>
      </w:r>
    </w:p>
    <w:p>
      <w:r>
        <w:t>COLENDO SUPERIOR TRIBUNAL DE JUSTIÇA,</w:t>
      </w:r>
    </w:p>
    <w:p>
      <w:r>
        <w:t>GUILHERME JÚNIOR DA SILVA CAMARGO, já qualificado(a) nos autos em epígrafe, inconformado(a) com os v. Acórdãos dos eventos n.º 193 e 217, interpôs o presente Recurso Especial, com fundamento no artigo 105, III, a,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absolvição por insuficiência de provas, verifica-se que o recorrente busca a reforma do acórdão recorrido para obter sua absolvição, alegando ausência de provas da autoria do crime.  Ocorre que, modificar a decisão prolatada pelo Tribunal goiano para fins de acolher o pleito absolutório demandaria necessariamente o revolvimento do acervo fático e probatório dos autos, o que é vedado na via estreita do Recurso Especial, nos termos da Súmula no 7 do Colendo Superior Tribunal de Justiça, segundo a qual: “a pretensão de simples reexame de prova não enseja recurso especial”.  A prova oral colhida ao longo do feito e os demais elementos de convicção são firmes no sentido de apontar a autoria e a materialidade do crime de roubo pelo qual o Recorrente foi condenado, não havendo que se falar absolvição por ofensa ao artigo 386, inciso VII, do Código de Processo Penal.  O acórdão recorrido, amplamente fundamentado, demonstra a existência de provas robustas que comprovam a autoria e a materialidade do crime, como demonstrado nos excertos transcritos na peça inicial.  A pretensão recursal, portanto, configura mera reapreciação do conjunto probatório, inviável na via eleita.</w:t>
      </w:r>
    </w:p>
    <w:p>
      <w:r>
        <w:t>Alega o Recorrente, em sua peça recursal, ofensa ao artigo 386, inciso VII, do Código de Processo Penal, sob o argumento de que o v. Acórdão objurgado não trouxe esclarecimentos acerca das omissões, contradições e obscuridades suscitadas nos Embargos de Declaração.  Como a matéria tida por violada não recebeu, segundo o Recorrente, a devida apreciação pelo e. Tribunal de Justiça do Estado de Goiás, e para que não incida os óbices da Súmula nº 211 do Colendo Superior Tribunal de Justiça e das Súmulas nos 282 e 356, ambas do Excelso Supremo Tribunal Federal, por analogia, a parte insurgente manejou o presente recurso. Contudo, apesar de o Recorrente ter manejado o recurso cabível, não prosperam as razões alinhavadas. O Excelso Supremo Tribunal Federal firmou entendimento acerca da desnecessidade de exame de cada uma das alegações das partes, bastando, para tanto, que a sua conclusão seja fundamentada suficientemente.  O e. Tribunal de Justiça goiano fundamentou suficientemente a r. Decisão, não havendo omissão ou contradição, mas sim interpretação contrária ao interesse da parte, que pretende utilizar o Recurso Especial para rediscutir matéria já decidida. A jurisprudência do STJ corrobora esse entendimento, demonstrando que não há omissão quando os fatos são devidamente enfrentados e a decisão adequadamente fundamentada, mesmo que contrária à pretensão do recorrente.  Destarte, não há que se falar em ofensa aos artigos supracitados, como pretende o recorrente.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13 de May de 2025.</w:t>
      </w:r>
    </w:p>
    <w:p>
      <w:r>
        <w:t>Promotor(a) de Justiça</w:t>
        <w:br/>
        <w:t>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