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 a ser preenchido, vem apresentar suas</w:t>
        <w:br/>
        <w:t>CONTRARRAZÕES AO RECURSO ESPECIAL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14 de maio de 2025.</w:t>
      </w:r>
    </w:p>
    <w:p>
      <w:r>
        <w:t>Promotor(a) de Justiça</w:t>
        <w:br/>
        <w:t>a ser preenchido</w:t>
      </w:r>
    </w:p>
    <w:p>
      <w:r>
        <w:t>CONTRARRAZÕES AO RECURSO ESPECIAL</w:t>
      </w:r>
    </w:p>
    <w:p>
      <w:r>
        <w:t>Eminente Tribunal Superior de Justiça,</w:t>
      </w:r>
    </w:p>
    <w:p>
      <w:r>
        <w:t>GUILHERME JÚNIOR DA SILVA CAMARGO, já qualificado(a) nos autos em epígrafe, irresignado com os v. Acórdãos dos eventos n.º 193 e 217, interpôs o presente Recurso Especial, com fundamento no artigo 105, III, 'a',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ilicitude da prova obtida em busca domiciliar, observa-se que o recorrente não demonstra, de forma cabal, a ocorrência de vício na diligência policial. A jurisprudência do Superior Tribunal de Justiça é pacífica no sentido de que a busca domiciliar, quando realizada com base em fundadas suspeitas e autorizada judicialmente, não configura ilicitude.  A defesa não apresenta elementos suficientes para demonstrar a ausência de justa causa para a busca e apreensão, tampouco a ilegalidade do mandado judicial.  Os acórdãos recorrido demonstram a regularidade do procedimento, e a prova obtida foi utilizada de forma lícita na formação do convencimento judicial.  A alegação de violação ao artigo 157, caput e § 1º, do Código de Processo Penal, portanto, não merece prosperar.</w:t>
      </w:r>
    </w:p>
    <w:p>
      <w:r>
        <w:t>Quanto à alegada contrariedade aos artigos 180, caput e §§ 1º e 3º, do Código Penal, e o pedido de absolvição ou desclassificação para receptação simples ou culposa, verifica-se que o recorrente não apresenta argumentos novos ou convincentes que justifiquem a reforma do acórdão recorrido. A decisão de primeira instância, confirmada pelo Tribunal de Justiça, está devidamente fundamentada nos elementos de prova constantes dos autos, os quais demonstram a materialidade e a autoria do delito. A jurisprudência dos Tribunais Superiores não ampara a pretensão recursal, sendo que os precedentes citados pelo recorrente não se aplicam ao caso concreto, por se tratarem de situações fáticas distintas.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maio de 2025.</w:t>
      </w:r>
    </w:p>
    <w:p>
      <w:r>
        <w:t>Promotor(a) de Justiça</w:t>
        <w:br/>
        <w:t>a ser preenchido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