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D13D78" w14:textId="77777777" w:rsidR="006E4EAB" w:rsidRDefault="006E4EAB" w:rsidP="00393E83"/>
    <w:p w14:paraId="1B30106B" w14:textId="77777777" w:rsidR="006E4EAB" w:rsidRDefault="006E4EAB" w:rsidP="00393E83"/>
    <w:p w14:paraId="1DF29AF6" w14:textId="77777777" w:rsidR="006E4EAB" w:rsidRDefault="006E4EAB" w:rsidP="00393E83"/>
    <w:p w14:paraId="7F2F8AC8" w14:textId="77777777" w:rsidR="006E4EAB" w:rsidRDefault="006E4EAB" w:rsidP="00393E83"/>
    <w:p w14:paraId="5DEC1C6E" w14:textId="77777777" w:rsidR="006E4EAB" w:rsidRDefault="006E4EAB" w:rsidP="006E4EAB"/>
    <w:p w14:paraId="460B98E1" w14:textId="77777777" w:rsidR="006E4EAB" w:rsidRDefault="006E4EAB" w:rsidP="006E4EAB">
      <w:pPr>
        <w:ind w:left="3540"/>
        <w:jc w:val="left"/>
      </w:pPr>
    </w:p>
    <w:p w14:paraId="595C3627" w14:textId="6E4CC84A" w:rsidR="006E4EAB" w:rsidRDefault="00874290" w:rsidP="00874290">
      <w:pPr>
        <w:pStyle w:val="Titel"/>
        <w:rPr>
          <w:b/>
          <w:bCs/>
        </w:rPr>
      </w:pPr>
      <w:r w:rsidRPr="00874290">
        <w:rPr>
          <w:b/>
          <w:bCs/>
        </w:rPr>
        <w:t xml:space="preserve">Klimaklagen und die </w:t>
      </w:r>
      <w:r w:rsidRPr="00874290">
        <w:rPr>
          <w:b/>
          <w:bCs/>
        </w:rPr>
        <w:br/>
        <w:t xml:space="preserve">Politisierung der Judikative </w:t>
      </w:r>
    </w:p>
    <w:p w14:paraId="3673075A" w14:textId="77777777" w:rsidR="00874290" w:rsidRPr="00874290" w:rsidRDefault="00874290" w:rsidP="00874290"/>
    <w:p w14:paraId="047A616E" w14:textId="75369EDB" w:rsidR="00874290" w:rsidRPr="00874290" w:rsidRDefault="00874290" w:rsidP="00874290">
      <w:pPr>
        <w:pStyle w:val="Untertitel"/>
        <w:rPr>
          <w:i/>
          <w:iCs/>
          <w:sz w:val="40"/>
          <w:szCs w:val="40"/>
        </w:rPr>
      </w:pPr>
      <w:r w:rsidRPr="00874290">
        <w:rPr>
          <w:i/>
          <w:iCs/>
          <w:sz w:val="40"/>
          <w:szCs w:val="40"/>
        </w:rPr>
        <w:t>Zur Rolle von Gerichten als Arenen der Klimapolitik am Beispiel des Bundesverfassungsgerichts-Urteils von 2021</w:t>
      </w:r>
    </w:p>
    <w:p w14:paraId="41966B0E" w14:textId="77777777" w:rsidR="006E4EAB" w:rsidRDefault="006E4EAB" w:rsidP="006E4EAB">
      <w:pPr>
        <w:ind w:left="3540"/>
        <w:jc w:val="left"/>
      </w:pPr>
    </w:p>
    <w:p w14:paraId="4295DFB6" w14:textId="77777777" w:rsidR="006E4EAB" w:rsidRDefault="006E4EAB" w:rsidP="006E4EAB">
      <w:pPr>
        <w:ind w:left="3540"/>
        <w:jc w:val="left"/>
      </w:pPr>
    </w:p>
    <w:p w14:paraId="0AB42AFA" w14:textId="77777777" w:rsidR="006E4EAB" w:rsidRDefault="006E4EAB" w:rsidP="006E4EAB">
      <w:pPr>
        <w:ind w:left="3540"/>
        <w:jc w:val="left"/>
      </w:pPr>
    </w:p>
    <w:p w14:paraId="3CE174D7" w14:textId="77777777" w:rsidR="006E4EAB" w:rsidRDefault="006E4EAB" w:rsidP="006E4EAB">
      <w:pPr>
        <w:ind w:left="3540"/>
        <w:jc w:val="left"/>
      </w:pPr>
    </w:p>
    <w:p w14:paraId="304C228A" w14:textId="77777777" w:rsidR="006E4EAB" w:rsidRDefault="006E4EAB" w:rsidP="006E4EAB">
      <w:pPr>
        <w:ind w:left="3540"/>
        <w:jc w:val="left"/>
      </w:pPr>
    </w:p>
    <w:p w14:paraId="6890CD25" w14:textId="77777777" w:rsidR="006E4EAB" w:rsidRDefault="006E4EAB" w:rsidP="00874290">
      <w:pPr>
        <w:spacing w:line="240" w:lineRule="auto"/>
        <w:jc w:val="left"/>
      </w:pPr>
    </w:p>
    <w:sdt>
      <w:sdtPr>
        <w:rPr>
          <w:rFonts w:eastAsiaTheme="minorHAnsi" w:cstheme="minorBidi"/>
          <w:b w:val="0"/>
          <w:bCs w:val="0"/>
          <w:color w:val="auto"/>
          <w:kern w:val="2"/>
          <w:sz w:val="36"/>
          <w:szCs w:val="36"/>
          <w:lang w:eastAsia="en-US"/>
          <w14:ligatures w14:val="standardContextual"/>
        </w:rPr>
        <w:id w:val="-859427886"/>
        <w:docPartObj>
          <w:docPartGallery w:val="Table of Contents"/>
          <w:docPartUnique/>
        </w:docPartObj>
      </w:sdtPr>
      <w:sdtEndPr>
        <w:rPr>
          <w:noProof/>
          <w:sz w:val="32"/>
          <w:szCs w:val="32"/>
        </w:rPr>
      </w:sdtEndPr>
      <w:sdtContent>
        <w:p w14:paraId="161AEEC4" w14:textId="77777777" w:rsidR="00214469" w:rsidRPr="00214469" w:rsidRDefault="00214469" w:rsidP="003D4DE7">
          <w:pPr>
            <w:pStyle w:val="Inhaltsverzeichnisberschrift"/>
            <w:numPr>
              <w:ilvl w:val="0"/>
              <w:numId w:val="0"/>
            </w:numPr>
            <w:rPr>
              <w:rFonts w:cs="Times New Roman"/>
              <w:sz w:val="32"/>
              <w:szCs w:val="32"/>
            </w:rPr>
          </w:pPr>
          <w:r w:rsidRPr="00214469">
            <w:rPr>
              <w:rFonts w:cs="Times New Roman"/>
              <w:sz w:val="32"/>
              <w:szCs w:val="32"/>
            </w:rPr>
            <w:t>Inhaltsverzeichnis</w:t>
          </w:r>
        </w:p>
        <w:p w14:paraId="7FEA09A7" w14:textId="4DDAFEAB" w:rsidR="00DA58DB" w:rsidRDefault="00214469">
          <w:pPr>
            <w:pStyle w:val="Verzeichnis1"/>
            <w:tabs>
              <w:tab w:val="left" w:pos="480"/>
              <w:tab w:val="right" w:pos="8210"/>
            </w:tabs>
            <w:rPr>
              <w:rFonts w:asciiTheme="minorHAnsi" w:eastAsiaTheme="minorEastAsia" w:hAnsiTheme="minorHAnsi"/>
              <w:b w:val="0"/>
              <w:bCs w:val="0"/>
              <w:noProof/>
              <w:color w:val="auto"/>
              <w:sz w:val="24"/>
              <w:szCs w:val="24"/>
              <w:lang w:eastAsia="de-DE"/>
            </w:rPr>
          </w:pPr>
          <w:r w:rsidRPr="00214469">
            <w:rPr>
              <w:szCs w:val="22"/>
            </w:rPr>
            <w:fldChar w:fldCharType="begin"/>
          </w:r>
          <w:r w:rsidRPr="00214469">
            <w:rPr>
              <w:szCs w:val="22"/>
            </w:rPr>
            <w:instrText xml:space="preserve"> TOC \o "1-3" \h \z \u </w:instrText>
          </w:r>
          <w:r w:rsidRPr="00214469">
            <w:rPr>
              <w:szCs w:val="22"/>
            </w:rPr>
            <w:fldChar w:fldCharType="separate"/>
          </w:r>
          <w:hyperlink w:anchor="_Toc232583910" w:history="1">
            <w:r w:rsidR="00DA58DB" w:rsidRPr="00F86413">
              <w:rPr>
                <w:rStyle w:val="Hyperlink"/>
                <w:noProof/>
              </w:rPr>
              <w:t>1.</w:t>
            </w:r>
            <w:r w:rsidR="00DA58DB">
              <w:rPr>
                <w:rFonts w:asciiTheme="minorHAnsi" w:eastAsiaTheme="minorEastAsia" w:hAnsiTheme="minorHAnsi"/>
                <w:b w:val="0"/>
                <w:bCs w:val="0"/>
                <w:noProof/>
                <w:color w:val="auto"/>
                <w:sz w:val="24"/>
                <w:szCs w:val="24"/>
                <w:lang w:eastAsia="de-DE"/>
              </w:rPr>
              <w:tab/>
            </w:r>
            <w:r w:rsidR="00DA58DB" w:rsidRPr="00F86413">
              <w:rPr>
                <w:rStyle w:val="Hyperlink"/>
                <w:noProof/>
              </w:rPr>
              <w:t>Einleitung</w:t>
            </w:r>
            <w:r w:rsidR="00DA58DB">
              <w:rPr>
                <w:noProof/>
                <w:webHidden/>
              </w:rPr>
              <w:tab/>
            </w:r>
            <w:r w:rsidR="00DA58DB">
              <w:rPr>
                <w:noProof/>
                <w:webHidden/>
              </w:rPr>
              <w:fldChar w:fldCharType="begin"/>
            </w:r>
            <w:r w:rsidR="00DA58DB">
              <w:rPr>
                <w:noProof/>
                <w:webHidden/>
              </w:rPr>
              <w:instrText xml:space="preserve"> PAGEREF _Toc232583910 \h </w:instrText>
            </w:r>
            <w:r w:rsidR="00DA58DB">
              <w:rPr>
                <w:noProof/>
                <w:webHidden/>
              </w:rPr>
            </w:r>
            <w:r w:rsidR="00DA58DB">
              <w:rPr>
                <w:noProof/>
                <w:webHidden/>
              </w:rPr>
              <w:fldChar w:fldCharType="separate"/>
            </w:r>
            <w:r w:rsidR="00DA58DB">
              <w:rPr>
                <w:noProof/>
                <w:webHidden/>
              </w:rPr>
              <w:t>3</w:t>
            </w:r>
            <w:r w:rsidR="00DA58DB">
              <w:rPr>
                <w:noProof/>
                <w:webHidden/>
              </w:rPr>
              <w:fldChar w:fldCharType="end"/>
            </w:r>
          </w:hyperlink>
        </w:p>
        <w:p w14:paraId="508155C3" w14:textId="00D23870" w:rsidR="00DA58DB" w:rsidRDefault="00DA58DB">
          <w:pPr>
            <w:pStyle w:val="Verzeichnis1"/>
            <w:tabs>
              <w:tab w:val="left" w:pos="480"/>
              <w:tab w:val="right" w:pos="8210"/>
            </w:tabs>
            <w:rPr>
              <w:rFonts w:asciiTheme="minorHAnsi" w:eastAsiaTheme="minorEastAsia" w:hAnsiTheme="minorHAnsi"/>
              <w:b w:val="0"/>
              <w:bCs w:val="0"/>
              <w:noProof/>
              <w:color w:val="auto"/>
              <w:sz w:val="24"/>
              <w:szCs w:val="24"/>
              <w:lang w:eastAsia="de-DE"/>
            </w:rPr>
          </w:pPr>
          <w:hyperlink w:anchor="_Toc232583911" w:history="1">
            <w:r w:rsidRPr="00F86413">
              <w:rPr>
                <w:rStyle w:val="Hyperlink"/>
                <w:noProof/>
              </w:rPr>
              <w:t>2.</w:t>
            </w:r>
            <w:r>
              <w:rPr>
                <w:rFonts w:asciiTheme="minorHAnsi" w:eastAsiaTheme="minorEastAsia" w:hAnsiTheme="minorHAnsi"/>
                <w:b w:val="0"/>
                <w:bCs w:val="0"/>
                <w:noProof/>
                <w:color w:val="auto"/>
                <w:sz w:val="24"/>
                <w:szCs w:val="24"/>
                <w:lang w:eastAsia="de-DE"/>
              </w:rPr>
              <w:tab/>
            </w:r>
            <w:r w:rsidRPr="00F86413">
              <w:rPr>
                <w:rStyle w:val="Hyperlink"/>
                <w:noProof/>
              </w:rPr>
              <w:t>Theoretischer Rahmen</w:t>
            </w:r>
            <w:r>
              <w:rPr>
                <w:noProof/>
                <w:webHidden/>
              </w:rPr>
              <w:tab/>
            </w:r>
            <w:r>
              <w:rPr>
                <w:noProof/>
                <w:webHidden/>
              </w:rPr>
              <w:fldChar w:fldCharType="begin"/>
            </w:r>
            <w:r>
              <w:rPr>
                <w:noProof/>
                <w:webHidden/>
              </w:rPr>
              <w:instrText xml:space="preserve"> PAGEREF _Toc232583911 \h </w:instrText>
            </w:r>
            <w:r>
              <w:rPr>
                <w:noProof/>
                <w:webHidden/>
              </w:rPr>
            </w:r>
            <w:r>
              <w:rPr>
                <w:noProof/>
                <w:webHidden/>
              </w:rPr>
              <w:fldChar w:fldCharType="separate"/>
            </w:r>
            <w:r>
              <w:rPr>
                <w:noProof/>
                <w:webHidden/>
              </w:rPr>
              <w:t>4</w:t>
            </w:r>
            <w:r>
              <w:rPr>
                <w:noProof/>
                <w:webHidden/>
              </w:rPr>
              <w:fldChar w:fldCharType="end"/>
            </w:r>
          </w:hyperlink>
        </w:p>
        <w:p w14:paraId="0CC3EAB1" w14:textId="73F9338D" w:rsidR="00DA58DB" w:rsidRDefault="00DA58DB">
          <w:pPr>
            <w:pStyle w:val="Verzeichnis2"/>
            <w:tabs>
              <w:tab w:val="left" w:pos="960"/>
              <w:tab w:val="right" w:pos="8210"/>
            </w:tabs>
            <w:rPr>
              <w:rFonts w:asciiTheme="minorHAnsi" w:eastAsiaTheme="minorEastAsia" w:hAnsiTheme="minorHAnsi"/>
              <w:iCs w:val="0"/>
              <w:noProof/>
              <w:color w:val="auto"/>
              <w:sz w:val="24"/>
              <w:szCs w:val="24"/>
              <w:lang w:eastAsia="de-DE"/>
            </w:rPr>
          </w:pPr>
          <w:hyperlink w:anchor="_Toc232583912" w:history="1">
            <w:r w:rsidRPr="00F86413">
              <w:rPr>
                <w:rStyle w:val="Hyperlink"/>
                <w:noProof/>
              </w:rPr>
              <w:t>2.1</w:t>
            </w:r>
            <w:r>
              <w:rPr>
                <w:rFonts w:asciiTheme="minorHAnsi" w:eastAsiaTheme="minorEastAsia" w:hAnsiTheme="minorHAnsi"/>
                <w:iCs w:val="0"/>
                <w:noProof/>
                <w:color w:val="auto"/>
                <w:sz w:val="24"/>
                <w:szCs w:val="24"/>
                <w:lang w:eastAsia="de-DE"/>
              </w:rPr>
              <w:tab/>
            </w:r>
            <w:r w:rsidRPr="00F86413">
              <w:rPr>
                <w:rStyle w:val="Hyperlink"/>
                <w:noProof/>
              </w:rPr>
              <w:t>Das Bundesverfassungsgericht als politischer Akteur</w:t>
            </w:r>
            <w:r>
              <w:rPr>
                <w:noProof/>
                <w:webHidden/>
              </w:rPr>
              <w:tab/>
            </w:r>
            <w:r>
              <w:rPr>
                <w:noProof/>
                <w:webHidden/>
              </w:rPr>
              <w:fldChar w:fldCharType="begin"/>
            </w:r>
            <w:r>
              <w:rPr>
                <w:noProof/>
                <w:webHidden/>
              </w:rPr>
              <w:instrText xml:space="preserve"> PAGEREF _Toc232583912 \h </w:instrText>
            </w:r>
            <w:r>
              <w:rPr>
                <w:noProof/>
                <w:webHidden/>
              </w:rPr>
            </w:r>
            <w:r>
              <w:rPr>
                <w:noProof/>
                <w:webHidden/>
              </w:rPr>
              <w:fldChar w:fldCharType="separate"/>
            </w:r>
            <w:r>
              <w:rPr>
                <w:noProof/>
                <w:webHidden/>
              </w:rPr>
              <w:t>4</w:t>
            </w:r>
            <w:r>
              <w:rPr>
                <w:noProof/>
                <w:webHidden/>
              </w:rPr>
              <w:fldChar w:fldCharType="end"/>
            </w:r>
          </w:hyperlink>
        </w:p>
        <w:p w14:paraId="530F3B67" w14:textId="1C534F56" w:rsidR="00DA58DB" w:rsidRDefault="00DA58DB">
          <w:pPr>
            <w:pStyle w:val="Verzeichnis2"/>
            <w:tabs>
              <w:tab w:val="left" w:pos="960"/>
              <w:tab w:val="right" w:pos="8210"/>
            </w:tabs>
            <w:rPr>
              <w:rFonts w:asciiTheme="minorHAnsi" w:eastAsiaTheme="minorEastAsia" w:hAnsiTheme="minorHAnsi"/>
              <w:iCs w:val="0"/>
              <w:noProof/>
              <w:color w:val="auto"/>
              <w:sz w:val="24"/>
              <w:szCs w:val="24"/>
              <w:lang w:eastAsia="de-DE"/>
            </w:rPr>
          </w:pPr>
          <w:hyperlink w:anchor="_Toc232583913" w:history="1">
            <w:r w:rsidRPr="00F86413">
              <w:rPr>
                <w:rStyle w:val="Hyperlink"/>
                <w:noProof/>
              </w:rPr>
              <w:t>2.2</w:t>
            </w:r>
            <w:r>
              <w:rPr>
                <w:rFonts w:asciiTheme="minorHAnsi" w:eastAsiaTheme="minorEastAsia" w:hAnsiTheme="minorHAnsi"/>
                <w:iCs w:val="0"/>
                <w:noProof/>
                <w:color w:val="auto"/>
                <w:sz w:val="24"/>
                <w:szCs w:val="24"/>
                <w:lang w:eastAsia="de-DE"/>
              </w:rPr>
              <w:tab/>
            </w:r>
            <w:r w:rsidRPr="00F86413">
              <w:rPr>
                <w:rStyle w:val="Hyperlink"/>
                <w:noProof/>
              </w:rPr>
              <w:t>Legal Mobilization</w:t>
            </w:r>
            <w:r>
              <w:rPr>
                <w:noProof/>
                <w:webHidden/>
              </w:rPr>
              <w:tab/>
            </w:r>
            <w:r>
              <w:rPr>
                <w:noProof/>
                <w:webHidden/>
              </w:rPr>
              <w:fldChar w:fldCharType="begin"/>
            </w:r>
            <w:r>
              <w:rPr>
                <w:noProof/>
                <w:webHidden/>
              </w:rPr>
              <w:instrText xml:space="preserve"> PAGEREF _Toc232583913 \h </w:instrText>
            </w:r>
            <w:r>
              <w:rPr>
                <w:noProof/>
                <w:webHidden/>
              </w:rPr>
            </w:r>
            <w:r>
              <w:rPr>
                <w:noProof/>
                <w:webHidden/>
              </w:rPr>
              <w:fldChar w:fldCharType="separate"/>
            </w:r>
            <w:r>
              <w:rPr>
                <w:noProof/>
                <w:webHidden/>
              </w:rPr>
              <w:t>6</w:t>
            </w:r>
            <w:r>
              <w:rPr>
                <w:noProof/>
                <w:webHidden/>
              </w:rPr>
              <w:fldChar w:fldCharType="end"/>
            </w:r>
          </w:hyperlink>
        </w:p>
        <w:p w14:paraId="0A66B39D" w14:textId="71037789" w:rsidR="00DA58DB" w:rsidRDefault="00DA58DB">
          <w:pPr>
            <w:pStyle w:val="Verzeichnis2"/>
            <w:tabs>
              <w:tab w:val="left" w:pos="960"/>
              <w:tab w:val="right" w:pos="8210"/>
            </w:tabs>
            <w:rPr>
              <w:rFonts w:asciiTheme="minorHAnsi" w:eastAsiaTheme="minorEastAsia" w:hAnsiTheme="minorHAnsi"/>
              <w:iCs w:val="0"/>
              <w:noProof/>
              <w:color w:val="auto"/>
              <w:sz w:val="24"/>
              <w:szCs w:val="24"/>
              <w:lang w:eastAsia="de-DE"/>
            </w:rPr>
          </w:pPr>
          <w:hyperlink w:anchor="_Toc232583914" w:history="1">
            <w:r w:rsidRPr="00F86413">
              <w:rPr>
                <w:rStyle w:val="Hyperlink"/>
                <w:noProof/>
              </w:rPr>
              <w:t>2.3</w:t>
            </w:r>
            <w:r>
              <w:rPr>
                <w:rFonts w:asciiTheme="minorHAnsi" w:eastAsiaTheme="minorEastAsia" w:hAnsiTheme="minorHAnsi"/>
                <w:iCs w:val="0"/>
                <w:noProof/>
                <w:color w:val="auto"/>
                <w:sz w:val="24"/>
                <w:szCs w:val="24"/>
                <w:lang w:eastAsia="de-DE"/>
              </w:rPr>
              <w:tab/>
            </w:r>
            <w:r w:rsidRPr="00F86413">
              <w:rPr>
                <w:rStyle w:val="Hyperlink"/>
                <w:noProof/>
              </w:rPr>
              <w:t>Klimapolitik als gesellschaftliches Konfliktfeld</w:t>
            </w:r>
            <w:r>
              <w:rPr>
                <w:noProof/>
                <w:webHidden/>
              </w:rPr>
              <w:tab/>
            </w:r>
            <w:r>
              <w:rPr>
                <w:noProof/>
                <w:webHidden/>
              </w:rPr>
              <w:fldChar w:fldCharType="begin"/>
            </w:r>
            <w:r>
              <w:rPr>
                <w:noProof/>
                <w:webHidden/>
              </w:rPr>
              <w:instrText xml:space="preserve"> PAGEREF _Toc232583914 \h </w:instrText>
            </w:r>
            <w:r>
              <w:rPr>
                <w:noProof/>
                <w:webHidden/>
              </w:rPr>
            </w:r>
            <w:r>
              <w:rPr>
                <w:noProof/>
                <w:webHidden/>
              </w:rPr>
              <w:fldChar w:fldCharType="separate"/>
            </w:r>
            <w:r>
              <w:rPr>
                <w:noProof/>
                <w:webHidden/>
              </w:rPr>
              <w:t>9</w:t>
            </w:r>
            <w:r>
              <w:rPr>
                <w:noProof/>
                <w:webHidden/>
              </w:rPr>
              <w:fldChar w:fldCharType="end"/>
            </w:r>
          </w:hyperlink>
        </w:p>
        <w:p w14:paraId="210555AB" w14:textId="0450F862" w:rsidR="00DA58DB" w:rsidRDefault="00DA58DB">
          <w:pPr>
            <w:pStyle w:val="Verzeichnis1"/>
            <w:tabs>
              <w:tab w:val="left" w:pos="480"/>
              <w:tab w:val="right" w:pos="8210"/>
            </w:tabs>
            <w:rPr>
              <w:rFonts w:asciiTheme="minorHAnsi" w:eastAsiaTheme="minorEastAsia" w:hAnsiTheme="minorHAnsi"/>
              <w:b w:val="0"/>
              <w:bCs w:val="0"/>
              <w:noProof/>
              <w:color w:val="auto"/>
              <w:sz w:val="24"/>
              <w:szCs w:val="24"/>
              <w:lang w:eastAsia="de-DE"/>
            </w:rPr>
          </w:pPr>
          <w:hyperlink w:anchor="_Toc232583915" w:history="1">
            <w:r w:rsidRPr="00F86413">
              <w:rPr>
                <w:rStyle w:val="Hyperlink"/>
                <w:noProof/>
              </w:rPr>
              <w:t>3.</w:t>
            </w:r>
            <w:r>
              <w:rPr>
                <w:rFonts w:asciiTheme="minorHAnsi" w:eastAsiaTheme="minorEastAsia" w:hAnsiTheme="minorHAnsi"/>
                <w:b w:val="0"/>
                <w:bCs w:val="0"/>
                <w:noProof/>
                <w:color w:val="auto"/>
                <w:sz w:val="24"/>
                <w:szCs w:val="24"/>
                <w:lang w:eastAsia="de-DE"/>
              </w:rPr>
              <w:tab/>
            </w:r>
            <w:r w:rsidRPr="00F86413">
              <w:rPr>
                <w:rStyle w:val="Hyperlink"/>
                <w:noProof/>
              </w:rPr>
              <w:t>Klimaklagen als Form gesellschaftlicher Einflussnahme</w:t>
            </w:r>
            <w:r>
              <w:rPr>
                <w:noProof/>
                <w:webHidden/>
              </w:rPr>
              <w:tab/>
            </w:r>
            <w:r>
              <w:rPr>
                <w:noProof/>
                <w:webHidden/>
              </w:rPr>
              <w:fldChar w:fldCharType="begin"/>
            </w:r>
            <w:r>
              <w:rPr>
                <w:noProof/>
                <w:webHidden/>
              </w:rPr>
              <w:instrText xml:space="preserve"> PAGEREF _Toc232583915 \h </w:instrText>
            </w:r>
            <w:r>
              <w:rPr>
                <w:noProof/>
                <w:webHidden/>
              </w:rPr>
            </w:r>
            <w:r>
              <w:rPr>
                <w:noProof/>
                <w:webHidden/>
              </w:rPr>
              <w:fldChar w:fldCharType="separate"/>
            </w:r>
            <w:r>
              <w:rPr>
                <w:noProof/>
                <w:webHidden/>
              </w:rPr>
              <w:t>12</w:t>
            </w:r>
            <w:r>
              <w:rPr>
                <w:noProof/>
                <w:webHidden/>
              </w:rPr>
              <w:fldChar w:fldCharType="end"/>
            </w:r>
          </w:hyperlink>
        </w:p>
        <w:p w14:paraId="5AEBD4A8" w14:textId="64B44D79" w:rsidR="00214469" w:rsidRPr="00214469" w:rsidRDefault="00214469">
          <w:pPr>
            <w:rPr>
              <w:sz w:val="32"/>
              <w:szCs w:val="32"/>
            </w:rPr>
          </w:pPr>
          <w:r w:rsidRPr="00214469">
            <w:rPr>
              <w:rFonts w:asciiTheme="minorHAnsi" w:hAnsiTheme="minorHAnsi"/>
              <w:sz w:val="22"/>
              <w:szCs w:val="22"/>
            </w:rPr>
            <w:fldChar w:fldCharType="end"/>
          </w:r>
        </w:p>
      </w:sdtContent>
    </w:sdt>
    <w:p w14:paraId="244A1D14" w14:textId="77777777" w:rsidR="006E4EAB" w:rsidRDefault="006E4EAB" w:rsidP="00214469">
      <w:pPr>
        <w:spacing w:line="240" w:lineRule="auto"/>
        <w:jc w:val="left"/>
      </w:pPr>
    </w:p>
    <w:p w14:paraId="4A4A5F42" w14:textId="77777777" w:rsidR="006E4EAB" w:rsidRDefault="006E4EAB" w:rsidP="006E4EAB">
      <w:pPr>
        <w:spacing w:line="240" w:lineRule="auto"/>
        <w:ind w:left="3540"/>
        <w:jc w:val="left"/>
      </w:pPr>
    </w:p>
    <w:p w14:paraId="22353C66" w14:textId="77777777" w:rsidR="00214469" w:rsidRDefault="00214469" w:rsidP="00393E83"/>
    <w:p w14:paraId="6F5ACB3A" w14:textId="77777777" w:rsidR="00214469" w:rsidRDefault="00214469">
      <w:pPr>
        <w:spacing w:line="278" w:lineRule="auto"/>
        <w:jc w:val="left"/>
      </w:pPr>
      <w:r>
        <w:br w:type="page"/>
      </w:r>
    </w:p>
    <w:p w14:paraId="0933566D" w14:textId="6F77C49D" w:rsidR="006E4EAB" w:rsidRDefault="00F40026" w:rsidP="00EE6068">
      <w:pPr>
        <w:pStyle w:val="berschrift1"/>
      </w:pPr>
      <w:bookmarkStart w:id="0" w:name="_Toc232583910"/>
      <w:r>
        <w:lastRenderedPageBreak/>
        <w:t>Einleitung</w:t>
      </w:r>
      <w:bookmarkEnd w:id="0"/>
    </w:p>
    <w:p w14:paraId="11874BB9" w14:textId="73BA666A" w:rsidR="00214469" w:rsidRDefault="00EF4676" w:rsidP="00214469">
      <w:pPr>
        <w:rPr>
          <w:color w:val="000000" w:themeColor="text1"/>
        </w:rPr>
      </w:pPr>
      <w:r>
        <w:t xml:space="preserve">In demokratischen Systemen obliegt die Aufgabe der Diskussion und Gestaltung politischer Entscheidungen traditionell der Legislative und Exekutive. Gerichte hingegen gelten primär als Instanzen der Rechtsanwendung und -kontrolle. </w:t>
      </w:r>
      <w:r w:rsidR="00FA427B">
        <w:rPr>
          <w:color w:val="000000" w:themeColor="text1"/>
        </w:rPr>
        <w:t>In den letzten Jahren lässt sich jedoch zunehmend beobachten, dass sich dieses Verhältnis verschiebt. Gerichte greifen verstärkt in politisch umstrittene Themenfelder ein und wirken dabei nicht nur kontrollierend, sondern auch gestaltend auf politische Prozesse ein.</w:t>
      </w:r>
      <w:r w:rsidR="0052501E">
        <w:rPr>
          <w:color w:val="000000" w:themeColor="text1"/>
        </w:rPr>
        <w:t xml:space="preserve"> Diese Entwicklung wird häufig als „Politisierung des Rechts“ </w:t>
      </w:r>
      <w:r w:rsidR="0052501E">
        <w:rPr>
          <w:color w:val="000000" w:themeColor="text1"/>
        </w:rPr>
        <w:fldChar w:fldCharType="begin"/>
      </w:r>
      <w:r w:rsidR="0052501E">
        <w:rPr>
          <w:color w:val="000000" w:themeColor="text1"/>
        </w:rPr>
        <w:instrText xml:space="preserve"> ADDIN ZOTERO_ITEM CSL_CITATION {"citationID":"zEJLqXDA","properties":{"formattedCitation":"(Brodocz 2009, S. 62)","plainCitation":"(Brodocz 2009, S. 62)","noteIndex":0},"citationItems":[{"id":521,"uris":["http://zotero.org/users/16460357/items/IZNVLY2H"],"itemData":{"id":521,"type":"chapter","container-title":"Die Macht der Judikative","publisher":"VS Verlag für Sozialwissenschaften","publisher-place":"Wiesbaden","title":"Die Macht der Judikative in der politischen Theorie der Gegenwart","author":[{"family":"Brodocz","given":"André"}],"editor":[{"family":"Brodocz","given":"André"}],"issued":{"date-parts":[["2009"]]}},"locator":"62","label":"page"}],"schema":"https://github.com/citation-style-language/schema/raw/master/csl-citation.json"} </w:instrText>
      </w:r>
      <w:r w:rsidR="0052501E">
        <w:rPr>
          <w:color w:val="000000" w:themeColor="text1"/>
        </w:rPr>
        <w:fldChar w:fldCharType="separate"/>
      </w:r>
      <w:r w:rsidR="0052501E">
        <w:rPr>
          <w:noProof/>
          <w:color w:val="000000" w:themeColor="text1"/>
        </w:rPr>
        <w:t>(Brodocz 2009, S. 62)</w:t>
      </w:r>
      <w:r w:rsidR="0052501E">
        <w:rPr>
          <w:color w:val="000000" w:themeColor="text1"/>
        </w:rPr>
        <w:fldChar w:fldCharType="end"/>
      </w:r>
      <w:r w:rsidR="0052501E">
        <w:rPr>
          <w:color w:val="000000" w:themeColor="text1"/>
        </w:rPr>
        <w:t xml:space="preserve"> beschrieben</w:t>
      </w:r>
      <w:r w:rsidR="0096171C">
        <w:rPr>
          <w:color w:val="000000" w:themeColor="text1"/>
        </w:rPr>
        <w:t xml:space="preserve"> und wirft grundsätzliche Fragen auf: In welchem Verhältnis stehen rechtliche Kontrolle und politische Gestaltung? Und inwiefern werden Gerichte selbst zu Akteur</w:t>
      </w:r>
      <w:r w:rsidR="002729F2">
        <w:rPr>
          <w:color w:val="000000" w:themeColor="text1"/>
        </w:rPr>
        <w:t>en</w:t>
      </w:r>
      <w:r w:rsidR="0096171C">
        <w:rPr>
          <w:color w:val="000000" w:themeColor="text1"/>
        </w:rPr>
        <w:t xml:space="preserve"> auf dem politischen Spielfeld?</w:t>
      </w:r>
    </w:p>
    <w:p w14:paraId="7710F14A" w14:textId="553444CC" w:rsidR="00391C6A" w:rsidRDefault="001E74C6" w:rsidP="00214469">
      <w:pPr>
        <w:rPr>
          <w:color w:val="000000" w:themeColor="text1"/>
        </w:rPr>
      </w:pPr>
      <w:r>
        <w:rPr>
          <w:color w:val="000000" w:themeColor="text1"/>
        </w:rPr>
        <w:t>Dass Gerichte Einfluss auf politische Entscheidungsprozesse nehmen können, wurde in der politikwissenschaftlichen Forschung</w:t>
      </w:r>
      <w:r w:rsidR="00D31E5C">
        <w:rPr>
          <w:color w:val="000000" w:themeColor="text1"/>
        </w:rPr>
        <w:t xml:space="preserve"> bereits</w:t>
      </w:r>
      <w:r>
        <w:rPr>
          <w:color w:val="000000" w:themeColor="text1"/>
        </w:rPr>
        <w:t xml:space="preserve"> hervorgehoben. So verweist George Tsebelis im Rahmen seiner Vetospielertheorie (</w:t>
      </w:r>
      <w:r w:rsidR="002729F2">
        <w:rPr>
          <w:color w:val="000000" w:themeColor="text1"/>
        </w:rPr>
        <w:t>1995</w:t>
      </w:r>
      <w:r>
        <w:rPr>
          <w:color w:val="000000" w:themeColor="text1"/>
        </w:rPr>
        <w:t>) darauf, dass politische Veränderungen von der Zustimmung bestimmter Akteur</w:t>
      </w:r>
      <w:r w:rsidR="002729F2">
        <w:rPr>
          <w:color w:val="000000" w:themeColor="text1"/>
        </w:rPr>
        <w:t>*innen</w:t>
      </w:r>
      <w:r>
        <w:rPr>
          <w:color w:val="000000" w:themeColor="text1"/>
        </w:rPr>
        <w:t xml:space="preserve"> abhängen. Auch wenn Gerichte in diesem Sinne keine klassischen Vetospieler darstellen, können sie politische Prozesse durch ihre Kontrollfunktion sowie durch die antizipierte Wirkung ihrer Rechtsprechung maßgeblich beeinflussen. Jedoch wird Gerichten hierbei </w:t>
      </w:r>
      <w:r w:rsidR="00376711">
        <w:rPr>
          <w:color w:val="000000" w:themeColor="text1"/>
        </w:rPr>
        <w:t xml:space="preserve">häufig eher eine reaktive Rolle </w:t>
      </w:r>
      <w:r>
        <w:rPr>
          <w:color w:val="000000" w:themeColor="text1"/>
        </w:rPr>
        <w:t xml:space="preserve">zugeschrieben, da sie nicht aktiv in Prozesse eingreifen können, sondern davon abhängig sind, dass sie angerufen werden. </w:t>
      </w:r>
      <w:r w:rsidR="007F5E9F">
        <w:rPr>
          <w:color w:val="000000" w:themeColor="text1"/>
        </w:rPr>
        <w:t xml:space="preserve">Dass dieser Schritt zunehmend bewusst als politische Strategie genutzt wird, lässt sich im Rahmen der sogenannten Legal </w:t>
      </w:r>
      <w:proofErr w:type="spellStart"/>
      <w:r w:rsidR="007F5E9F">
        <w:rPr>
          <w:color w:val="000000" w:themeColor="text1"/>
        </w:rPr>
        <w:t>Mobilization</w:t>
      </w:r>
      <w:proofErr w:type="spellEnd"/>
      <w:r w:rsidR="007F5E9F">
        <w:rPr>
          <w:color w:val="000000" w:themeColor="text1"/>
        </w:rPr>
        <w:t xml:space="preserve"> Theory </w:t>
      </w:r>
      <w:r w:rsidR="00424526">
        <w:rPr>
          <w:color w:val="000000" w:themeColor="text1"/>
        </w:rPr>
        <w:fldChar w:fldCharType="begin"/>
      </w:r>
      <w:r w:rsidR="00424526">
        <w:rPr>
          <w:color w:val="000000" w:themeColor="text1"/>
        </w:rPr>
        <w:instrText xml:space="preserve"> ADDIN ZOTERO_ITEM CSL_CITATION {"citationID":"ElBRYPbn","properties":{"formattedCitation":"(vgl. Epp 1998; McCann 1997)","plainCitation":"(vgl. Epp 1998; McCann 1997)","noteIndex":0},"citationItems":[{"id":535,"uris":["http://zotero.org/users/16460357/items/6W5FFR6E"],"itemData":{"id":535,"type":"book","publisher":"University of Chicago Press","title":"The rights revolution : lawyers, activists, and supreme courts in comparative perspective","author":[{"family":"Epp","given":"Charles R."}],"issued":{"date-parts":[["1998"]]}},"prefix":"vgl."},{"id":534,"uris":["http://zotero.org/users/16460357/items/QGU2F42A"],"itemData":{"id":534,"type":"book","publisher":"University of Chicago Press","publisher-place":"Chicago/London","title":"Rights at work : pay equity reform and the politics of legal mobilization","author":[{"family":"McCann","given":"Michael W."}],"issued":{"date-parts":[["1997"]]}}}],"schema":"https://github.com/citation-style-language/schema/raw/master/csl-citation.json"} </w:instrText>
      </w:r>
      <w:r w:rsidR="00424526">
        <w:rPr>
          <w:color w:val="000000" w:themeColor="text1"/>
        </w:rPr>
        <w:fldChar w:fldCharType="separate"/>
      </w:r>
      <w:r w:rsidR="00424526">
        <w:rPr>
          <w:noProof/>
          <w:color w:val="000000" w:themeColor="text1"/>
        </w:rPr>
        <w:t>(vgl. Epp 1998; McCann 1997)</w:t>
      </w:r>
      <w:r w:rsidR="00424526">
        <w:rPr>
          <w:color w:val="000000" w:themeColor="text1"/>
        </w:rPr>
        <w:fldChar w:fldCharType="end"/>
      </w:r>
      <w:r w:rsidR="00424526">
        <w:rPr>
          <w:color w:val="000000" w:themeColor="text1"/>
        </w:rPr>
        <w:t xml:space="preserve"> </w:t>
      </w:r>
      <w:r w:rsidR="007F5E9F">
        <w:rPr>
          <w:color w:val="000000" w:themeColor="text1"/>
        </w:rPr>
        <w:t xml:space="preserve">einordnen. Dieser Ansatz geht davon aus, dass rechtliche Institutionen nicht nur als passive Instanzen der Konfliktlösung fungieren, sondern </w:t>
      </w:r>
      <w:proofErr w:type="gramStart"/>
      <w:r w:rsidR="007F5E9F">
        <w:rPr>
          <w:color w:val="000000" w:themeColor="text1"/>
        </w:rPr>
        <w:t>von gesellschaftlichen Akteu</w:t>
      </w:r>
      <w:r w:rsidR="002729F2">
        <w:rPr>
          <w:color w:val="000000" w:themeColor="text1"/>
        </w:rPr>
        <w:t>r</w:t>
      </w:r>
      <w:proofErr w:type="gramEnd"/>
      <w:r w:rsidR="002729F2">
        <w:rPr>
          <w:color w:val="000000" w:themeColor="text1"/>
        </w:rPr>
        <w:t>*innen</w:t>
      </w:r>
      <w:r w:rsidR="007F5E9F">
        <w:rPr>
          <w:color w:val="000000" w:themeColor="text1"/>
        </w:rPr>
        <w:t xml:space="preserve"> gezielt genutzt werden, um politische Ziele durchzusetzen. Gerichte werden damit zu strategisch eingesetzten Arenen, in denen politische Konflikte ausgetragen und normative Ansprüche formuliert werden. Vor diesem Hintergrund lässt sich auch die zunehmende Bedeutung von sogenannten Klimaklagen erklären, die sowohl im deutschen als auch internationalen Kontext zu beobachten sind. </w:t>
      </w:r>
      <w:r w:rsidR="005D0B3A">
        <w:rPr>
          <w:color w:val="000000" w:themeColor="text1"/>
        </w:rPr>
        <w:t xml:space="preserve">Dabei gilt das Urteil </w:t>
      </w:r>
      <w:proofErr w:type="spellStart"/>
      <w:r w:rsidR="005D0B3A">
        <w:rPr>
          <w:i/>
          <w:iCs/>
          <w:color w:val="000000" w:themeColor="text1"/>
        </w:rPr>
        <w:t>Urgenda</w:t>
      </w:r>
      <w:proofErr w:type="spellEnd"/>
      <w:r w:rsidR="005D0B3A">
        <w:rPr>
          <w:i/>
          <w:iCs/>
          <w:color w:val="000000" w:themeColor="text1"/>
        </w:rPr>
        <w:t xml:space="preserve"> </w:t>
      </w:r>
      <w:proofErr w:type="spellStart"/>
      <w:r w:rsidR="005D0B3A">
        <w:rPr>
          <w:i/>
          <w:iCs/>
          <w:color w:val="000000" w:themeColor="text1"/>
        </w:rPr>
        <w:t>Foundation</w:t>
      </w:r>
      <w:proofErr w:type="spellEnd"/>
      <w:r w:rsidR="005D0B3A">
        <w:rPr>
          <w:i/>
          <w:iCs/>
          <w:color w:val="000000" w:themeColor="text1"/>
        </w:rPr>
        <w:t xml:space="preserve"> v. </w:t>
      </w:r>
      <w:proofErr w:type="spellStart"/>
      <w:r w:rsidR="005D0B3A">
        <w:rPr>
          <w:i/>
          <w:iCs/>
          <w:color w:val="000000" w:themeColor="text1"/>
        </w:rPr>
        <w:t>Netherlands</w:t>
      </w:r>
      <w:proofErr w:type="spellEnd"/>
      <w:r w:rsidR="005D0B3A">
        <w:rPr>
          <w:i/>
          <w:iCs/>
          <w:color w:val="000000" w:themeColor="text1"/>
        </w:rPr>
        <w:t xml:space="preserve"> </w:t>
      </w:r>
      <w:r w:rsidR="005D0B3A">
        <w:rPr>
          <w:color w:val="000000" w:themeColor="text1"/>
        </w:rPr>
        <w:t>von</w:t>
      </w:r>
      <w:r w:rsidR="005D0B3A">
        <w:rPr>
          <w:i/>
          <w:iCs/>
          <w:color w:val="000000" w:themeColor="text1"/>
        </w:rPr>
        <w:t xml:space="preserve"> </w:t>
      </w:r>
      <w:r w:rsidR="005D0B3A">
        <w:rPr>
          <w:color w:val="000000" w:themeColor="text1"/>
        </w:rPr>
        <w:t xml:space="preserve">2019 als internationaler Meilenstein für strategische Klimaklagen, da es </w:t>
      </w:r>
      <w:r w:rsidR="00C13EEC">
        <w:rPr>
          <w:color w:val="000000" w:themeColor="text1"/>
        </w:rPr>
        <w:t>eine der ersten vielbeachteten</w:t>
      </w:r>
      <w:r w:rsidR="005D0B3A">
        <w:rPr>
          <w:color w:val="000000" w:themeColor="text1"/>
        </w:rPr>
        <w:t xml:space="preserve"> erfolgreiche</w:t>
      </w:r>
      <w:r w:rsidR="00C13EEC">
        <w:rPr>
          <w:color w:val="000000" w:themeColor="text1"/>
        </w:rPr>
        <w:t>n</w:t>
      </w:r>
      <w:r w:rsidR="005D0B3A">
        <w:rPr>
          <w:color w:val="000000" w:themeColor="text1"/>
        </w:rPr>
        <w:t xml:space="preserve"> Klimaklage</w:t>
      </w:r>
      <w:r w:rsidR="00C13EEC">
        <w:rPr>
          <w:color w:val="000000" w:themeColor="text1"/>
        </w:rPr>
        <w:t>n</w:t>
      </w:r>
      <w:r w:rsidR="005D0B3A">
        <w:rPr>
          <w:color w:val="000000" w:themeColor="text1"/>
        </w:rPr>
        <w:t xml:space="preserve"> weltweit gegen einen Staat auf Grundlage von Menschenrechten war.</w:t>
      </w:r>
      <w:r w:rsidR="00DD72AB">
        <w:rPr>
          <w:color w:val="000000" w:themeColor="text1"/>
        </w:rPr>
        <w:t xml:space="preserve"> </w:t>
      </w:r>
      <w:r w:rsidR="005D0B3A">
        <w:rPr>
          <w:color w:val="000000" w:themeColor="text1"/>
        </w:rPr>
        <w:t xml:space="preserve">Seitdem lässt sich eine Reihe </w:t>
      </w:r>
      <w:r w:rsidR="00374676">
        <w:rPr>
          <w:color w:val="000000" w:themeColor="text1"/>
        </w:rPr>
        <w:t>prominenter</w:t>
      </w:r>
      <w:r w:rsidR="005D0B3A">
        <w:rPr>
          <w:color w:val="000000" w:themeColor="text1"/>
        </w:rPr>
        <w:t xml:space="preserve"> Kli</w:t>
      </w:r>
      <w:r w:rsidR="005D0B3A">
        <w:rPr>
          <w:color w:val="000000" w:themeColor="text1"/>
        </w:rPr>
        <w:lastRenderedPageBreak/>
        <w:t xml:space="preserve">maklagen nennen, wie etwa das </w:t>
      </w:r>
      <w:r w:rsidR="005D0B3A">
        <w:rPr>
          <w:i/>
          <w:iCs/>
          <w:color w:val="000000" w:themeColor="text1"/>
        </w:rPr>
        <w:t xml:space="preserve">Shell-Urteil </w:t>
      </w:r>
      <w:r w:rsidR="005D0B3A">
        <w:rPr>
          <w:rStyle w:val="Funotenzeichen"/>
          <w:i/>
          <w:iCs/>
          <w:color w:val="000000" w:themeColor="text1"/>
        </w:rPr>
        <w:footnoteReference w:id="1"/>
      </w:r>
      <w:r w:rsidR="000315D0">
        <w:rPr>
          <w:color w:val="000000" w:themeColor="text1"/>
        </w:rPr>
        <w:t xml:space="preserve">, </w:t>
      </w:r>
      <w:proofErr w:type="spellStart"/>
      <w:r w:rsidR="000315D0">
        <w:rPr>
          <w:i/>
          <w:iCs/>
          <w:color w:val="000000" w:themeColor="text1"/>
        </w:rPr>
        <w:t>Lliyua</w:t>
      </w:r>
      <w:proofErr w:type="spellEnd"/>
      <w:r w:rsidR="000315D0">
        <w:rPr>
          <w:i/>
          <w:iCs/>
          <w:color w:val="000000" w:themeColor="text1"/>
        </w:rPr>
        <w:t xml:space="preserve"> v. RWE</w:t>
      </w:r>
      <w:r w:rsidR="000315D0">
        <w:rPr>
          <w:rStyle w:val="Funotenzeichen"/>
          <w:i/>
          <w:iCs/>
          <w:color w:val="000000" w:themeColor="text1"/>
        </w:rPr>
        <w:footnoteReference w:id="2"/>
      </w:r>
      <w:r w:rsidR="000315D0">
        <w:rPr>
          <w:i/>
          <w:iCs/>
          <w:color w:val="000000" w:themeColor="text1"/>
        </w:rPr>
        <w:t xml:space="preserve"> </w:t>
      </w:r>
      <w:r w:rsidR="000315D0">
        <w:rPr>
          <w:color w:val="000000" w:themeColor="text1"/>
        </w:rPr>
        <w:t xml:space="preserve">oder </w:t>
      </w:r>
      <w:proofErr w:type="spellStart"/>
      <w:r w:rsidR="000315D0">
        <w:rPr>
          <w:i/>
          <w:iCs/>
          <w:color w:val="000000" w:themeColor="text1"/>
        </w:rPr>
        <w:t>KlimaSeniorinnen</w:t>
      </w:r>
      <w:proofErr w:type="spellEnd"/>
      <w:r w:rsidR="000315D0">
        <w:rPr>
          <w:i/>
          <w:iCs/>
          <w:color w:val="000000" w:themeColor="text1"/>
        </w:rPr>
        <w:t xml:space="preserve"> v. </w:t>
      </w:r>
      <w:proofErr w:type="spellStart"/>
      <w:r w:rsidR="000315D0">
        <w:rPr>
          <w:i/>
          <w:iCs/>
          <w:color w:val="000000" w:themeColor="text1"/>
        </w:rPr>
        <w:t>Switzerland</w:t>
      </w:r>
      <w:proofErr w:type="spellEnd"/>
      <w:r w:rsidR="00DD72AB">
        <w:rPr>
          <w:rStyle w:val="Funotenzeichen"/>
          <w:i/>
          <w:iCs/>
          <w:color w:val="000000" w:themeColor="text1"/>
        </w:rPr>
        <w:footnoteReference w:id="3"/>
      </w:r>
      <w:r w:rsidR="000315D0">
        <w:rPr>
          <w:color w:val="000000" w:themeColor="text1"/>
        </w:rPr>
        <w:t xml:space="preserve">. </w:t>
      </w:r>
      <w:r w:rsidR="00374676">
        <w:rPr>
          <w:color w:val="000000" w:themeColor="text1"/>
        </w:rPr>
        <w:t xml:space="preserve">Vor </w:t>
      </w:r>
      <w:r w:rsidR="00C8457F">
        <w:rPr>
          <w:color w:val="000000" w:themeColor="text1"/>
        </w:rPr>
        <w:t>diesem</w:t>
      </w:r>
      <w:r w:rsidR="00374676">
        <w:rPr>
          <w:color w:val="000000" w:themeColor="text1"/>
        </w:rPr>
        <w:t xml:space="preserve"> Hintergrund geht die vorliegende Arbeit der folgenden Frage nach:</w:t>
      </w:r>
    </w:p>
    <w:p w14:paraId="3E820235" w14:textId="2ED630A6" w:rsidR="001E74C6" w:rsidRPr="00391C6A" w:rsidRDefault="00391C6A" w:rsidP="00214469">
      <w:pPr>
        <w:rPr>
          <w:i/>
          <w:iCs/>
          <w:color w:val="000000" w:themeColor="text1"/>
        </w:rPr>
      </w:pPr>
      <w:r w:rsidRPr="00391C6A">
        <w:rPr>
          <w:i/>
          <w:iCs/>
          <w:color w:val="000000" w:themeColor="text1"/>
        </w:rPr>
        <w:t xml:space="preserve">Inwiefern und auf welche Weise tragen Klimaklagen zur Politisierung der Judikative bei? </w:t>
      </w:r>
    </w:p>
    <w:p w14:paraId="47A5534F" w14:textId="0E6502E9" w:rsidR="00391C6A" w:rsidRDefault="00391C6A" w:rsidP="00214469">
      <w:pPr>
        <w:rPr>
          <w:color w:val="000000" w:themeColor="text1"/>
        </w:rPr>
      </w:pPr>
      <w:r>
        <w:rPr>
          <w:color w:val="000000" w:themeColor="text1"/>
        </w:rPr>
        <w:t>Während – wie erwähnt – auf internationaler Ebene bereits zahlreiche Klimaklagen Aufmerksamkeit erregt haben, stellt das Urteil des Bundesverfassungsgerichts</w:t>
      </w:r>
      <w:r w:rsidR="00595B22">
        <w:rPr>
          <w:color w:val="000000" w:themeColor="text1"/>
        </w:rPr>
        <w:t xml:space="preserve"> (BVerfG)</w:t>
      </w:r>
      <w:r>
        <w:rPr>
          <w:color w:val="000000" w:themeColor="text1"/>
        </w:rPr>
        <w:t xml:space="preserve"> zum Klimaschutzgesetz aus dem Jahr 2021 einen zentralen Referenzpunkt für den deutschen Kontext dar. In diesem Urteil verpflichtete das Gericht den Gesetzgeber, die Klimaschutzmaßnahmen über das Jahr 2030 hinaus konkreter zu regeln und dabei die Freiheitsrechte zukünftiger Generationen stärker zu berücksichtigen</w:t>
      </w:r>
      <w:r w:rsidR="00150DA8">
        <w:rPr>
          <w:color w:val="000000" w:themeColor="text1"/>
        </w:rPr>
        <w:t xml:space="preserve"> (</w:t>
      </w:r>
      <w:r w:rsidR="00A12CA3">
        <w:rPr>
          <w:color w:val="000000" w:themeColor="text1"/>
        </w:rPr>
        <w:t xml:space="preserve">vgl. </w:t>
      </w:r>
      <w:r w:rsidR="00150DA8">
        <w:rPr>
          <w:color w:val="000000" w:themeColor="text1"/>
        </w:rPr>
        <w:t>BVerfGE 157, 30)</w:t>
      </w:r>
      <w:r>
        <w:rPr>
          <w:color w:val="000000" w:themeColor="text1"/>
        </w:rPr>
        <w:t>. Damit griff das Gericht nicht nur in eine laufende politische Debatte ein, sondern setzte auch neue Maßstäbe für die rechtliche Bewertung staatlicher Klimapolitik.</w:t>
      </w:r>
    </w:p>
    <w:p w14:paraId="168CE270" w14:textId="77777777" w:rsidR="00685184" w:rsidRDefault="00685184" w:rsidP="00214469">
      <w:pPr>
        <w:rPr>
          <w:color w:val="000000" w:themeColor="text1"/>
        </w:rPr>
      </w:pPr>
    </w:p>
    <w:p w14:paraId="04484CC0" w14:textId="175B2FBF" w:rsidR="00685184" w:rsidRDefault="00685184" w:rsidP="00685184">
      <w:pPr>
        <w:pStyle w:val="berschrift1"/>
      </w:pPr>
      <w:bookmarkStart w:id="1" w:name="_Toc232583911"/>
      <w:r>
        <w:t>Theoretischer Rahmen</w:t>
      </w:r>
      <w:bookmarkEnd w:id="1"/>
    </w:p>
    <w:p w14:paraId="542646C7" w14:textId="0E89C4CA" w:rsidR="00685184" w:rsidRDefault="00724328" w:rsidP="00685184">
      <w:pPr>
        <w:pStyle w:val="berschrift2"/>
      </w:pPr>
      <w:bookmarkStart w:id="2" w:name="_Toc232583912"/>
      <w:r>
        <w:t>Das Bundesverfassungsgericht</w:t>
      </w:r>
      <w:r w:rsidR="004C2980">
        <w:t xml:space="preserve"> als politische</w:t>
      </w:r>
      <w:r>
        <w:t>r</w:t>
      </w:r>
      <w:r w:rsidR="004C2980">
        <w:t xml:space="preserve"> Akteur</w:t>
      </w:r>
      <w:bookmarkEnd w:id="2"/>
    </w:p>
    <w:p w14:paraId="18891F4B" w14:textId="542D526D" w:rsidR="0062517A" w:rsidRDefault="004C2980" w:rsidP="003D4DE7">
      <w:pPr>
        <w:rPr>
          <w:color w:val="000000" w:themeColor="text1"/>
        </w:rPr>
      </w:pPr>
      <w:r>
        <w:t xml:space="preserve">Lange Zeit spielte die Verfassungsgerichtsbarkeit in der deutschen Politikwissenschaft nur eine nebensächliche Rolle. Anders als in den USA, in denen die Verfassungsgerichtsforschung </w:t>
      </w:r>
      <w:r w:rsidR="002B4E71">
        <w:t>schon immer</w:t>
      </w:r>
      <w:r>
        <w:t xml:space="preserve"> </w:t>
      </w:r>
      <w:r w:rsidR="002B4E71">
        <w:t>Gegenstand der</w:t>
      </w:r>
      <w:r>
        <w:t xml:space="preserve"> politikwissenschaftliche</w:t>
      </w:r>
      <w:r w:rsidR="002B4E71">
        <w:t>n</w:t>
      </w:r>
      <w:r>
        <w:t xml:space="preserve"> </w:t>
      </w:r>
      <w:r w:rsidR="002B4E71">
        <w:t>Forschung</w:t>
      </w:r>
      <w:r>
        <w:t xml:space="preserve"> </w:t>
      </w:r>
      <w:r w:rsidR="002B4E71">
        <w:t>ist</w:t>
      </w:r>
      <w:r>
        <w:t xml:space="preserve"> </w:t>
      </w:r>
      <w:r w:rsidR="009010D9">
        <w:fldChar w:fldCharType="begin"/>
      </w:r>
      <w:r w:rsidR="009010D9">
        <w:instrText xml:space="preserve"> ADDIN ZOTERO_ITEM CSL_CITATION {"citationID":"FyuoEbNd","properties":{"formattedCitation":"(vgl. Kneip 2016, S. 361)","plainCitation":"(vgl. Kneip 2016, S. 361)","noteIndex":0},"citationItems":[{"id":512,"uris":["http://zotero.org/users/16460357/items/YIP88BVS"],"itemData":{"id":512,"type":"chapter","collection-title":"Springer Reference Sozialwissenschaften","container-title":"Handbuch Vergleichende Politikwissenschaft","page":"361-372","publisher":"Springer VS","publisher-place":"Wiesbaden","title":"Verfassungsgerichte in der Vergleichenden Politikwissenschaft","author":[{"family":"Kneip","given":"Sascha"}],"editor":[{"family":"Lauth","given":"Hans-Joachim"},{"family":"Kneuer","given":"Marianne"},{"family":"Pickel","given":"Gert"}],"issued":{"date-parts":[["2016"]]}},"locator":"361","label":"page","prefix":"vgl."}],"schema":"https://github.com/citation-style-language/schema/raw/master/csl-citation.json"} </w:instrText>
      </w:r>
      <w:r w:rsidR="009010D9">
        <w:fldChar w:fldCharType="separate"/>
      </w:r>
      <w:r w:rsidR="009010D9">
        <w:rPr>
          <w:noProof/>
        </w:rPr>
        <w:t>(vgl. Kneip 2016, S. 361)</w:t>
      </w:r>
      <w:r w:rsidR="009010D9">
        <w:fldChar w:fldCharType="end"/>
      </w:r>
      <w:r w:rsidR="009010D9">
        <w:t>, galt in</w:t>
      </w:r>
      <w:r>
        <w:t xml:space="preserve"> der Tradition der deutschen Staatsrechtslehre das </w:t>
      </w:r>
      <w:r w:rsidR="00595B22">
        <w:t>BVerfG</w:t>
      </w:r>
      <w:r>
        <w:t xml:space="preserve"> als ein Bereich, der den Jurist*innen vorbehalten sei</w:t>
      </w:r>
      <w:r w:rsidR="009010D9">
        <w:t xml:space="preserve"> </w:t>
      </w:r>
      <w:r w:rsidR="002B4E71">
        <w:fldChar w:fldCharType="begin"/>
      </w:r>
      <w:r w:rsidR="002B4E71">
        <w:instrText xml:space="preserve"> ADDIN ZOTERO_ITEM CSL_CITATION {"citationID":"YxzCc1ED","properties":{"formattedCitation":"(vgl. Herrmann 2010, S. 401)","plainCitation":"(vgl. Herrmann 2010, S. 401)","noteIndex":0},"citationItems":[{"id":540,"uris":["http://zotero.org/users/16460357/items/MIGM7WFV"],"itemData":{"id":540,"type":"chapter","container-title":"Analyse demokratischer Regierungssysteme","edition":"1. Aufl.","publisher":"VS Verlag für Sozialwissenschaften","publisher-place":"Wiesbaden","source":"MB 1200/59 20055","title":"Politikwissenschaftliche Forschung zum Bundesverfassungsgericht","author":[{"family":"Herrmann","given":"Dietrich"}],"editor":[{"family":"Schrenk","given":"Klemens H."},{"family":"Soldner","given":"Markus"}],"issued":{"date-parts":[["2010"]]}},"locator":"401","label":"page","prefix":"vgl."}],"schema":"https://github.com/citation-style-language/schema/raw/master/csl-citation.json"} </w:instrText>
      </w:r>
      <w:r w:rsidR="002B4E71">
        <w:fldChar w:fldCharType="separate"/>
      </w:r>
      <w:r w:rsidR="002B4E71">
        <w:rPr>
          <w:noProof/>
        </w:rPr>
        <w:t>(vgl. Herrmann 2010, S. 401)</w:t>
      </w:r>
      <w:r w:rsidR="002B4E71">
        <w:fldChar w:fldCharType="end"/>
      </w:r>
      <w:r>
        <w:t>.</w:t>
      </w:r>
      <w:r w:rsidR="00B07EC8">
        <w:t xml:space="preserve"> </w:t>
      </w:r>
      <w:r w:rsidR="003D4DE7">
        <w:t xml:space="preserve">Dennoch zeigte Tsebelis bereits 2002, </w:t>
      </w:r>
      <w:r w:rsidR="003D4DE7">
        <w:rPr>
          <w:color w:val="000000" w:themeColor="text1"/>
        </w:rPr>
        <w:t>d</w:t>
      </w:r>
      <w:r w:rsidR="003D4DE7" w:rsidRPr="003D4DE7">
        <w:rPr>
          <w:color w:val="000000" w:themeColor="text1"/>
        </w:rPr>
        <w:t xml:space="preserve">ass Gerichte </w:t>
      </w:r>
      <w:r w:rsidR="003D4DE7">
        <w:rPr>
          <w:color w:val="000000" w:themeColor="text1"/>
        </w:rPr>
        <w:t xml:space="preserve">sehr wohl </w:t>
      </w:r>
      <w:r w:rsidR="003D4DE7" w:rsidRPr="003D4DE7">
        <w:rPr>
          <w:color w:val="000000" w:themeColor="text1"/>
        </w:rPr>
        <w:t xml:space="preserve">eine Rolle als politischer Akteur einnehmen können, als er die Vetospielertheorie formulierte und </w:t>
      </w:r>
      <w:r w:rsidR="003D4DE7" w:rsidRPr="003D4DE7">
        <w:rPr>
          <w:color w:val="000000" w:themeColor="text1"/>
        </w:rPr>
        <w:lastRenderedPageBreak/>
        <w:t xml:space="preserve">sagte: „Veto </w:t>
      </w:r>
      <w:proofErr w:type="spellStart"/>
      <w:r w:rsidR="003D4DE7" w:rsidRPr="003D4DE7">
        <w:rPr>
          <w:color w:val="000000" w:themeColor="text1"/>
        </w:rPr>
        <w:t>players</w:t>
      </w:r>
      <w:proofErr w:type="spellEnd"/>
      <w:r w:rsidR="003D4DE7" w:rsidRPr="003D4DE7">
        <w:rPr>
          <w:color w:val="000000" w:themeColor="text1"/>
        </w:rPr>
        <w:t xml:space="preserve"> </w:t>
      </w:r>
      <w:proofErr w:type="spellStart"/>
      <w:r w:rsidR="003D4DE7" w:rsidRPr="003D4DE7">
        <w:rPr>
          <w:color w:val="000000" w:themeColor="text1"/>
        </w:rPr>
        <w:t>are</w:t>
      </w:r>
      <w:proofErr w:type="spellEnd"/>
      <w:r w:rsidR="003D4DE7" w:rsidRPr="003D4DE7">
        <w:rPr>
          <w:color w:val="000000" w:themeColor="text1"/>
        </w:rPr>
        <w:t xml:space="preserve"> individual </w:t>
      </w:r>
      <w:proofErr w:type="spellStart"/>
      <w:r w:rsidR="003D4DE7" w:rsidRPr="003D4DE7">
        <w:rPr>
          <w:color w:val="000000" w:themeColor="text1"/>
        </w:rPr>
        <w:t>or</w:t>
      </w:r>
      <w:proofErr w:type="spellEnd"/>
      <w:r w:rsidR="003D4DE7" w:rsidRPr="003D4DE7">
        <w:rPr>
          <w:color w:val="000000" w:themeColor="text1"/>
        </w:rPr>
        <w:t xml:space="preserve"> </w:t>
      </w:r>
      <w:proofErr w:type="spellStart"/>
      <w:r w:rsidR="003D4DE7" w:rsidRPr="003D4DE7">
        <w:rPr>
          <w:color w:val="000000" w:themeColor="text1"/>
        </w:rPr>
        <w:t>collective</w:t>
      </w:r>
      <w:proofErr w:type="spellEnd"/>
      <w:r w:rsidR="003D4DE7" w:rsidRPr="003D4DE7">
        <w:rPr>
          <w:color w:val="000000" w:themeColor="text1"/>
        </w:rPr>
        <w:t xml:space="preserve"> </w:t>
      </w:r>
      <w:proofErr w:type="spellStart"/>
      <w:r w:rsidR="003D4DE7" w:rsidRPr="003D4DE7">
        <w:rPr>
          <w:color w:val="000000" w:themeColor="text1"/>
        </w:rPr>
        <w:t>actors</w:t>
      </w:r>
      <w:proofErr w:type="spellEnd"/>
      <w:r w:rsidR="003D4DE7" w:rsidRPr="003D4DE7">
        <w:rPr>
          <w:color w:val="000000" w:themeColor="text1"/>
        </w:rPr>
        <w:t xml:space="preserve"> </w:t>
      </w:r>
      <w:proofErr w:type="spellStart"/>
      <w:r w:rsidR="003D4DE7" w:rsidRPr="003D4DE7">
        <w:rPr>
          <w:color w:val="000000" w:themeColor="text1"/>
        </w:rPr>
        <w:t>whose</w:t>
      </w:r>
      <w:proofErr w:type="spellEnd"/>
      <w:r w:rsidR="003D4DE7" w:rsidRPr="003D4DE7">
        <w:rPr>
          <w:color w:val="000000" w:themeColor="text1"/>
        </w:rPr>
        <w:t xml:space="preserve"> </w:t>
      </w:r>
      <w:proofErr w:type="spellStart"/>
      <w:r w:rsidR="003D4DE7" w:rsidRPr="003D4DE7">
        <w:rPr>
          <w:color w:val="000000" w:themeColor="text1"/>
        </w:rPr>
        <w:t>agreement</w:t>
      </w:r>
      <w:proofErr w:type="spellEnd"/>
      <w:r w:rsidR="003D4DE7" w:rsidRPr="003D4DE7">
        <w:rPr>
          <w:color w:val="000000" w:themeColor="text1"/>
        </w:rPr>
        <w:t xml:space="preserve"> </w:t>
      </w:r>
      <w:r w:rsidR="00A91ABE">
        <w:rPr>
          <w:color w:val="000000" w:themeColor="text1"/>
        </w:rPr>
        <w:t xml:space="preserve">[…] </w:t>
      </w:r>
      <w:proofErr w:type="spellStart"/>
      <w:r w:rsidR="003D4DE7" w:rsidRPr="003D4DE7">
        <w:rPr>
          <w:color w:val="000000" w:themeColor="text1"/>
        </w:rPr>
        <w:t>is</w:t>
      </w:r>
      <w:proofErr w:type="spellEnd"/>
      <w:r w:rsidR="003D4DE7" w:rsidRPr="003D4DE7">
        <w:rPr>
          <w:color w:val="000000" w:themeColor="text1"/>
        </w:rPr>
        <w:t xml:space="preserve"> </w:t>
      </w:r>
      <w:proofErr w:type="spellStart"/>
      <w:r w:rsidR="00A91ABE">
        <w:rPr>
          <w:color w:val="000000" w:themeColor="text1"/>
        </w:rPr>
        <w:t>required</w:t>
      </w:r>
      <w:proofErr w:type="spellEnd"/>
      <w:r w:rsidR="003D4DE7" w:rsidRPr="003D4DE7">
        <w:rPr>
          <w:color w:val="000000" w:themeColor="text1"/>
        </w:rPr>
        <w:t xml:space="preserve"> </w:t>
      </w:r>
      <w:proofErr w:type="spellStart"/>
      <w:r w:rsidR="003D4DE7" w:rsidRPr="003D4DE7">
        <w:rPr>
          <w:color w:val="000000" w:themeColor="text1"/>
        </w:rPr>
        <w:t>for</w:t>
      </w:r>
      <w:proofErr w:type="spellEnd"/>
      <w:r w:rsidR="003D4DE7" w:rsidRPr="003D4DE7">
        <w:rPr>
          <w:color w:val="000000" w:themeColor="text1"/>
        </w:rPr>
        <w:t xml:space="preserve"> a </w:t>
      </w:r>
      <w:proofErr w:type="spellStart"/>
      <w:r w:rsidR="003D4DE7" w:rsidRPr="003D4DE7">
        <w:rPr>
          <w:color w:val="000000" w:themeColor="text1"/>
        </w:rPr>
        <w:t>change</w:t>
      </w:r>
      <w:proofErr w:type="spellEnd"/>
      <w:r w:rsidR="003D4DE7" w:rsidRPr="003D4DE7">
        <w:rPr>
          <w:color w:val="000000" w:themeColor="text1"/>
        </w:rPr>
        <w:t xml:space="preserve"> oft </w:t>
      </w:r>
      <w:proofErr w:type="spellStart"/>
      <w:r w:rsidR="003D4DE7" w:rsidRPr="003D4DE7">
        <w:rPr>
          <w:color w:val="000000" w:themeColor="text1"/>
        </w:rPr>
        <w:t>the</w:t>
      </w:r>
      <w:proofErr w:type="spellEnd"/>
      <w:r w:rsidR="003D4DE7" w:rsidRPr="003D4DE7">
        <w:rPr>
          <w:color w:val="000000" w:themeColor="text1"/>
        </w:rPr>
        <w:t xml:space="preserve"> </w:t>
      </w:r>
      <w:proofErr w:type="spellStart"/>
      <w:r w:rsidR="003D4DE7" w:rsidRPr="003D4DE7">
        <w:rPr>
          <w:color w:val="000000" w:themeColor="text1"/>
        </w:rPr>
        <w:t>status</w:t>
      </w:r>
      <w:proofErr w:type="spellEnd"/>
      <w:r w:rsidR="003D4DE7" w:rsidRPr="003D4DE7">
        <w:rPr>
          <w:color w:val="000000" w:themeColor="text1"/>
        </w:rPr>
        <w:t xml:space="preserve"> quo</w:t>
      </w:r>
      <w:r w:rsidR="00AF6BAD">
        <w:rPr>
          <w:color w:val="000000" w:themeColor="text1"/>
        </w:rPr>
        <w:t>.</w:t>
      </w:r>
      <w:r w:rsidR="003D4DE7" w:rsidRPr="003D4DE7">
        <w:rPr>
          <w:color w:val="000000" w:themeColor="text1"/>
        </w:rPr>
        <w:t xml:space="preserve">“ </w:t>
      </w:r>
      <w:r w:rsidR="00AF6BAD">
        <w:rPr>
          <w:color w:val="000000" w:themeColor="text1"/>
        </w:rPr>
        <w:fldChar w:fldCharType="begin"/>
      </w:r>
      <w:r w:rsidR="00AF6BAD">
        <w:rPr>
          <w:color w:val="000000" w:themeColor="text1"/>
        </w:rPr>
        <w:instrText xml:space="preserve"> ADDIN ZOTERO_ITEM CSL_CITATION {"citationID":"EqMPwtUt","properties":{"formattedCitation":"(Tsebelis 1995, S. 289)","plainCitation":"(Tsebelis 1995, S. 289)","noteIndex":0},"citationItems":[{"id":555,"uris":["http://zotero.org/users/16460357/items/EXIH3S4S"],"itemData":{"id":555,"type":"article-journal","container-title":"British Journal of Political Science","issue":"3","language":"en","page":"289-325","source":"Zotero","title":"Decision Making in Political Systems: Veto Players in Presidentialism, Parliamentarism, Multicameralism and Multipartyism","volume":"25","author":[{"family":"Tsebelis","given":"George"}],"issued":{"date-parts":[["1995"]]}},"locator":"289","label":"page"}],"schema":"https://github.com/citation-style-language/schema/raw/master/csl-citation.json"} </w:instrText>
      </w:r>
      <w:r w:rsidR="00AF6BAD">
        <w:rPr>
          <w:color w:val="000000" w:themeColor="text1"/>
        </w:rPr>
        <w:fldChar w:fldCharType="separate"/>
      </w:r>
      <w:r w:rsidR="00AF6BAD">
        <w:rPr>
          <w:noProof/>
          <w:color w:val="000000" w:themeColor="text1"/>
        </w:rPr>
        <w:t>(Tsebelis 1995, S. 289)</w:t>
      </w:r>
      <w:r w:rsidR="00AF6BAD">
        <w:rPr>
          <w:color w:val="000000" w:themeColor="text1"/>
        </w:rPr>
        <w:fldChar w:fldCharType="end"/>
      </w:r>
      <w:r w:rsidR="00AF6BAD">
        <w:rPr>
          <w:color w:val="000000" w:themeColor="text1"/>
        </w:rPr>
        <w:t xml:space="preserve"> </w:t>
      </w:r>
      <w:r w:rsidR="003D4DE7" w:rsidRPr="003D4DE7">
        <w:rPr>
          <w:color w:val="000000" w:themeColor="text1"/>
        </w:rPr>
        <w:t xml:space="preserve">Dabei unterscheidet er </w:t>
      </w:r>
      <w:r w:rsidR="0021280E">
        <w:rPr>
          <w:color w:val="000000" w:themeColor="text1"/>
        </w:rPr>
        <w:t>zwischen</w:t>
      </w:r>
      <w:r w:rsidR="003D4DE7" w:rsidRPr="003D4DE7">
        <w:rPr>
          <w:color w:val="000000" w:themeColor="text1"/>
        </w:rPr>
        <w:t xml:space="preserve"> institutionelle</w:t>
      </w:r>
      <w:r w:rsidR="0021280E">
        <w:rPr>
          <w:color w:val="000000" w:themeColor="text1"/>
        </w:rPr>
        <w:t>n</w:t>
      </w:r>
      <w:r w:rsidR="003D4DE7" w:rsidRPr="003D4DE7">
        <w:rPr>
          <w:color w:val="000000" w:themeColor="text1"/>
        </w:rPr>
        <w:t xml:space="preserve"> und parteipolitische</w:t>
      </w:r>
      <w:r w:rsidR="0021280E">
        <w:rPr>
          <w:color w:val="000000" w:themeColor="text1"/>
        </w:rPr>
        <w:t>n</w:t>
      </w:r>
      <w:r w:rsidR="003D4DE7" w:rsidRPr="003D4DE7">
        <w:rPr>
          <w:color w:val="000000" w:themeColor="text1"/>
        </w:rPr>
        <w:t xml:space="preserve"> Vetospieler</w:t>
      </w:r>
      <w:r w:rsidR="000C1EEF">
        <w:rPr>
          <w:color w:val="000000" w:themeColor="text1"/>
        </w:rPr>
        <w:t>n</w:t>
      </w:r>
      <w:r w:rsidR="003D4DE7" w:rsidRPr="003D4DE7">
        <w:rPr>
          <w:color w:val="000000" w:themeColor="text1"/>
        </w:rPr>
        <w:t xml:space="preserve">, wobei erstere in der Verfassung verankert und konstant sein müssen. In </w:t>
      </w:r>
      <w:r w:rsidR="002B64A2">
        <w:rPr>
          <w:color w:val="000000" w:themeColor="text1"/>
        </w:rPr>
        <w:t xml:space="preserve">eben </w:t>
      </w:r>
      <w:r w:rsidR="003D4DE7" w:rsidRPr="003D4DE7">
        <w:rPr>
          <w:color w:val="000000" w:themeColor="text1"/>
        </w:rPr>
        <w:t>diese Kategorie fällt im deutschen Kontext das BVerfG</w:t>
      </w:r>
      <w:r w:rsidR="005829D2">
        <w:rPr>
          <w:color w:val="000000" w:themeColor="text1"/>
        </w:rPr>
        <w:t xml:space="preserve">. </w:t>
      </w:r>
      <w:r w:rsidR="003D4DE7" w:rsidRPr="003D4DE7">
        <w:rPr>
          <w:color w:val="000000" w:themeColor="text1"/>
        </w:rPr>
        <w:t xml:space="preserve">Jedoch nimmt dieses im Sinne der Vetospielertheorie hauptsächlich eine passive Rolle ein, da es zum einen nicht selbst aktiv werden kann, sondern angerufen werden muss; und zum anderen, da es indirekt Einfluss auf die Gesetzgebung nimmt, da der Gesetzgeber bereits die Einschätzung des BVerfG antizipiert und so ggf. seine Position dementsprechend anpasst. </w:t>
      </w:r>
      <w:r w:rsidR="008258B0">
        <w:rPr>
          <w:color w:val="000000" w:themeColor="text1"/>
        </w:rPr>
        <w:t>Die Rolle des BVerfG als politischer Akteur ergibt sich aber nicht ausschließlich aus seiner Position als Veto Player, sondern ebenfalls aus seiner ihm durch die Verfassung zugeordneten Rolle im System und der daraus entstehenden realen Macht in politischen Entscheidungsprozessen. Zwar verfügt das BVerfG über „</w:t>
      </w:r>
      <w:proofErr w:type="spellStart"/>
      <w:r w:rsidR="008258B0">
        <w:rPr>
          <w:color w:val="000000" w:themeColor="text1"/>
        </w:rPr>
        <w:t>neither</w:t>
      </w:r>
      <w:proofErr w:type="spellEnd"/>
      <w:r w:rsidR="008258B0">
        <w:rPr>
          <w:color w:val="000000" w:themeColor="text1"/>
        </w:rPr>
        <w:t xml:space="preserve"> </w:t>
      </w:r>
      <w:proofErr w:type="spellStart"/>
      <w:r w:rsidR="008258B0">
        <w:rPr>
          <w:color w:val="000000" w:themeColor="text1"/>
        </w:rPr>
        <w:t>sword</w:t>
      </w:r>
      <w:proofErr w:type="spellEnd"/>
      <w:r w:rsidR="008258B0">
        <w:rPr>
          <w:color w:val="000000" w:themeColor="text1"/>
        </w:rPr>
        <w:t xml:space="preserve"> </w:t>
      </w:r>
      <w:proofErr w:type="spellStart"/>
      <w:r w:rsidR="008258B0">
        <w:rPr>
          <w:color w:val="000000" w:themeColor="text1"/>
        </w:rPr>
        <w:t>nor</w:t>
      </w:r>
      <w:proofErr w:type="spellEnd"/>
      <w:r w:rsidR="008258B0">
        <w:rPr>
          <w:color w:val="000000" w:themeColor="text1"/>
        </w:rPr>
        <w:t xml:space="preserve"> </w:t>
      </w:r>
      <w:proofErr w:type="spellStart"/>
      <w:r w:rsidR="008258B0">
        <w:rPr>
          <w:color w:val="000000" w:themeColor="text1"/>
        </w:rPr>
        <w:t>purse</w:t>
      </w:r>
      <w:proofErr w:type="spellEnd"/>
      <w:r w:rsidR="008258B0">
        <w:rPr>
          <w:color w:val="000000" w:themeColor="text1"/>
        </w:rPr>
        <w:t xml:space="preserve">“ </w:t>
      </w:r>
      <w:r w:rsidR="008258B0">
        <w:rPr>
          <w:color w:val="000000" w:themeColor="text1"/>
        </w:rPr>
        <w:fldChar w:fldCharType="begin"/>
      </w:r>
      <w:r w:rsidR="008258B0">
        <w:rPr>
          <w:color w:val="000000" w:themeColor="text1"/>
        </w:rPr>
        <w:instrText xml:space="preserve"> ADDIN ZOTERO_ITEM CSL_CITATION {"citationID":"1nsU2vOW","properties":{"formattedCitation":"(Hamilton 1788, zitiert nach: Herrmann 2010, S. 402)","plainCitation":"(Hamilton 1788, zitiert nach: Herrmann 2010, S. 402)","noteIndex":0},"citationItems":[{"id":540,"uris":["http://zotero.org/users/16460357/items/MIGM7WFV"],"itemData":{"id":540,"type":"chapter","container-title":"Analyse demokratischer Regierungssysteme","edition":"1. Aufl.","publisher":"VS Verlag für Sozialwissenschaften","publisher-place":"Wiesbaden","source":"MB 1200/59 20055","title":"Politikwissenschaftliche Forschung zum Bundesverfassungsgericht","author":[{"family":"Herrmann","given":"Dietrich"}],"editor":[{"family":"Schrenk","given":"Klemens H."},{"family":"Soldner","given":"Markus"}],"issued":{"date-parts":[["2010"]]}},"locator":"402","label":"page","prefix":"Hamilton 1788, zitiert nach:"}],"schema":"https://github.com/citation-style-language/schema/raw/master/csl-citation.json"} </w:instrText>
      </w:r>
      <w:r w:rsidR="008258B0">
        <w:rPr>
          <w:color w:val="000000" w:themeColor="text1"/>
        </w:rPr>
        <w:fldChar w:fldCharType="separate"/>
      </w:r>
      <w:r w:rsidR="00413D20">
        <w:rPr>
          <w:noProof/>
          <w:color w:val="000000" w:themeColor="text1"/>
        </w:rPr>
        <w:t>(Hamilton 1788, zitiert nach: Herrmann 2010, S. 402)</w:t>
      </w:r>
      <w:r w:rsidR="008258B0">
        <w:rPr>
          <w:color w:val="000000" w:themeColor="text1"/>
        </w:rPr>
        <w:fldChar w:fldCharType="end"/>
      </w:r>
      <w:r w:rsidR="008258B0">
        <w:rPr>
          <w:color w:val="000000" w:themeColor="text1"/>
        </w:rPr>
        <w:t xml:space="preserve">, kann dennoch als mächtig betrachtet werden, da seine Entscheidungen üblicherweise befolgt werden </w:t>
      </w:r>
      <w:r w:rsidR="008258B0">
        <w:rPr>
          <w:color w:val="000000" w:themeColor="text1"/>
        </w:rPr>
        <w:fldChar w:fldCharType="begin"/>
      </w:r>
      <w:r w:rsidR="008258B0">
        <w:rPr>
          <w:color w:val="000000" w:themeColor="text1"/>
        </w:rPr>
        <w:instrText xml:space="preserve"> ADDIN ZOTERO_ITEM CSL_CITATION {"citationID":"fnmggF3a","properties":{"formattedCitation":"(vgl. Herrmann 2010, S. 402)","plainCitation":"(vgl. Herrmann 2010, S. 402)","noteIndex":0},"citationItems":[{"id":540,"uris":["http://zotero.org/users/16460357/items/MIGM7WFV"],"itemData":{"id":540,"type":"chapter","container-title":"Analyse demokratischer Regierungssysteme","edition":"1. Aufl.","publisher":"VS Verlag für Sozialwissenschaften","publisher-place":"Wiesbaden","source":"MB 1200/59 20055","title":"Politikwissenschaftliche Forschung zum Bundesverfassungsgericht","author":[{"family":"Herrmann","given":"Dietrich"}],"editor":[{"family":"Schrenk","given":"Klemens H."},{"family":"Soldner","given":"Markus"}],"issued":{"date-parts":[["2010"]]}},"locator":"402","label":"page","prefix":"vgl."}],"schema":"https://github.com/citation-style-language/schema/raw/master/csl-citation.json"} </w:instrText>
      </w:r>
      <w:r w:rsidR="008258B0">
        <w:rPr>
          <w:color w:val="000000" w:themeColor="text1"/>
        </w:rPr>
        <w:fldChar w:fldCharType="separate"/>
      </w:r>
      <w:r w:rsidR="008258B0">
        <w:rPr>
          <w:noProof/>
          <w:color w:val="000000" w:themeColor="text1"/>
        </w:rPr>
        <w:t>(vgl. Herrmann 2010, S. 402)</w:t>
      </w:r>
      <w:r w:rsidR="008258B0">
        <w:rPr>
          <w:color w:val="000000" w:themeColor="text1"/>
        </w:rPr>
        <w:fldChar w:fldCharType="end"/>
      </w:r>
      <w:r w:rsidR="008258B0">
        <w:rPr>
          <w:color w:val="000000" w:themeColor="text1"/>
        </w:rPr>
        <w:t>.</w:t>
      </w:r>
      <w:r w:rsidR="0078582F">
        <w:rPr>
          <w:color w:val="000000" w:themeColor="text1"/>
        </w:rPr>
        <w:t xml:space="preserve"> </w:t>
      </w:r>
      <w:r w:rsidR="00DD3A2A">
        <w:rPr>
          <w:color w:val="000000" w:themeColor="text1"/>
        </w:rPr>
        <w:t xml:space="preserve">Die Macht des BVerfG kann also als Deutungsmacht beschrieben werden, die „als eine spezifische Form von Macht verstanden werden [kann], die sich auf symbolische und kommunikative Geltungsressourcen stützt und die sich in der Durchsetzung von Leitideen und Geltungsansprüchen manifestiert.“ </w:t>
      </w:r>
      <w:r w:rsidR="00DD3A2A">
        <w:rPr>
          <w:color w:val="000000" w:themeColor="text1"/>
        </w:rPr>
        <w:fldChar w:fldCharType="begin"/>
      </w:r>
      <w:r w:rsidR="00DD3A2A">
        <w:rPr>
          <w:color w:val="000000" w:themeColor="text1"/>
        </w:rPr>
        <w:instrText xml:space="preserve"> ADDIN ZOTERO_ITEM CSL_CITATION {"citationID":"cCpO5iAG","properties":{"formattedCitation":"(Vorl\\uc0\\u228{}nder 2006, S. 17)","plainCitation":"(Vorländer 2006, S. 17)","noteIndex":0},"citationItems":[{"id":557,"uris":["http://zotero.org/users/16460357/items/5J9AMRTX"],"itemData":{"id":557,"type":"book","edition":"1. Aufl.","publisher":"VS Verlag für Sozialwissenschaften","publisher-place":"Wiesbaden","title":"Die Deutungsmacht der Verfassungsgerichtsbarkeit","author":[{"family":"Vorländer","given":"Hans"}],"issued":{"date-parts":[["2006"]]}},"locator":"17","label":"page"}],"schema":"https://github.com/citation-style-language/schema/raw/master/csl-citation.json"} </w:instrText>
      </w:r>
      <w:r w:rsidR="00DD3A2A">
        <w:rPr>
          <w:color w:val="000000" w:themeColor="text1"/>
        </w:rPr>
        <w:fldChar w:fldCharType="separate"/>
      </w:r>
      <w:r w:rsidR="00DD3A2A" w:rsidRPr="00DD3A2A">
        <w:rPr>
          <w:rFonts w:cs="Times New Roman"/>
          <w:color w:val="000000"/>
          <w:kern w:val="0"/>
        </w:rPr>
        <w:t>(Vorländer 2006, S. 17)</w:t>
      </w:r>
      <w:r w:rsidR="00DD3A2A">
        <w:rPr>
          <w:color w:val="000000" w:themeColor="text1"/>
        </w:rPr>
        <w:fldChar w:fldCharType="end"/>
      </w:r>
      <w:r w:rsidR="00413D20">
        <w:rPr>
          <w:color w:val="000000" w:themeColor="text1"/>
        </w:rPr>
        <w:t xml:space="preserve"> Ausgeübt wird diese Macht dadurch, dass das </w:t>
      </w:r>
      <w:proofErr w:type="spellStart"/>
      <w:r w:rsidR="00413D20">
        <w:rPr>
          <w:color w:val="000000" w:themeColor="text1"/>
        </w:rPr>
        <w:t>BVferG</w:t>
      </w:r>
      <w:proofErr w:type="spellEnd"/>
      <w:r w:rsidR="00413D20">
        <w:rPr>
          <w:color w:val="000000" w:themeColor="text1"/>
        </w:rPr>
        <w:t xml:space="preserve"> das Handeln anderer Akteur</w:t>
      </w:r>
      <w:r w:rsidR="002729F2">
        <w:rPr>
          <w:color w:val="000000" w:themeColor="text1"/>
        </w:rPr>
        <w:t>*innen</w:t>
      </w:r>
      <w:r w:rsidR="00413D20">
        <w:rPr>
          <w:color w:val="000000" w:themeColor="text1"/>
        </w:rPr>
        <w:t xml:space="preserve"> oder Institutionen durch seine Entscheidungen verbindlich festlegt </w:t>
      </w:r>
      <w:r w:rsidR="00413D20">
        <w:rPr>
          <w:color w:val="000000" w:themeColor="text1"/>
        </w:rPr>
        <w:fldChar w:fldCharType="begin"/>
      </w:r>
      <w:r w:rsidR="00413D20">
        <w:rPr>
          <w:color w:val="000000" w:themeColor="text1"/>
        </w:rPr>
        <w:instrText xml:space="preserve"> ADDIN ZOTERO_ITEM CSL_CITATION {"citationID":"NCriqoBs","properties":{"formattedCitation":"(vgl. Brodocz 2009, S. 98)","plainCitation":"(vgl. Brodocz 2009, S. 98)","noteIndex":0},"citationItems":[{"id":521,"uris":["http://zotero.org/users/16460357/items/IZNVLY2H"],"itemData":{"id":521,"type":"chapter","container-title":"Die Macht der Judikative","publisher":"VS Verlag für Sozialwissenschaften","publisher-place":"Wiesbaden","title":"Die Macht der Judikative in der politischen Theorie der Gegenwart","author":[{"family":"Brodocz","given":"André"}],"editor":[{"family":"Brodocz","given":"André"}],"issued":{"date-parts":[["2009"]]}},"locator":"98","label":"page","prefix":"vgl."}],"schema":"https://github.com/citation-style-language/schema/raw/master/csl-citation.json"} </w:instrText>
      </w:r>
      <w:r w:rsidR="00413D20">
        <w:rPr>
          <w:color w:val="000000" w:themeColor="text1"/>
        </w:rPr>
        <w:fldChar w:fldCharType="separate"/>
      </w:r>
      <w:r w:rsidR="00413D20">
        <w:rPr>
          <w:noProof/>
          <w:color w:val="000000" w:themeColor="text1"/>
        </w:rPr>
        <w:t>(vgl. Brodocz 2009, S. 98)</w:t>
      </w:r>
      <w:r w:rsidR="00413D20">
        <w:rPr>
          <w:color w:val="000000" w:themeColor="text1"/>
        </w:rPr>
        <w:fldChar w:fldCharType="end"/>
      </w:r>
      <w:r w:rsidR="001E2CB4">
        <w:rPr>
          <w:color w:val="000000" w:themeColor="text1"/>
        </w:rPr>
        <w:t xml:space="preserve">, wodurch sie eine politische Dimension erhält, da das BVerfG durch sie politisch mindestens korrigierend, wenn nicht gar gestalterisch aktiv wird. </w:t>
      </w:r>
      <w:r w:rsidR="001E2CB4" w:rsidRPr="001E2CB4">
        <w:rPr>
          <w:color w:val="000000" w:themeColor="text1"/>
        </w:rPr>
        <w:t>Zwar bemüht sich das Bundesverfassungsgericht immer wieder, seine eigene Macht zu „verschleiern“</w:t>
      </w:r>
      <w:r w:rsidR="001E2CB4">
        <w:rPr>
          <w:color w:val="000000" w:themeColor="text1"/>
        </w:rPr>
        <w:t xml:space="preserve"> </w:t>
      </w:r>
      <w:r w:rsidR="001E2CB4">
        <w:rPr>
          <w:color w:val="000000" w:themeColor="text1"/>
        </w:rPr>
        <w:fldChar w:fldCharType="begin"/>
      </w:r>
      <w:r w:rsidR="001E2CB4">
        <w:rPr>
          <w:color w:val="000000" w:themeColor="text1"/>
        </w:rPr>
        <w:instrText xml:space="preserve"> ADDIN ZOTERO_ITEM CSL_CITATION {"citationID":"FZdKE2GK","properties":{"formattedCitation":"(Herrmann 2010, S. 402)","plainCitation":"(Herrmann 2010, S. 402)","noteIndex":0},"citationItems":[{"id":540,"uris":["http://zotero.org/users/16460357/items/MIGM7WFV"],"itemData":{"id":540,"type":"chapter","container-title":"Analyse demokratischer Regierungssysteme","edition":"1. Aufl.","publisher":"VS Verlag für Sozialwissenschaften","publisher-place":"Wiesbaden","source":"MB 1200/59 20055","title":"Politikwissenschaftliche Forschung zum Bundesverfassungsgericht","author":[{"family":"Herrmann","given":"Dietrich"}],"editor":[{"family":"Schrenk","given":"Klemens H."},{"family":"Soldner","given":"Markus"}],"issued":{"date-parts":[["2010"]]}},"locator":"402","label":"page"}],"schema":"https://github.com/citation-style-language/schema/raw/master/csl-citation.json"} </w:instrText>
      </w:r>
      <w:r w:rsidR="001E2CB4">
        <w:rPr>
          <w:color w:val="000000" w:themeColor="text1"/>
        </w:rPr>
        <w:fldChar w:fldCharType="separate"/>
      </w:r>
      <w:r w:rsidR="001E2CB4">
        <w:rPr>
          <w:noProof/>
          <w:color w:val="000000" w:themeColor="text1"/>
        </w:rPr>
        <w:t>(Herrmann 2010, S. 402)</w:t>
      </w:r>
      <w:r w:rsidR="001E2CB4">
        <w:rPr>
          <w:color w:val="000000" w:themeColor="text1"/>
        </w:rPr>
        <w:fldChar w:fldCharType="end"/>
      </w:r>
      <w:r w:rsidR="001E2CB4">
        <w:rPr>
          <w:color w:val="000000" w:themeColor="text1"/>
        </w:rPr>
        <w:t xml:space="preserve">, </w:t>
      </w:r>
      <w:r w:rsidR="001E2CB4" w:rsidRPr="001E2CB4">
        <w:rPr>
          <w:color w:val="000000" w:themeColor="text1"/>
        </w:rPr>
        <w:t>indem es diese lediglich als Ergebnis der ihm durch das Grundgesetz übertragenen Kompetenzen darstellt</w:t>
      </w:r>
      <w:r w:rsidR="001E2CB4">
        <w:rPr>
          <w:color w:val="000000" w:themeColor="text1"/>
        </w:rPr>
        <w:t>; in der Realität nimmt es allerdings immer häufiger konkreten Einfluss auf politische Debatten und die öffentliche Meinungsbildung</w:t>
      </w:r>
      <w:r w:rsidR="00A075F7">
        <w:rPr>
          <w:color w:val="000000" w:themeColor="text1"/>
        </w:rPr>
        <w:t xml:space="preserve">, was sich besonders bei normativen Grundsatzfragen zeigt. So </w:t>
      </w:r>
      <w:r w:rsidR="00956F70">
        <w:rPr>
          <w:color w:val="000000" w:themeColor="text1"/>
        </w:rPr>
        <w:t xml:space="preserve">widersprach </w:t>
      </w:r>
      <w:r w:rsidR="00A075F7">
        <w:rPr>
          <w:color w:val="000000" w:themeColor="text1"/>
        </w:rPr>
        <w:t>das BVerfG mit seiner Entscheidung zu Schwangerschaftsabbrüchen von 1993 (BVerfGE 88, 203)</w:t>
      </w:r>
      <w:r w:rsidR="00A075F7">
        <w:rPr>
          <w:rStyle w:val="Funotenzeichen"/>
          <w:color w:val="000000" w:themeColor="text1"/>
        </w:rPr>
        <w:footnoteReference w:id="4"/>
      </w:r>
      <w:r w:rsidR="00A075F7">
        <w:rPr>
          <w:color w:val="000000" w:themeColor="text1"/>
        </w:rPr>
        <w:t xml:space="preserve"> </w:t>
      </w:r>
      <w:r w:rsidR="00956F70">
        <w:rPr>
          <w:color w:val="000000" w:themeColor="text1"/>
        </w:rPr>
        <w:t xml:space="preserve">dem Gesetzgeber grundsätzlich und zeichnete damit </w:t>
      </w:r>
      <w:r w:rsidR="00A075F7">
        <w:rPr>
          <w:color w:val="000000" w:themeColor="text1"/>
        </w:rPr>
        <w:t xml:space="preserve">die Leitlinien für eine öffentliche Debatte, die auch 30 Jahre später </w:t>
      </w:r>
      <w:r w:rsidR="00956F70">
        <w:rPr>
          <w:color w:val="000000" w:themeColor="text1"/>
        </w:rPr>
        <w:t xml:space="preserve">durch die </w:t>
      </w:r>
      <w:r w:rsidR="00832BDC">
        <w:rPr>
          <w:color w:val="000000" w:themeColor="text1"/>
        </w:rPr>
        <w:t>Urteilsbegründung</w:t>
      </w:r>
      <w:r w:rsidR="00A075F7">
        <w:rPr>
          <w:color w:val="000000" w:themeColor="text1"/>
        </w:rPr>
        <w:t xml:space="preserve"> geprägt ist. </w:t>
      </w:r>
    </w:p>
    <w:p w14:paraId="1D4910AE" w14:textId="4EE33023" w:rsidR="009E35A5" w:rsidRDefault="007373B7" w:rsidP="003D4DE7">
      <w:pPr>
        <w:rPr>
          <w:color w:val="000000" w:themeColor="text1"/>
        </w:rPr>
      </w:pPr>
      <w:r w:rsidRPr="007373B7">
        <w:rPr>
          <w:color w:val="000000" w:themeColor="text1"/>
        </w:rPr>
        <w:lastRenderedPageBreak/>
        <w:t xml:space="preserve">Das BVerfG – ebenso wie andere Gerichte – entscheidet über politische Konflikte und kann diese teilweise final entscheiden. Zwar muss es sich dabei stets auf das Grundgesetz berufen, doch bleibt die Verfassungsauslegung eine Abwägungsfrage, die je nach Besetzung des Gerichts unterschiedlich ausfallen kann. Zudem hat sich das BVerfG in der Vergangenheit nicht auf die Entscheidung des jeweiligen Einzelfalls beschränkt, sondern durch weitergehende Aussagen aktiv gestaltend in politische Entscheidungsprozesse eingegriffen </w:t>
      </w:r>
      <w:r w:rsidR="00C521A5">
        <w:rPr>
          <w:color w:val="000000" w:themeColor="text1"/>
        </w:rPr>
        <w:fldChar w:fldCharType="begin"/>
      </w:r>
      <w:r w:rsidR="00C521A5">
        <w:rPr>
          <w:color w:val="000000" w:themeColor="text1"/>
        </w:rPr>
        <w:instrText xml:space="preserve"> ADDIN ZOTERO_ITEM CSL_CITATION {"citationID":"QOM1rWft","properties":{"formattedCitation":"(vgl. Herrmann 2010, S. 409f)","plainCitation":"(vgl. Herrmann 2010, S. 409f)","noteIndex":0},"citationItems":[{"id":540,"uris":["http://zotero.org/users/16460357/items/MIGM7WFV"],"itemData":{"id":540,"type":"chapter","container-title":"Analyse demokratischer Regierungssysteme","edition":"1. Aufl.","publisher":"VS Verlag für Sozialwissenschaften","publisher-place":"Wiesbaden","source":"MB 1200/59 20055","title":"Politikwissenschaftliche Forschung zum Bundesverfassungsgericht","author":[{"family":"Herrmann","given":"Dietrich"}],"editor":[{"family":"Schrenk","given":"Klemens H."},{"family":"Soldner","given":"Markus"}],"issued":{"date-parts":[["2010"]]}},"locator":"409f","label":"page","prefix":"vgl."}],"schema":"https://github.com/citation-style-language/schema/raw/master/csl-citation.json"} </w:instrText>
      </w:r>
      <w:r w:rsidR="00C521A5">
        <w:rPr>
          <w:color w:val="000000" w:themeColor="text1"/>
        </w:rPr>
        <w:fldChar w:fldCharType="separate"/>
      </w:r>
      <w:r w:rsidR="00C521A5">
        <w:rPr>
          <w:noProof/>
          <w:color w:val="000000" w:themeColor="text1"/>
        </w:rPr>
        <w:t>(vgl. Herrmann 2010, S. 409f)</w:t>
      </w:r>
      <w:r w:rsidR="00C521A5">
        <w:rPr>
          <w:color w:val="000000" w:themeColor="text1"/>
        </w:rPr>
        <w:fldChar w:fldCharType="end"/>
      </w:r>
      <w:r w:rsidR="00C521A5">
        <w:rPr>
          <w:color w:val="000000" w:themeColor="text1"/>
        </w:rPr>
        <w:t>.</w:t>
      </w:r>
      <w:r w:rsidR="009E35A5">
        <w:rPr>
          <w:color w:val="000000" w:themeColor="text1"/>
        </w:rPr>
        <w:t xml:space="preserve"> </w:t>
      </w:r>
      <w:r w:rsidR="009E35A5" w:rsidRPr="009E35A5">
        <w:rPr>
          <w:color w:val="000000" w:themeColor="text1"/>
        </w:rPr>
        <w:t xml:space="preserve">Aus </w:t>
      </w:r>
      <w:r w:rsidR="009E35A5">
        <w:rPr>
          <w:color w:val="000000" w:themeColor="text1"/>
        </w:rPr>
        <w:t xml:space="preserve">der daraus entstehenden </w:t>
      </w:r>
      <w:r w:rsidR="009E35A5" w:rsidRPr="009E35A5">
        <w:rPr>
          <w:color w:val="000000" w:themeColor="text1"/>
        </w:rPr>
        <w:t>Sorge vor einer möglichen Niederlage vor dem </w:t>
      </w:r>
      <w:r w:rsidR="009E35A5">
        <w:rPr>
          <w:color w:val="000000" w:themeColor="text1"/>
        </w:rPr>
        <w:t>BVerfG</w:t>
      </w:r>
      <w:r w:rsidR="009E35A5" w:rsidRPr="009E35A5">
        <w:rPr>
          <w:color w:val="000000" w:themeColor="text1"/>
        </w:rPr>
        <w:t> zeigt sich der Gesetzgeber in jüngerer Zeit bei politisch umstrittenen und verfassungsrechtlich sensiblen Detailfragen häufig vorsichtig und zurückhaltend.</w:t>
      </w:r>
      <w:r w:rsidR="009E35A5">
        <w:rPr>
          <w:color w:val="000000" w:themeColor="text1"/>
        </w:rPr>
        <w:t xml:space="preserve"> Statt sich der unangenehmen Aufgabe zu stellen, Entscheidungen zu treffen, lassen Gesetzgeber und Exekutive vermehrt solche Fragen vom BVerfG </w:t>
      </w:r>
      <w:r w:rsidR="00F16F52">
        <w:rPr>
          <w:color w:val="000000" w:themeColor="text1"/>
        </w:rPr>
        <w:t>klären</w:t>
      </w:r>
      <w:r w:rsidR="009E35A5">
        <w:rPr>
          <w:color w:val="000000" w:themeColor="text1"/>
        </w:rPr>
        <w:t xml:space="preserve">. Das führt jedoch immer mehr zu einem Verschwimmen der Grenzen zwischen Politik und Recht und in letzter Konsequenz zu einer Politisierung der Judikative – die das Ansehen des Gerichts durch vermeidbare Kritik beschädigen und dadurch seine Autorität gefährden könnte </w:t>
      </w:r>
      <w:r w:rsidR="00E65DBC">
        <w:rPr>
          <w:color w:val="000000" w:themeColor="text1"/>
        </w:rPr>
        <w:fldChar w:fldCharType="begin"/>
      </w:r>
      <w:r w:rsidR="00E65DBC">
        <w:rPr>
          <w:color w:val="000000" w:themeColor="text1"/>
        </w:rPr>
        <w:instrText xml:space="preserve"> ADDIN ZOTERO_ITEM CSL_CITATION {"citationID":"rBnGG2VC","properties":{"formattedCitation":"(vgl. Herrmann 2010, S. 410f)","plainCitation":"(vgl. Herrmann 2010, S. 410f)","noteIndex":0},"citationItems":[{"id":540,"uris":["http://zotero.org/users/16460357/items/MIGM7WFV"],"itemData":{"id":540,"type":"chapter","container-title":"Analyse demokratischer Regierungssysteme","edition":"1. Aufl.","publisher":"VS Verlag für Sozialwissenschaften","publisher-place":"Wiesbaden","source":"MB 1200/59 20055","title":"Politikwissenschaftliche Forschung zum Bundesverfassungsgericht","author":[{"family":"Herrmann","given":"Dietrich"}],"editor":[{"family":"Schrenk","given":"Klemens H."},{"family":"Soldner","given":"Markus"}],"issued":{"date-parts":[["2010"]]}},"locator":"410f","label":"page","prefix":"vgl."}],"schema":"https://github.com/citation-style-language/schema/raw/master/csl-citation.json"} </w:instrText>
      </w:r>
      <w:r w:rsidR="00E65DBC">
        <w:rPr>
          <w:color w:val="000000" w:themeColor="text1"/>
        </w:rPr>
        <w:fldChar w:fldCharType="separate"/>
      </w:r>
      <w:r w:rsidR="00E65DBC">
        <w:rPr>
          <w:noProof/>
          <w:color w:val="000000" w:themeColor="text1"/>
        </w:rPr>
        <w:t>(vgl. Herrmann 2010, S. 410f)</w:t>
      </w:r>
      <w:r w:rsidR="00E65DBC">
        <w:rPr>
          <w:color w:val="000000" w:themeColor="text1"/>
        </w:rPr>
        <w:fldChar w:fldCharType="end"/>
      </w:r>
      <w:r w:rsidR="00E65DBC">
        <w:rPr>
          <w:color w:val="000000" w:themeColor="text1"/>
        </w:rPr>
        <w:t>.</w:t>
      </w:r>
    </w:p>
    <w:p w14:paraId="3DAB1436" w14:textId="2C44A222" w:rsidR="009E35A5" w:rsidRDefault="009E35A5" w:rsidP="003D4DE7">
      <w:pPr>
        <w:rPr>
          <w:color w:val="000000" w:themeColor="text1"/>
        </w:rPr>
      </w:pPr>
      <w:r>
        <w:rPr>
          <w:color w:val="000000" w:themeColor="text1"/>
        </w:rPr>
        <w:t>Die zunehmende politische Bedeutung von Gerichten erklärt sich jedoch nicht allein aus der Unsicherheit des Gesetzgebers</w:t>
      </w:r>
      <w:r w:rsidR="00AD1FBB">
        <w:rPr>
          <w:color w:val="000000" w:themeColor="text1"/>
        </w:rPr>
        <w:t xml:space="preserve">, sondern wird auch durch die Verlagerung gesellschaftlicher Konflikte – häufig </w:t>
      </w:r>
      <w:proofErr w:type="gramStart"/>
      <w:r w:rsidR="00AD1FBB">
        <w:rPr>
          <w:color w:val="000000" w:themeColor="text1"/>
        </w:rPr>
        <w:t>durch zivilgesellschaftliche Akteur</w:t>
      </w:r>
      <w:proofErr w:type="gramEnd"/>
      <w:r w:rsidR="002729F2">
        <w:rPr>
          <w:color w:val="000000" w:themeColor="text1"/>
        </w:rPr>
        <w:t>*innen</w:t>
      </w:r>
      <w:r w:rsidR="00E65DBC">
        <w:rPr>
          <w:color w:val="000000" w:themeColor="text1"/>
        </w:rPr>
        <w:t xml:space="preserve"> –</w:t>
      </w:r>
      <w:r w:rsidR="00AD1FBB">
        <w:rPr>
          <w:color w:val="000000" w:themeColor="text1"/>
        </w:rPr>
        <w:t xml:space="preserve"> in gerichtliche Arenen bedingt.</w:t>
      </w:r>
    </w:p>
    <w:p w14:paraId="4281CF4E" w14:textId="67C940C8" w:rsidR="00D96693" w:rsidRDefault="00D96693" w:rsidP="00D96693">
      <w:pPr>
        <w:pStyle w:val="berschrift2"/>
      </w:pPr>
      <w:bookmarkStart w:id="3" w:name="_Toc232583913"/>
      <w:r>
        <w:t xml:space="preserve">Legal </w:t>
      </w:r>
      <w:proofErr w:type="spellStart"/>
      <w:r>
        <w:t>Mobilization</w:t>
      </w:r>
      <w:bookmarkEnd w:id="3"/>
      <w:proofErr w:type="spellEnd"/>
    </w:p>
    <w:p w14:paraId="69D09D77" w14:textId="6D1CC741" w:rsidR="00D80541" w:rsidRPr="00D80541" w:rsidRDefault="00D80541" w:rsidP="00D80541">
      <w:r w:rsidRPr="00D80541">
        <w:t xml:space="preserve">Die im </w:t>
      </w:r>
      <w:r w:rsidR="00A24E3D">
        <w:t>vorherigen</w:t>
      </w:r>
      <w:r w:rsidRPr="00D80541">
        <w:t xml:space="preserve"> Abschnitt beschriebene Verlagerung gesellschaftlicher Konflikte in gerichtliche Arenen ist kein zufälliges Phänomen, sondern folgt einer eigenen politischen Logik, die in der Forschung unter dem Begriff der </w:t>
      </w:r>
      <w:r w:rsidRPr="00D80541">
        <w:rPr>
          <w:i/>
          <w:iCs/>
        </w:rPr>
        <w:t xml:space="preserve">Legal </w:t>
      </w:r>
      <w:proofErr w:type="spellStart"/>
      <w:r w:rsidRPr="00D80541">
        <w:rPr>
          <w:i/>
          <w:iCs/>
        </w:rPr>
        <w:t>Mobilization</w:t>
      </w:r>
      <w:proofErr w:type="spellEnd"/>
      <w:r w:rsidRPr="00D80541">
        <w:t> </w:t>
      </w:r>
      <w:r w:rsidR="00A24E3D">
        <w:t>(zu deutsch: Rechtsmobilisierung)</w:t>
      </w:r>
      <w:r w:rsidRPr="00D80541">
        <w:t xml:space="preserve"> untersucht wird. Ausgangspunkt dieses Ansatzes ist eine grundlegende Neudefinition dessen, was Recht ist und wie es gesellschaftlich wirkt. Statt Recht lediglich als formales Regelwerk zu begreifen, das von staatlichen Institutionen gesetzt und durchgesetzt wird, begreift die Legal </w:t>
      </w:r>
      <w:proofErr w:type="spellStart"/>
      <w:r w:rsidRPr="00D80541">
        <w:t>Mobilization</w:t>
      </w:r>
      <w:proofErr w:type="spellEnd"/>
      <w:r w:rsidRPr="00D80541">
        <w:t xml:space="preserve"> Theory Recht als soziale Praxis. In diesem Sinne hält McCann fest, dass Recht als ein System kultureller und symbolischer Bedeutungen zu verstehen ist, das soziale Interaktionen nicht nur reguliert, sondern aktiv mitgestaltet – „</w:t>
      </w:r>
      <w:proofErr w:type="spellStart"/>
      <w:r w:rsidRPr="00D80541">
        <w:t>through</w:t>
      </w:r>
      <w:proofErr w:type="spellEnd"/>
      <w:r w:rsidRPr="00D80541">
        <w:t xml:space="preserve"> </w:t>
      </w:r>
      <w:proofErr w:type="spellStart"/>
      <w:r w:rsidRPr="00D80541">
        <w:t>communication</w:t>
      </w:r>
      <w:proofErr w:type="spellEnd"/>
      <w:r w:rsidRPr="00D80541">
        <w:t xml:space="preserve"> </w:t>
      </w:r>
      <w:proofErr w:type="spellStart"/>
      <w:r w:rsidRPr="00D80541">
        <w:t>of</w:t>
      </w:r>
      <w:proofErr w:type="spellEnd"/>
      <w:r w:rsidRPr="00D80541">
        <w:t xml:space="preserve"> </w:t>
      </w:r>
      <w:proofErr w:type="spellStart"/>
      <w:r w:rsidRPr="00D80541">
        <w:t>symbols</w:t>
      </w:r>
      <w:proofErr w:type="spellEnd"/>
      <w:r w:rsidRPr="00D80541">
        <w:t xml:space="preserve"> – </w:t>
      </w:r>
      <w:proofErr w:type="spellStart"/>
      <w:r w:rsidRPr="00D80541">
        <w:t>by</w:t>
      </w:r>
      <w:proofErr w:type="spellEnd"/>
      <w:r w:rsidRPr="00D80541">
        <w:t xml:space="preserve"> </w:t>
      </w:r>
      <w:proofErr w:type="spellStart"/>
      <w:r w:rsidRPr="00D80541">
        <w:t>providing</w:t>
      </w:r>
      <w:proofErr w:type="spellEnd"/>
      <w:r w:rsidRPr="00D80541">
        <w:t xml:space="preserve"> </w:t>
      </w:r>
      <w:proofErr w:type="spellStart"/>
      <w:r w:rsidRPr="00D80541">
        <w:t>threats</w:t>
      </w:r>
      <w:proofErr w:type="spellEnd"/>
      <w:r w:rsidRPr="00D80541">
        <w:t xml:space="preserve">, </w:t>
      </w:r>
      <w:proofErr w:type="spellStart"/>
      <w:r w:rsidRPr="00D80541">
        <w:t>promises</w:t>
      </w:r>
      <w:proofErr w:type="spellEnd"/>
      <w:r w:rsidRPr="00D80541">
        <w:t xml:space="preserve">, </w:t>
      </w:r>
      <w:proofErr w:type="spellStart"/>
      <w:r w:rsidRPr="00D80541">
        <w:t>models</w:t>
      </w:r>
      <w:proofErr w:type="spellEnd"/>
      <w:r w:rsidRPr="00D80541">
        <w:t xml:space="preserve">, </w:t>
      </w:r>
      <w:proofErr w:type="spellStart"/>
      <w:r w:rsidRPr="00D80541">
        <w:t>persuasion</w:t>
      </w:r>
      <w:proofErr w:type="spellEnd"/>
      <w:r w:rsidRPr="00D80541">
        <w:t xml:space="preserve">, </w:t>
      </w:r>
      <w:proofErr w:type="spellStart"/>
      <w:r w:rsidRPr="00D80541">
        <w:t>legitimacy</w:t>
      </w:r>
      <w:proofErr w:type="spellEnd"/>
      <w:r w:rsidRPr="00D80541">
        <w:t xml:space="preserve">, </w:t>
      </w:r>
      <w:proofErr w:type="spellStart"/>
      <w:r w:rsidRPr="00D80541">
        <w:t>stigma</w:t>
      </w:r>
      <w:proofErr w:type="spellEnd"/>
      <w:r w:rsidRPr="00D80541">
        <w:t>, and so on" (</w:t>
      </w:r>
      <w:r w:rsidR="00A24E3D">
        <w:t xml:space="preserve">Galanter 1983, zitiert nach: </w:t>
      </w:r>
      <w:r w:rsidRPr="00D80541">
        <w:t>McCann 1994, S. 6).</w:t>
      </w:r>
    </w:p>
    <w:p w14:paraId="0335C21D" w14:textId="31DAFF9F" w:rsidR="00D80541" w:rsidRPr="00D80541" w:rsidRDefault="00D80541" w:rsidP="00D80541">
      <w:r w:rsidRPr="00D80541">
        <w:lastRenderedPageBreak/>
        <w:t xml:space="preserve">Zentral für dieses Verständnis ist, dass Recht nicht allein in formalen Institutionen wie Gerichten wirkt, sondern auch und gerade außerhalb dieser. </w:t>
      </w:r>
      <w:r w:rsidRPr="00A24E3D">
        <w:t>Bürger</w:t>
      </w:r>
      <w:r w:rsidR="00A24E3D">
        <w:t>*</w:t>
      </w:r>
      <w:r w:rsidRPr="00A24E3D">
        <w:t>innen, Verbände und zivilgesellschaftliche Akteur</w:t>
      </w:r>
      <w:r w:rsidR="00A24E3D">
        <w:t>*</w:t>
      </w:r>
      <w:r w:rsidRPr="00A24E3D">
        <w:t>i</w:t>
      </w:r>
      <w:r w:rsidRPr="00D80541">
        <w:t>nnen übersetzen alltägliche Erfahrungen von Ungerechtigkeit in rechtliche Ansprüche – sie </w:t>
      </w:r>
      <w:r w:rsidRPr="00A24E3D">
        <w:t>mobilisieren</w:t>
      </w:r>
      <w:r w:rsidRPr="00D80541">
        <w:t xml:space="preserve"> das Recht. Dieser Vorgang setzt voraus, dass </w:t>
      </w:r>
      <w:r w:rsidRPr="00A24E3D">
        <w:t>Akteur</w:t>
      </w:r>
      <w:r w:rsidR="00A24E3D">
        <w:t>*</w:t>
      </w:r>
      <w:r w:rsidRPr="00A24E3D">
        <w:t xml:space="preserve">innen ihre Situation überhaupt erst in rechtlichen Kategorien wahrnehmen und deuten. McCann nennt diesen Prozess legal </w:t>
      </w:r>
      <w:proofErr w:type="spellStart"/>
      <w:r w:rsidRPr="00A24E3D">
        <w:t>consciousness</w:t>
      </w:r>
      <w:proofErr w:type="spellEnd"/>
      <w:r w:rsidRPr="00A24E3D">
        <w:t>, also Rechtsbewusstsein: den „</w:t>
      </w:r>
      <w:proofErr w:type="spellStart"/>
      <w:r w:rsidRPr="00A24E3D">
        <w:t>ongoing</w:t>
      </w:r>
      <w:proofErr w:type="spellEnd"/>
      <w:r w:rsidRPr="00A24E3D">
        <w:t xml:space="preserve">, </w:t>
      </w:r>
      <w:proofErr w:type="spellStart"/>
      <w:r w:rsidRPr="00A24E3D">
        <w:t>dynamic</w:t>
      </w:r>
      <w:proofErr w:type="spellEnd"/>
      <w:r w:rsidRPr="00A24E3D">
        <w:t xml:space="preserve"> </w:t>
      </w:r>
      <w:proofErr w:type="spellStart"/>
      <w:r w:rsidRPr="00A24E3D">
        <w:t>process</w:t>
      </w:r>
      <w:proofErr w:type="spellEnd"/>
      <w:r w:rsidRPr="00A24E3D">
        <w:t xml:space="preserve"> </w:t>
      </w:r>
      <w:proofErr w:type="spellStart"/>
      <w:r w:rsidRPr="00A24E3D">
        <w:t>of</w:t>
      </w:r>
      <w:proofErr w:type="spellEnd"/>
      <w:r w:rsidRPr="00A24E3D">
        <w:t xml:space="preserve"> </w:t>
      </w:r>
      <w:proofErr w:type="spellStart"/>
      <w:r w:rsidRPr="00A24E3D">
        <w:t>constructing</w:t>
      </w:r>
      <w:proofErr w:type="spellEnd"/>
      <w:r w:rsidRPr="00A24E3D">
        <w:t xml:space="preserve"> </w:t>
      </w:r>
      <w:proofErr w:type="spellStart"/>
      <w:r w:rsidRPr="00A24E3D">
        <w:t>one's</w:t>
      </w:r>
      <w:proofErr w:type="spellEnd"/>
      <w:r w:rsidRPr="00A24E3D">
        <w:t xml:space="preserve"> </w:t>
      </w:r>
      <w:proofErr w:type="spellStart"/>
      <w:r w:rsidRPr="00A24E3D">
        <w:t>understanding</w:t>
      </w:r>
      <w:proofErr w:type="spellEnd"/>
      <w:r w:rsidRPr="00A24E3D">
        <w:t xml:space="preserve"> </w:t>
      </w:r>
      <w:proofErr w:type="spellStart"/>
      <w:r w:rsidRPr="00A24E3D">
        <w:t>of</w:t>
      </w:r>
      <w:proofErr w:type="spellEnd"/>
      <w:r w:rsidRPr="00A24E3D">
        <w:t xml:space="preserve">, and </w:t>
      </w:r>
      <w:proofErr w:type="spellStart"/>
      <w:r w:rsidRPr="00A24E3D">
        <w:t>relationship</w:t>
      </w:r>
      <w:proofErr w:type="spellEnd"/>
      <w:r w:rsidRPr="00A24E3D">
        <w:t xml:space="preserve"> </w:t>
      </w:r>
      <w:proofErr w:type="spellStart"/>
      <w:r w:rsidRPr="00A24E3D">
        <w:t>to</w:t>
      </w:r>
      <w:proofErr w:type="spellEnd"/>
      <w:r w:rsidRPr="00A24E3D">
        <w:t xml:space="preserve">, </w:t>
      </w:r>
      <w:proofErr w:type="spellStart"/>
      <w:r w:rsidRPr="00A24E3D">
        <w:t>the</w:t>
      </w:r>
      <w:proofErr w:type="spellEnd"/>
      <w:r w:rsidRPr="00A24E3D">
        <w:t xml:space="preserve"> social </w:t>
      </w:r>
      <w:proofErr w:type="spellStart"/>
      <w:r w:rsidRPr="00A24E3D">
        <w:t>world</w:t>
      </w:r>
      <w:proofErr w:type="spellEnd"/>
      <w:r w:rsidRPr="00A24E3D">
        <w:t xml:space="preserve"> </w:t>
      </w:r>
      <w:proofErr w:type="spellStart"/>
      <w:r w:rsidRPr="00A24E3D">
        <w:t>through</w:t>
      </w:r>
      <w:proofErr w:type="spellEnd"/>
      <w:r w:rsidRPr="00A24E3D">
        <w:t xml:space="preserve"> </w:t>
      </w:r>
      <w:proofErr w:type="spellStart"/>
      <w:r w:rsidRPr="00A24E3D">
        <w:t>use</w:t>
      </w:r>
      <w:proofErr w:type="spellEnd"/>
      <w:r w:rsidRPr="00A24E3D">
        <w:t xml:space="preserve"> </w:t>
      </w:r>
      <w:proofErr w:type="spellStart"/>
      <w:r w:rsidRPr="00A24E3D">
        <w:t>of</w:t>
      </w:r>
      <w:proofErr w:type="spellEnd"/>
      <w:r w:rsidRPr="00A24E3D">
        <w:t xml:space="preserve"> legal </w:t>
      </w:r>
      <w:proofErr w:type="spellStart"/>
      <w:r w:rsidRPr="00A24E3D">
        <w:t>conventions</w:t>
      </w:r>
      <w:proofErr w:type="spellEnd"/>
      <w:r w:rsidRPr="00A24E3D">
        <w:t xml:space="preserve"> and </w:t>
      </w:r>
      <w:proofErr w:type="spellStart"/>
      <w:r w:rsidRPr="00A24E3D">
        <w:t>discourses</w:t>
      </w:r>
      <w:proofErr w:type="spellEnd"/>
      <w:r w:rsidRPr="00A24E3D">
        <w:t>" (McCann 1994, S. 7). Im Kontext des Klimaschutzes bedeutet dies konkret: Erst wenn Akteur</w:t>
      </w:r>
      <w:r w:rsidR="00A24E3D">
        <w:t>*</w:t>
      </w:r>
      <w:r w:rsidRPr="00A24E3D">
        <w:t>innen</w:t>
      </w:r>
      <w:r w:rsidRPr="00D80541">
        <w:t xml:space="preserve"> staatliche Untätigkeit im Bereich Klimapolitik nicht mehr als bloß politisches Versagen, sondern als Verletzung einklagbarer Rechte – etwa der Freiheitsrechte zukünftiger Generationen – begreifen, wird die Klage als Strategie denkbar. Rechtsbewusstsein ist damit eine wesentliche Voraussetzung für die Entstehung von Klimaklagen als politisches Instrument.</w:t>
      </w:r>
    </w:p>
    <w:p w14:paraId="40648AE2" w14:textId="398D394C" w:rsidR="00D80541" w:rsidRPr="00D80541" w:rsidRDefault="00D80541" w:rsidP="00D80541">
      <w:r w:rsidRPr="00D80541">
        <w:t xml:space="preserve">Dabei betont McCann, dass das Recht in seiner Wirkung weder eindeutig emanzipatorisch noch rein herrschaftsstabilisierend ist. Rechtliche Konventionen bieten zivilgesellschaftlichen Akteur*innen zwar strategische Ressourcen, sind aber zugleich mit Grenzen und Beschränkungen verbunden: „Legal </w:t>
      </w:r>
      <w:proofErr w:type="spellStart"/>
      <w:r w:rsidRPr="00D80541">
        <w:t>cultures</w:t>
      </w:r>
      <w:proofErr w:type="spellEnd"/>
      <w:r w:rsidRPr="00D80541">
        <w:t xml:space="preserve"> </w:t>
      </w:r>
      <w:proofErr w:type="spellStart"/>
      <w:r w:rsidRPr="00D80541">
        <w:t>provide</w:t>
      </w:r>
      <w:proofErr w:type="spellEnd"/>
      <w:r w:rsidRPr="00D80541">
        <w:t xml:space="preserve"> </w:t>
      </w:r>
      <w:proofErr w:type="spellStart"/>
      <w:r w:rsidRPr="00D80541">
        <w:t>symbols</w:t>
      </w:r>
      <w:proofErr w:type="spellEnd"/>
      <w:r w:rsidRPr="00D80541">
        <w:t xml:space="preserve"> and </w:t>
      </w:r>
      <w:proofErr w:type="spellStart"/>
      <w:r w:rsidRPr="00D80541">
        <w:t>ideas</w:t>
      </w:r>
      <w:proofErr w:type="spellEnd"/>
      <w:r w:rsidRPr="00D80541">
        <w:t xml:space="preserve"> </w:t>
      </w:r>
      <w:proofErr w:type="spellStart"/>
      <w:r w:rsidRPr="00D80541">
        <w:t>which</w:t>
      </w:r>
      <w:proofErr w:type="spellEnd"/>
      <w:r w:rsidRPr="00D80541">
        <w:t xml:space="preserve"> </w:t>
      </w:r>
      <w:proofErr w:type="spellStart"/>
      <w:r w:rsidRPr="00D80541">
        <w:t>can</w:t>
      </w:r>
      <w:proofErr w:type="spellEnd"/>
      <w:r w:rsidRPr="00D80541">
        <w:t xml:space="preserve"> </w:t>
      </w:r>
      <w:proofErr w:type="spellStart"/>
      <w:r w:rsidRPr="00D80541">
        <w:t>be</w:t>
      </w:r>
      <w:proofErr w:type="spellEnd"/>
      <w:r w:rsidRPr="00D80541">
        <w:t xml:space="preserve"> </w:t>
      </w:r>
      <w:proofErr w:type="spellStart"/>
      <w:r w:rsidRPr="00D80541">
        <w:t>manipulated</w:t>
      </w:r>
      <w:proofErr w:type="spellEnd"/>
      <w:r w:rsidRPr="00D80541">
        <w:t xml:space="preserve"> </w:t>
      </w:r>
      <w:proofErr w:type="spellStart"/>
      <w:r w:rsidRPr="00D80541">
        <w:t>by</w:t>
      </w:r>
      <w:proofErr w:type="spellEnd"/>
      <w:r w:rsidRPr="00D80541">
        <w:t xml:space="preserve"> </w:t>
      </w:r>
      <w:proofErr w:type="spellStart"/>
      <w:r w:rsidRPr="00D80541">
        <w:t>their</w:t>
      </w:r>
      <w:proofErr w:type="spellEnd"/>
      <w:r w:rsidRPr="00D80541">
        <w:t xml:space="preserve"> </w:t>
      </w:r>
      <w:proofErr w:type="spellStart"/>
      <w:r w:rsidRPr="00D80541">
        <w:t>members</w:t>
      </w:r>
      <w:proofErr w:type="spellEnd"/>
      <w:r w:rsidRPr="00D80541">
        <w:t xml:space="preserve"> </w:t>
      </w:r>
      <w:proofErr w:type="spellStart"/>
      <w:r w:rsidRPr="00D80541">
        <w:t>for</w:t>
      </w:r>
      <w:proofErr w:type="spellEnd"/>
      <w:r w:rsidRPr="00D80541">
        <w:t xml:space="preserve"> </w:t>
      </w:r>
      <w:proofErr w:type="spellStart"/>
      <w:r w:rsidRPr="00D80541">
        <w:t>strategic</w:t>
      </w:r>
      <w:proofErr w:type="spellEnd"/>
      <w:r w:rsidRPr="00D80541">
        <w:t xml:space="preserve"> </w:t>
      </w:r>
      <w:proofErr w:type="spellStart"/>
      <w:r w:rsidRPr="00D80541">
        <w:t>goals</w:t>
      </w:r>
      <w:proofErr w:type="spellEnd"/>
      <w:r w:rsidRPr="00D80541">
        <w:t xml:space="preserve">, but </w:t>
      </w:r>
      <w:proofErr w:type="spellStart"/>
      <w:r w:rsidRPr="00D80541">
        <w:t>they</w:t>
      </w:r>
      <w:proofErr w:type="spellEnd"/>
      <w:r w:rsidRPr="00D80541">
        <w:t xml:space="preserve"> also </w:t>
      </w:r>
      <w:proofErr w:type="spellStart"/>
      <w:r w:rsidRPr="00D80541">
        <w:t>establish</w:t>
      </w:r>
      <w:proofErr w:type="spellEnd"/>
      <w:r w:rsidRPr="00D80541">
        <w:t xml:space="preserve"> </w:t>
      </w:r>
      <w:proofErr w:type="spellStart"/>
      <w:r w:rsidRPr="00D80541">
        <w:t>constraints</w:t>
      </w:r>
      <w:proofErr w:type="spellEnd"/>
      <w:r w:rsidRPr="00D80541">
        <w:t xml:space="preserve"> on </w:t>
      </w:r>
      <w:proofErr w:type="spellStart"/>
      <w:r w:rsidRPr="00D80541">
        <w:t>that</w:t>
      </w:r>
      <w:proofErr w:type="spellEnd"/>
      <w:r w:rsidRPr="00D80541">
        <w:t xml:space="preserve"> </w:t>
      </w:r>
      <w:proofErr w:type="spellStart"/>
      <w:r w:rsidRPr="00D80541">
        <w:t>manipulation</w:t>
      </w:r>
      <w:proofErr w:type="spellEnd"/>
      <w:r w:rsidRPr="00D80541">
        <w:t>." (Merry 1985, zitiert nach: McCann 1994, S. 7) Das Recht ist also ein umkämpftes Terrain, auf dem Auseinandersetzungen um gesellschaftliche Machtverhältnisse ausgetragen werden – mit offenem Ausgang.</w:t>
      </w:r>
    </w:p>
    <w:p w14:paraId="6C30CA5B" w14:textId="13571BA5" w:rsidR="00D80541" w:rsidRPr="00D80541" w:rsidRDefault="00D80541" w:rsidP="00D80541">
      <w:r w:rsidRPr="00D80541">
        <w:t>Für die Analyse rechtlicher Mobilisierung als politische Strategie unterscheidet McCann zwischen </w:t>
      </w:r>
      <w:r w:rsidRPr="00AC407A">
        <w:t>direkten und </w:t>
      </w:r>
      <w:r w:rsidR="00AC407A" w:rsidRPr="00AC407A">
        <w:t>indirekten Effekten</w:t>
      </w:r>
      <w:r w:rsidRPr="00D80541">
        <w:t xml:space="preserve"> gerichtlicher Auseinandersetzungen. Direkte Effekte – also der unmittelbare rechtliche Erfolg einer Klage und seine Durchsetzung – fallen in der Praxis häufig enttäuschend gering aus, da Gerichte weder über die nötigen institutionellen Kapazitäten noch stets über den politischen Willen verfügen, umfassenden sozialen Wandel durchzusetzen (vgl. McCann 1994, S. 10). Weitaus bedeutsamer sind hingegen die indirekten Effekte: So können rechtliche Auseinandersetzungen gesellschaftliche Missstände öffentlich sichtbar machen, das Bewusstsein potenzieller </w:t>
      </w:r>
      <w:r w:rsidRPr="00AC407A">
        <w:t>Unterstützer</w:t>
      </w:r>
      <w:r w:rsidR="00AC407A" w:rsidRPr="00AC407A">
        <w:t>*</w:t>
      </w:r>
      <w:r w:rsidRPr="00AC407A">
        <w:t>innen schärfen, kollektive Identitäten stärken und nicht zuletzt Verhandlungsmacht gegenüber staatlichen wie privaten Akteur</w:t>
      </w:r>
      <w:r w:rsidR="00AC407A" w:rsidRPr="00AC407A">
        <w:t>*</w:t>
      </w:r>
      <w:r w:rsidRPr="00AC407A">
        <w:t>innen</w:t>
      </w:r>
      <w:r w:rsidRPr="00D80541">
        <w:t xml:space="preserve"> erzeugen. Diese Unterscheidung ist für die Analyse von Klimaklagen von besonderer Relevanz: Auch dort, wo eine Klage – wie</w:t>
      </w:r>
      <w:r w:rsidR="00984C9C">
        <w:t xml:space="preserve"> etwa</w:t>
      </w:r>
      <w:r w:rsidRPr="00D80541">
        <w:t xml:space="preserve"> im Fall </w:t>
      </w:r>
      <w:proofErr w:type="spellStart"/>
      <w:r w:rsidRPr="00D80541">
        <w:rPr>
          <w:i/>
          <w:iCs/>
        </w:rPr>
        <w:t>Milieudefensie</w:t>
      </w:r>
      <w:proofErr w:type="spellEnd"/>
      <w:r w:rsidRPr="00D80541">
        <w:rPr>
          <w:i/>
          <w:iCs/>
        </w:rPr>
        <w:t xml:space="preserve"> v. Shell</w:t>
      </w:r>
      <w:r w:rsidRPr="00D80541">
        <w:t xml:space="preserve"> – in </w:t>
      </w:r>
      <w:r w:rsidRPr="00D80541">
        <w:lastRenderedPageBreak/>
        <w:t>zweiter Instanz scheitert, können ihre indirekten Effekte erheblich sein, indem sie öffentliche Debatten anregen, politischen Druck erzeugen und die Deutungshoheit über staatliche Klimapflichten verschieben (vgl. McCann 1994, S. 10f.).</w:t>
      </w:r>
    </w:p>
    <w:p w14:paraId="26CFF621" w14:textId="57DB3334" w:rsidR="00D80541" w:rsidRPr="00D80541" w:rsidRDefault="00D80541" w:rsidP="00D80541">
      <w:r w:rsidRPr="00D80541">
        <w:t xml:space="preserve">Während McCann die kulturellen und bewusstseinsbildenden Dimensionen rechtlicher Mobilisierung in den Vordergrund stellt, richtet Charles </w:t>
      </w:r>
      <w:r w:rsidR="00984C9C">
        <w:t xml:space="preserve">R. </w:t>
      </w:r>
      <w:r w:rsidRPr="00D80541">
        <w:t>Epp den Blick stärker auf deren materielle Voraussetzungen. In seiner vergleichenden Untersuchung von Rechtsentwicklungen in den USA, Kanada, Indien und Großbritannien zeigt Epp, dass nachhaltige gerichtliche Aufmerksamkeit für Individualrechte nicht primär aus verfassungsrechtlichen Garantien, richterlichem Aktivismus oder einer verbreiteten Rechtskultur erwächst, sondern vor allem aus dem, was er als </w:t>
      </w:r>
      <w:r w:rsidR="00E27BF8">
        <w:t>‚</w:t>
      </w:r>
      <w:r w:rsidRPr="00E27BF8">
        <w:t xml:space="preserve">support </w:t>
      </w:r>
      <w:proofErr w:type="spellStart"/>
      <w:r w:rsidRPr="00E27BF8">
        <w:t>structure</w:t>
      </w:r>
      <w:proofErr w:type="spellEnd"/>
      <w:r w:rsidRPr="00E27BF8">
        <w:t xml:space="preserve"> </w:t>
      </w:r>
      <w:proofErr w:type="spellStart"/>
      <w:r w:rsidRPr="00E27BF8">
        <w:t>for</w:t>
      </w:r>
      <w:proofErr w:type="spellEnd"/>
      <w:r w:rsidRPr="00E27BF8">
        <w:t xml:space="preserve"> legal </w:t>
      </w:r>
      <w:proofErr w:type="spellStart"/>
      <w:r w:rsidRPr="00E27BF8">
        <w:t>mobilization</w:t>
      </w:r>
      <w:proofErr w:type="spellEnd"/>
      <w:r w:rsidR="00E27BF8" w:rsidRPr="00E27BF8">
        <w:t>‘</w:t>
      </w:r>
      <w:r w:rsidR="00B0505F">
        <w:rPr>
          <w:i/>
          <w:iCs/>
        </w:rPr>
        <w:t xml:space="preserve"> </w:t>
      </w:r>
      <w:r w:rsidRPr="00D80541">
        <w:t xml:space="preserve">bezeichnet: „a support </w:t>
      </w:r>
      <w:proofErr w:type="spellStart"/>
      <w:r w:rsidRPr="00D80541">
        <w:t>structure</w:t>
      </w:r>
      <w:proofErr w:type="spellEnd"/>
      <w:r w:rsidRPr="00D80541">
        <w:t xml:space="preserve"> </w:t>
      </w:r>
      <w:proofErr w:type="spellStart"/>
      <w:r w:rsidRPr="00D80541">
        <w:t>consisting</w:t>
      </w:r>
      <w:proofErr w:type="spellEnd"/>
      <w:r w:rsidRPr="00D80541">
        <w:t xml:space="preserve"> </w:t>
      </w:r>
      <w:proofErr w:type="spellStart"/>
      <w:r w:rsidRPr="00D80541">
        <w:t>of</w:t>
      </w:r>
      <w:proofErr w:type="spellEnd"/>
      <w:r w:rsidRPr="00D80541">
        <w:t xml:space="preserve"> </w:t>
      </w:r>
      <w:proofErr w:type="spellStart"/>
      <w:r w:rsidRPr="00D80541">
        <w:t>rights-advocacy</w:t>
      </w:r>
      <w:proofErr w:type="spellEnd"/>
      <w:r w:rsidRPr="00D80541">
        <w:t xml:space="preserve"> </w:t>
      </w:r>
      <w:proofErr w:type="spellStart"/>
      <w:r w:rsidRPr="00D80541">
        <w:t>organizations</w:t>
      </w:r>
      <w:proofErr w:type="spellEnd"/>
      <w:r w:rsidRPr="00D80541">
        <w:t xml:space="preserve">, </w:t>
      </w:r>
      <w:proofErr w:type="spellStart"/>
      <w:r w:rsidRPr="00D80541">
        <w:t>rights-advocacy</w:t>
      </w:r>
      <w:proofErr w:type="spellEnd"/>
      <w:r w:rsidRPr="00D80541">
        <w:t xml:space="preserve"> </w:t>
      </w:r>
      <w:proofErr w:type="spellStart"/>
      <w:r w:rsidRPr="00D80541">
        <w:t>lawyers</w:t>
      </w:r>
      <w:proofErr w:type="spellEnd"/>
      <w:r w:rsidRPr="00D80541">
        <w:t xml:space="preserve">, and </w:t>
      </w:r>
      <w:proofErr w:type="spellStart"/>
      <w:r w:rsidRPr="00D80541">
        <w:t>sources</w:t>
      </w:r>
      <w:proofErr w:type="spellEnd"/>
      <w:r w:rsidRPr="00D80541">
        <w:t xml:space="preserve"> </w:t>
      </w:r>
      <w:proofErr w:type="spellStart"/>
      <w:r w:rsidRPr="00D80541">
        <w:t>of</w:t>
      </w:r>
      <w:proofErr w:type="spellEnd"/>
      <w:r w:rsidRPr="00D80541">
        <w:t xml:space="preserve"> </w:t>
      </w:r>
      <w:proofErr w:type="spellStart"/>
      <w:r w:rsidRPr="00D80541">
        <w:t>financing</w:t>
      </w:r>
      <w:proofErr w:type="spellEnd"/>
      <w:r w:rsidRPr="00D80541">
        <w:t xml:space="preserve">, </w:t>
      </w:r>
      <w:proofErr w:type="spellStart"/>
      <w:r w:rsidRPr="00D80541">
        <w:t>particularly</w:t>
      </w:r>
      <w:proofErr w:type="spellEnd"/>
      <w:r w:rsidRPr="00D80541">
        <w:t xml:space="preserve"> </w:t>
      </w:r>
      <w:proofErr w:type="spellStart"/>
      <w:r w:rsidRPr="00D80541">
        <w:t>government-supported</w:t>
      </w:r>
      <w:proofErr w:type="spellEnd"/>
      <w:r w:rsidRPr="00D80541">
        <w:t xml:space="preserve"> </w:t>
      </w:r>
      <w:proofErr w:type="spellStart"/>
      <w:r w:rsidRPr="00D80541">
        <w:t>financing</w:t>
      </w:r>
      <w:proofErr w:type="spellEnd"/>
      <w:r w:rsidRPr="00D80541">
        <w:t>" (Epp 2008, S. 3). Ohne eine solche Unterstützungsstruktur, so Epps zentrale These, bleiben selbst die stärksten Verfassungsversprechen leeres Papier – „</w:t>
      </w:r>
      <w:proofErr w:type="spellStart"/>
      <w:r w:rsidRPr="00D80541">
        <w:t>even</w:t>
      </w:r>
      <w:proofErr w:type="spellEnd"/>
      <w:r w:rsidRPr="00D80541">
        <w:t xml:space="preserve"> </w:t>
      </w:r>
      <w:proofErr w:type="spellStart"/>
      <w:r w:rsidRPr="00D80541">
        <w:t>the</w:t>
      </w:r>
      <w:proofErr w:type="spellEnd"/>
      <w:r w:rsidRPr="00D80541">
        <w:t xml:space="preserve"> </w:t>
      </w:r>
      <w:proofErr w:type="spellStart"/>
      <w:r w:rsidRPr="00D80541">
        <w:t>clearest</w:t>
      </w:r>
      <w:proofErr w:type="spellEnd"/>
      <w:r w:rsidRPr="00D80541">
        <w:t xml:space="preserve"> </w:t>
      </w:r>
      <w:proofErr w:type="spellStart"/>
      <w:r w:rsidRPr="00D80541">
        <w:t>constitutional</w:t>
      </w:r>
      <w:proofErr w:type="spellEnd"/>
      <w:r w:rsidRPr="00D80541">
        <w:t xml:space="preserve"> </w:t>
      </w:r>
      <w:proofErr w:type="spellStart"/>
      <w:r w:rsidRPr="00D80541">
        <w:t>rights</w:t>
      </w:r>
      <w:proofErr w:type="spellEnd"/>
      <w:r w:rsidRPr="00D80541">
        <w:t xml:space="preserve"> </w:t>
      </w:r>
      <w:proofErr w:type="spellStart"/>
      <w:r w:rsidRPr="00D80541">
        <w:t>guarantees</w:t>
      </w:r>
      <w:proofErr w:type="spellEnd"/>
      <w:r w:rsidRPr="00D80541">
        <w:t xml:space="preserve"> </w:t>
      </w:r>
      <w:proofErr w:type="spellStart"/>
      <w:r w:rsidRPr="00D80541">
        <w:t>are</w:t>
      </w:r>
      <w:proofErr w:type="spellEnd"/>
      <w:r w:rsidRPr="00D80541">
        <w:t xml:space="preserve"> </w:t>
      </w:r>
      <w:proofErr w:type="spellStart"/>
      <w:r w:rsidRPr="00D80541">
        <w:t>likely</w:t>
      </w:r>
      <w:proofErr w:type="spellEnd"/>
      <w:r w:rsidRPr="00D80541">
        <w:t xml:space="preserve"> </w:t>
      </w:r>
      <w:proofErr w:type="spellStart"/>
      <w:r w:rsidRPr="00D80541">
        <w:t>to</w:t>
      </w:r>
      <w:proofErr w:type="spellEnd"/>
      <w:r w:rsidRPr="00D80541">
        <w:t xml:space="preserve"> </w:t>
      </w:r>
      <w:proofErr w:type="spellStart"/>
      <w:r w:rsidRPr="00D80541">
        <w:t>become</w:t>
      </w:r>
      <w:proofErr w:type="spellEnd"/>
      <w:r w:rsidRPr="00D80541">
        <w:t xml:space="preserve"> </w:t>
      </w:r>
      <w:proofErr w:type="spellStart"/>
      <w:r w:rsidRPr="00D80541">
        <w:t>meaningless</w:t>
      </w:r>
      <w:proofErr w:type="spellEnd"/>
      <w:r w:rsidRPr="00D80541">
        <w:t xml:space="preserve"> in </w:t>
      </w:r>
      <w:proofErr w:type="spellStart"/>
      <w:r w:rsidRPr="00D80541">
        <w:t>the</w:t>
      </w:r>
      <w:proofErr w:type="spellEnd"/>
      <w:r w:rsidRPr="00D80541">
        <w:t xml:space="preserve"> </w:t>
      </w:r>
      <w:proofErr w:type="spellStart"/>
      <w:r w:rsidRPr="00D80541">
        <w:t>courts</w:t>
      </w:r>
      <w:proofErr w:type="spellEnd"/>
      <w:r w:rsidRPr="00D80541">
        <w:t>" (Epp 2008, S. 205).</w:t>
      </w:r>
    </w:p>
    <w:p w14:paraId="13220737" w14:textId="3A0B8D25" w:rsidR="00D80541" w:rsidRPr="00D80541" w:rsidRDefault="00D80541" w:rsidP="00D80541">
      <w:r w:rsidRPr="00D80541">
        <w:t xml:space="preserve">Die Notwendigkeit einer solchen Struktur ergibt sich aus der spezifischen Logik des Klageprozesses: Gerichtsverfahren sind kostspielig, langwierig und rechtlich komplex. Einzelne </w:t>
      </w:r>
      <w:r w:rsidRPr="00E27BF8">
        <w:t>Bürger</w:t>
      </w:r>
      <w:r w:rsidR="00E27BF8" w:rsidRPr="00E27BF8">
        <w:t>*</w:t>
      </w:r>
      <w:r w:rsidRPr="00E27BF8">
        <w:t>innen als sogenannte </w:t>
      </w:r>
      <w:r w:rsidR="00E27BF8">
        <w:t>‚</w:t>
      </w:r>
      <w:proofErr w:type="spellStart"/>
      <w:r w:rsidRPr="00E27BF8">
        <w:t>one-shotters</w:t>
      </w:r>
      <w:proofErr w:type="spellEnd"/>
      <w:r w:rsidR="00E27BF8">
        <w:t>‘</w:t>
      </w:r>
      <w:r w:rsidRPr="00E27BF8">
        <w:t> – also Akteur</w:t>
      </w:r>
      <w:r w:rsidR="00E27BF8">
        <w:rPr>
          <w:i/>
          <w:iCs/>
        </w:rPr>
        <w:t>*</w:t>
      </w:r>
      <w:r w:rsidRPr="00D80541">
        <w:t>innen, die nur einmalig mit dem Rechtssystem in Berührung kommen – sind dabei gegenüber ressourcenstarken </w:t>
      </w:r>
      <w:r w:rsidR="00E27BF8">
        <w:t>‚</w:t>
      </w:r>
      <w:proofErr w:type="spellStart"/>
      <w:r w:rsidRPr="00E27BF8">
        <w:t>repeat</w:t>
      </w:r>
      <w:proofErr w:type="spellEnd"/>
      <w:r w:rsidRPr="00E27BF8">
        <w:t xml:space="preserve"> </w:t>
      </w:r>
      <w:proofErr w:type="spellStart"/>
      <w:r w:rsidRPr="00E27BF8">
        <w:t>players</w:t>
      </w:r>
      <w:proofErr w:type="spellEnd"/>
      <w:r w:rsidR="00E27BF8">
        <w:t>‘</w:t>
      </w:r>
      <w:r w:rsidR="00E27BF8">
        <w:rPr>
          <w:i/>
          <w:iCs/>
        </w:rPr>
        <w:t xml:space="preserve"> </w:t>
      </w:r>
      <w:r w:rsidRPr="00D80541">
        <w:t xml:space="preserve">erheblich im Nachteil (vgl. Epp 2008, S. 18f.). Um dieses strukturelle Ungleichgewicht zu überwinden, bedarf es organisierter zivilgesellschaftlicher Akteur*innen, die kontinuierliche Klagewellen koordinieren, rechtliche Expertise bündeln und finanzielle Mittel bereitstellen. Im Bereich der Klimaklagen lässt sich diese Dynamik deutlich beobachten: Organisationen wie die </w:t>
      </w:r>
      <w:proofErr w:type="spellStart"/>
      <w:r w:rsidRPr="00D80541">
        <w:t>Urgenda</w:t>
      </w:r>
      <w:proofErr w:type="spellEnd"/>
      <w:r w:rsidRPr="00D80541">
        <w:t xml:space="preserve"> </w:t>
      </w:r>
      <w:proofErr w:type="spellStart"/>
      <w:r w:rsidRPr="00D80541">
        <w:t>Foundation</w:t>
      </w:r>
      <w:proofErr w:type="spellEnd"/>
      <w:r w:rsidRPr="00D80541">
        <w:t>, Greenpeace oder die Deutsche Umwelthilfe fungieren als institutionelle Träger</w:t>
      </w:r>
      <w:r w:rsidR="00E27BF8">
        <w:t>*innen</w:t>
      </w:r>
      <w:r w:rsidRPr="00D80541">
        <w:t xml:space="preserve"> strategischer Klimaklagen und erfüllen damit genau jene Funktion, die Epp für das Entstehen nachhaltiger Rechtsentwicklungen als notwendig erachtet.</w:t>
      </w:r>
    </w:p>
    <w:p w14:paraId="1B7B7770" w14:textId="4C414229" w:rsidR="00D80541" w:rsidRPr="00D80541" w:rsidRDefault="00D80541" w:rsidP="00D80541">
      <w:r w:rsidRPr="00D80541">
        <w:t>Die Wirksamkeit rechtlicher Mobilisierung ist dabei keineswegs kontextunabhängig. McCann systematisiert die relevanten Rahmenbedingungen in zwei Faktorengruppen: die politischen Gelegenheitsstrukturen (</w:t>
      </w:r>
      <w:proofErr w:type="spellStart"/>
      <w:r w:rsidRPr="00E45BBB">
        <w:t>political</w:t>
      </w:r>
      <w:proofErr w:type="spellEnd"/>
      <w:r w:rsidRPr="00E45BBB">
        <w:t xml:space="preserve"> </w:t>
      </w:r>
      <w:proofErr w:type="spellStart"/>
      <w:r w:rsidRPr="00E45BBB">
        <w:t>opportunity</w:t>
      </w:r>
      <w:proofErr w:type="spellEnd"/>
      <w:r w:rsidRPr="00E45BBB">
        <w:t xml:space="preserve"> </w:t>
      </w:r>
      <w:proofErr w:type="spellStart"/>
      <w:r w:rsidRPr="00E45BBB">
        <w:t>structures</w:t>
      </w:r>
      <w:proofErr w:type="spellEnd"/>
      <w:r w:rsidRPr="00D80541">
        <w:t xml:space="preserve">) einerseits – etwa die Offenheit staatlicher Institutionen gegenüber Reformforderungen oder die verfassungsrechtliche Ausgestaltung des Rechtssystems – sowie die organisatorischen </w:t>
      </w:r>
      <w:r w:rsidRPr="00D80541">
        <w:lastRenderedPageBreak/>
        <w:t xml:space="preserve">Ressourcen </w:t>
      </w:r>
      <w:proofErr w:type="gramStart"/>
      <w:r w:rsidRPr="00D80541">
        <w:t>der mobilisierenden Akteur</w:t>
      </w:r>
      <w:proofErr w:type="gramEnd"/>
      <w:r w:rsidRPr="00D80541">
        <w:t xml:space="preserve">*innen andererseits (vgl. McCann 1994, S. 11). Epp ergänzt diese Perspektive durch den Hinweis, dass die Unterstützungsstruktur selbst nicht als natürliches Nebenprodukt gesellschaftlicher Modernisierung entsteht, sondern Ergebnis bewusster politischer Strategie und sozialen Lernens ist: „Support </w:t>
      </w:r>
      <w:proofErr w:type="spellStart"/>
      <w:r w:rsidRPr="00D80541">
        <w:t>structures</w:t>
      </w:r>
      <w:proofErr w:type="spellEnd"/>
      <w:r w:rsidRPr="00D80541">
        <w:t xml:space="preserve"> </w:t>
      </w:r>
      <w:proofErr w:type="spellStart"/>
      <w:r w:rsidRPr="00D80541">
        <w:t>have</w:t>
      </w:r>
      <w:proofErr w:type="spellEnd"/>
      <w:r w:rsidRPr="00D80541">
        <w:t xml:space="preserve"> not </w:t>
      </w:r>
      <w:proofErr w:type="spellStart"/>
      <w:r w:rsidRPr="00D80541">
        <w:t>emerged</w:t>
      </w:r>
      <w:proofErr w:type="spellEnd"/>
      <w:r w:rsidRPr="00D80541">
        <w:t xml:space="preserve"> </w:t>
      </w:r>
      <w:proofErr w:type="spellStart"/>
      <w:r w:rsidRPr="00D80541">
        <w:t>as</w:t>
      </w:r>
      <w:proofErr w:type="spellEnd"/>
      <w:r w:rsidRPr="00D80541">
        <w:t xml:space="preserve"> an </w:t>
      </w:r>
      <w:proofErr w:type="spellStart"/>
      <w:r w:rsidRPr="00D80541">
        <w:t>automatic</w:t>
      </w:r>
      <w:proofErr w:type="spellEnd"/>
      <w:r w:rsidRPr="00D80541">
        <w:t xml:space="preserve"> </w:t>
      </w:r>
      <w:proofErr w:type="spellStart"/>
      <w:r w:rsidRPr="00D80541">
        <w:t>consequence</w:t>
      </w:r>
      <w:proofErr w:type="spellEnd"/>
      <w:r w:rsidRPr="00D80541">
        <w:t xml:space="preserve"> </w:t>
      </w:r>
      <w:proofErr w:type="spellStart"/>
      <w:r w:rsidRPr="00D80541">
        <w:t>of</w:t>
      </w:r>
      <w:proofErr w:type="spellEnd"/>
      <w:r w:rsidRPr="00D80541">
        <w:t xml:space="preserve"> </w:t>
      </w:r>
      <w:proofErr w:type="spellStart"/>
      <w:r w:rsidRPr="00D80541">
        <w:t>industrialization</w:t>
      </w:r>
      <w:proofErr w:type="spellEnd"/>
      <w:r w:rsidRPr="00D80541">
        <w:t xml:space="preserve"> </w:t>
      </w:r>
      <w:proofErr w:type="spellStart"/>
      <w:r w:rsidRPr="00D80541">
        <w:t>or</w:t>
      </w:r>
      <w:proofErr w:type="spellEnd"/>
      <w:r w:rsidRPr="00D80541">
        <w:t xml:space="preserve"> </w:t>
      </w:r>
      <w:proofErr w:type="spellStart"/>
      <w:r w:rsidRPr="00D80541">
        <w:t>modernization</w:t>
      </w:r>
      <w:proofErr w:type="spellEnd"/>
      <w:r w:rsidRPr="00D80541">
        <w:t>" (Epp 2008, S. 201). Der internationale Erfolg der Klimaklage</w:t>
      </w:r>
      <w:r w:rsidR="00E45BBB">
        <w:t>n</w:t>
      </w:r>
      <w:r w:rsidRPr="00D80541">
        <w:t>-Bewegung seit dem </w:t>
      </w:r>
      <w:proofErr w:type="spellStart"/>
      <w:r w:rsidRPr="00E45BBB">
        <w:t>Urgenda</w:t>
      </w:r>
      <w:proofErr w:type="spellEnd"/>
      <w:r w:rsidRPr="00D80541">
        <w:t>-Urteil von 2019 lässt sich in diesem Sinne als Beleg für ein gewachsenes transnationales Netzwerk verstehen, das genau jene Unterstützungsstruktur bereitstellt, die strategische Klagen gegen staatliche Klimapolitik erst ermöglicht.</w:t>
      </w:r>
    </w:p>
    <w:p w14:paraId="6AA1CED7" w14:textId="77777777" w:rsidR="00D80541" w:rsidRDefault="00D80541" w:rsidP="00D80541">
      <w:r w:rsidRPr="00D80541">
        <w:t>Beide Ansätze zusammen – McCanns kulturalistisch-interpretativer Blick auf Rechtsbewusstsein und Mobilisierungsprozesse sowie Epps institutionell-materieller Fokus auf die Unterstützungsstruktur – bieten für die vorliegende Arbeit einen geeigneten analytischen Rahmen. In Verbindung mit dem in Kapitel 2.1 dargelegten Verständnis des BVerfG als politischem Akteur ermöglicht es dieser Rahmen, die wechselseitige Dynamik zwischen klagenden zivilgesellschaftlichen Akteur*innen und dem Gericht zu analysieren und so der Frage nachzugehen, inwiefern und auf welche Weise Klimaklagen zur Politisierung der Judikative beitragen.</w:t>
      </w:r>
    </w:p>
    <w:p w14:paraId="1F894A38" w14:textId="5AFAF5FB" w:rsidR="00270FB5" w:rsidRPr="00270FB5" w:rsidRDefault="00DE6BE1" w:rsidP="00270FB5">
      <w:pPr>
        <w:pStyle w:val="berschrift2"/>
      </w:pPr>
      <w:bookmarkStart w:id="4" w:name="_Toc232583914"/>
      <w:r>
        <w:t>Klimapolitik als gesellschaftliches Konfliktfeld</w:t>
      </w:r>
      <w:bookmarkEnd w:id="4"/>
    </w:p>
    <w:p w14:paraId="2D2AB129" w14:textId="29EFBECD" w:rsidR="00EF5D36" w:rsidRPr="00EF5D36" w:rsidRDefault="00EF5D36" w:rsidP="00EF5D36">
      <w:r w:rsidRPr="00EF5D36">
        <w:t xml:space="preserve">Klimaschutz ist keine rein technische oder wissenschaftliche Frage, sondern zutiefst politisch – und damit zwangsläufig umkämpft. Der Klimawandel berührt grundlegende Fragen der </w:t>
      </w:r>
      <w:r>
        <w:t>(</w:t>
      </w:r>
      <w:r w:rsidRPr="00EF5D36">
        <w:t>Ressourcen</w:t>
      </w:r>
      <w:r>
        <w:t>-)</w:t>
      </w:r>
      <w:proofErr w:type="spellStart"/>
      <w:r w:rsidRPr="00EF5D36">
        <w:t>verteilung</w:t>
      </w:r>
      <w:proofErr w:type="spellEnd"/>
      <w:r w:rsidRPr="00EF5D36">
        <w:t>, der Lebensweise und der Freiheit und macht ihn zu einem gesellschaftlichen Konfliktfeld, auf dem eine Vielzahl von Akteur*innen mit divergierenden Interessen und Strategien aufeinandertrifft.</w:t>
      </w:r>
    </w:p>
    <w:p w14:paraId="59DB4F07" w14:textId="3D1E7ABD" w:rsidR="00EF5D36" w:rsidRPr="00EF5D36" w:rsidRDefault="00EF5D36" w:rsidP="00EF5D36">
      <w:r w:rsidRPr="00EF5D36">
        <w:t>Heidenreich (202</w:t>
      </w:r>
      <w:r>
        <w:t>4</w:t>
      </w:r>
      <w:r w:rsidRPr="00EF5D36">
        <w:t>)</w:t>
      </w:r>
      <w:r>
        <w:t xml:space="preserve"> </w:t>
      </w:r>
      <w:r w:rsidRPr="00EF5D36">
        <w:t xml:space="preserve">verweist dabei auf die historisch gewachsene Verflechtung von Demokratie und wirtschaftlichem Wohlstand: Freiheit und Konsum verschmolzen über Jahrhunderte zu einer unauflöslichen Einheit, weshalb Klimapolitik nicht nur als technische Anpassungsaufgabe erscheint, sondern als Eingriff in Lebensbereiche, die bislang als privat galten. </w:t>
      </w:r>
      <w:proofErr w:type="spellStart"/>
      <w:r w:rsidRPr="00EF5D36">
        <w:t>Blühdorn</w:t>
      </w:r>
      <w:proofErr w:type="spellEnd"/>
      <w:r w:rsidRPr="00EF5D36">
        <w:t xml:space="preserve"> (2018) schärft diese Diagnose gesellschaftstheoretisch: Moderne Konsumgesellschaften betreiben die „Politik der Nicht-Nachhaltigkeit" – also die entschiedene Verteidigung ökologisch zerstörerischer Lebensstile – nicht mehr als temporäres Übergangsproblem, sondern zunehmend als gesellschaftliches Prinzip </w:t>
      </w:r>
      <w:r w:rsidR="00E0014F">
        <w:fldChar w:fldCharType="begin"/>
      </w:r>
      <w:r w:rsidR="00E0014F">
        <w:instrText xml:space="preserve"> ADDIN ZOTERO_ITEM CSL_CITATION {"citationID":"UieGEnpH","properties":{"formattedCitation":"(vgl. Bl\\uc0\\u252{}hdorn 2018, S. 153)","plainCitation":"(vgl. Blühdorn 2018, S. 153)","noteIndex":0},"citationItems":[{"id":574,"uris":["http://zotero.org/users/16460357/items/7JSURSD2"],"itemData":{"id":574,"type":"article-journal","container-title":"Berliner Journal für Soziologie","DOI":"10.1007/s11609-018-0372-8","ISSN":"0863-1808, 1862-2593","journalAbbreviation":"Berlin J Soziol","language":"de","page":"151-180","source":"DOI.org (Crossref)","title":"Nicht-Nachhaltigkeit auf der Suche nach einer politischen Form. Konturen der demokratischen Postwachstumsgesellschaft","volume":"28","author":[{"family":"Blühdorn","given":"Ingolfur"}],"issued":{"date-parts":[["2018"]]}},"locator":"153","label":"page","prefix":"vgl."}],"schema":"https://github.com/citation-style-language/schema/raw/master/csl-citation.json"} </w:instrText>
      </w:r>
      <w:r w:rsidR="00E0014F">
        <w:fldChar w:fldCharType="separate"/>
      </w:r>
      <w:r w:rsidR="00E0014F" w:rsidRPr="00E0014F">
        <w:rPr>
          <w:rFonts w:cs="Times New Roman"/>
          <w:kern w:val="0"/>
        </w:rPr>
        <w:t>(vgl. Blühdorn 2018, S. 153)</w:t>
      </w:r>
      <w:r w:rsidR="00E0014F">
        <w:fldChar w:fldCharType="end"/>
      </w:r>
      <w:r w:rsidR="00E0014F">
        <w:t>.</w:t>
      </w:r>
      <w:r w:rsidRPr="00EF5D36">
        <w:t xml:space="preserve"> Der Klimakonflikt ist damit kein Konflikt </w:t>
      </w:r>
      <w:r w:rsidRPr="00EF5D36">
        <w:lastRenderedPageBreak/>
        <w:t>zwischen Unwissen und Aufklärung, sondern einer zwischen konkurrierenden Freiheitsverständnissen – ein genuin politischer Wertekonflikt.</w:t>
      </w:r>
    </w:p>
    <w:p w14:paraId="4D73B747" w14:textId="3CB62ACD" w:rsidR="00EF5D36" w:rsidRPr="00EF5D36" w:rsidRDefault="00EF5D36" w:rsidP="00EF5D36">
      <w:r w:rsidRPr="00EF5D36">
        <w:t>Staatliche Akteur*innen befinden sich in diesem Konfliktfeld in einer strukturell schwierigen Position: Einerseits sind sie durch internationale Abkommen sowie verfassungsrechtliche Verpflichtungen zu ambitioniertem Klimaschutz verpflichtet, andererseits stehen sie unter dem Druck wirtschaftlicher Interessen und gesellschaftlicher Mehrheiten, die Einschränkungen ihres Lebensstils ablehnen. Die häufig beobachtbare Lücke zwischen klimapolitischer Rhetorik und tatsächlichem Handeln ist dabei nicht allein auf mangelnden politischen Willen zurückzuführen, sondern strukturell in den Anreizstrukturen demokratischer Systeme angelegt</w:t>
      </w:r>
      <w:r w:rsidR="001D220E">
        <w:t xml:space="preserve"> </w:t>
      </w:r>
      <w:r w:rsidR="001D220E">
        <w:fldChar w:fldCharType="begin"/>
      </w:r>
      <w:r w:rsidR="001D220E">
        <w:instrText xml:space="preserve"> ADDIN ZOTERO_ITEM CSL_CITATION {"citationID":"w7tRlcSk","properties":{"formattedCitation":"(vgl. Bl\\uc0\\u252{}hdorn 2018, S. 169f)","plainCitation":"(vgl. Blühdorn 2018, S. 169f)","noteIndex":0},"citationItems":[{"id":574,"uris":["http://zotero.org/users/16460357/items/7JSURSD2"],"itemData":{"id":574,"type":"article-journal","container-title":"Berliner Journal für Soziologie","DOI":"10.1007/s11609-018-0372-8","ISSN":"0863-1808, 1862-2593","journalAbbreviation":"Berlin J Soziol","language":"de","page":"151-180","source":"DOI.org (Crossref)","title":"Nicht-Nachhaltigkeit auf der Suche nach einer politischen Form. Konturen der demokratischen Postwachstumsgesellschaft","volume":"28","author":[{"family":"Blühdorn","given":"Ingolfur"}],"issued":{"date-parts":[["2018"]]}},"locator":"169f","label":"page","prefix":"vgl."}],"schema":"https://github.com/citation-style-language/schema/raw/master/csl-citation.json"} </w:instrText>
      </w:r>
      <w:r w:rsidR="001D220E">
        <w:fldChar w:fldCharType="separate"/>
      </w:r>
      <w:r w:rsidR="001D220E" w:rsidRPr="001D220E">
        <w:rPr>
          <w:rFonts w:cs="Times New Roman"/>
          <w:kern w:val="0"/>
        </w:rPr>
        <w:t>(vgl. Blühdorn 2018, S. 169f)</w:t>
      </w:r>
      <w:r w:rsidR="001D220E">
        <w:fldChar w:fldCharType="end"/>
      </w:r>
      <w:r w:rsidR="001D220E">
        <w:t xml:space="preserve">. </w:t>
      </w:r>
      <w:r w:rsidRPr="00EF5D36">
        <w:t>Genau diese Implementierungslücke ist es, die zivilgesellschaftliche Akteur*innen zunehmend als Ansatzpunkt für alternative Strategien – und insbesondere für rechtliche – nutzen.</w:t>
      </w:r>
    </w:p>
    <w:p w14:paraId="6B4B02AC" w14:textId="3B2FCCC0" w:rsidR="00EF5D36" w:rsidRPr="00EF5D36" w:rsidRDefault="00EF5D36" w:rsidP="00EF5D36">
      <w:r w:rsidRPr="00EF5D36">
        <w:t xml:space="preserve">Innerhalb der Zivilgesellschaft lassen sich dabei verschiedene Typen von Akteur*innen unterscheiden. Soziale Bewegungen wie Fridays </w:t>
      </w:r>
      <w:proofErr w:type="spellStart"/>
      <w:r w:rsidRPr="00EF5D36">
        <w:t>for</w:t>
      </w:r>
      <w:proofErr w:type="spellEnd"/>
      <w:r w:rsidRPr="00EF5D36">
        <w:t xml:space="preserve"> Future oder Extinction Rebellion setzen auf öffentliche Mobilisierung und moralischen Druck. Ihnen kommt insbesondere die Funktion zu, d</w:t>
      </w:r>
      <w:r w:rsidR="001D220E">
        <w:t>ie</w:t>
      </w:r>
      <w:r w:rsidRPr="00EF5D36">
        <w:t xml:space="preserve"> von McCann</w:t>
      </w:r>
      <w:r w:rsidR="001D220E">
        <w:t xml:space="preserve"> </w:t>
      </w:r>
      <w:r w:rsidRPr="00EF5D36">
        <w:t>beschriebene </w:t>
      </w:r>
      <w:r w:rsidR="00CB4A7A">
        <w:t>‚</w:t>
      </w:r>
      <w:r w:rsidRPr="00CB4A7A">
        <w:t xml:space="preserve">legal </w:t>
      </w:r>
      <w:proofErr w:type="spellStart"/>
      <w:r w:rsidRPr="00CB4A7A">
        <w:t>consciousness</w:t>
      </w:r>
      <w:proofErr w:type="spellEnd"/>
      <w:r w:rsidR="00CB4A7A">
        <w:rPr>
          <w:i/>
          <w:iCs/>
        </w:rPr>
        <w:t>‘</w:t>
      </w:r>
      <w:r w:rsidRPr="00EF5D36">
        <w:t> zu erzeugen: Die Rahmung des Klimawandels als Verletzung einklagbarer Rechte zukünftiger Generationen bereitet den Boden für nachfolgende rechtliche Strategien.</w:t>
      </w:r>
    </w:p>
    <w:p w14:paraId="37B25F32" w14:textId="253EC8C2" w:rsidR="00EF5D36" w:rsidRPr="00EF5D36" w:rsidRDefault="00EF5D36" w:rsidP="00EF5D36">
      <w:r w:rsidRPr="00EF5D36">
        <w:t xml:space="preserve">Von zentraler Bedeutung für die Entstehung von Klimaklagen sind jedoch vor allem zwei </w:t>
      </w:r>
      <w:proofErr w:type="spellStart"/>
      <w:r w:rsidRPr="00EF5D36">
        <w:t>Akteurstypen</w:t>
      </w:r>
      <w:proofErr w:type="spellEnd"/>
      <w:r w:rsidRPr="00EF5D36">
        <w:t>. Zum einen sind dies etablierte Umwelt-NGOs wie Greenpeace, der BUND oder die Deutsche Umwelthilfe, die öffentlichkeitswirksame Aktionen mit wissenschaftlicher Expertise, politischem Lobbying und juristischer Interessenvertretung kombinieren. Sie verfügen über spezialisiertes rechtliches Know-how, stabile Finanzierungsstrukturen und langjährige institutionelle Erfahrung – und sind damit genau jene Akteur*innen, die Epp als konstitutiv für eine funktionierende </w:t>
      </w:r>
      <w:r w:rsidR="001D220E">
        <w:t>„</w:t>
      </w:r>
      <w:r w:rsidRPr="00EF5D36">
        <w:t xml:space="preserve">support </w:t>
      </w:r>
      <w:proofErr w:type="spellStart"/>
      <w:r w:rsidRPr="00EF5D36">
        <w:t>structure</w:t>
      </w:r>
      <w:proofErr w:type="spellEnd"/>
      <w:r w:rsidRPr="00EF5D36">
        <w:t xml:space="preserve"> </w:t>
      </w:r>
      <w:proofErr w:type="spellStart"/>
      <w:r w:rsidRPr="00EF5D36">
        <w:t>for</w:t>
      </w:r>
      <w:proofErr w:type="spellEnd"/>
      <w:r w:rsidRPr="00EF5D36">
        <w:t xml:space="preserve"> legal </w:t>
      </w:r>
      <w:proofErr w:type="spellStart"/>
      <w:r w:rsidRPr="00EF5D36">
        <w:t>mobilization</w:t>
      </w:r>
      <w:proofErr w:type="spellEnd"/>
      <w:r w:rsidR="001D220E">
        <w:t xml:space="preserve">" </w:t>
      </w:r>
      <w:r w:rsidR="001D220E">
        <w:fldChar w:fldCharType="begin"/>
      </w:r>
      <w:r w:rsidR="001D220E">
        <w:instrText xml:space="preserve"> ADDIN ZOTERO_ITEM CSL_CITATION {"citationID":"IoUgBMfb","properties":{"formattedCitation":"(Epp 1998, S. 3)","plainCitation":"(Epp 1998, S. 3)","noteIndex":0},"citationItems":[{"id":535,"uris":["http://zotero.org/users/16460357/items/6W5FFR6E"],"itemData":{"id":535,"type":"book","publisher":"University of Chicago Press","title":"The rights revolution : lawyers, activists, and supreme courts in comparative perspective","author":[{"family":"Epp","given":"Charles R."}],"issued":{"date-parts":[["1998"]]}},"locator":"3","label":"page"}],"schema":"https://github.com/citation-style-language/schema/raw/master/csl-citation.json"} </w:instrText>
      </w:r>
      <w:r w:rsidR="001D220E">
        <w:fldChar w:fldCharType="separate"/>
      </w:r>
      <w:r w:rsidR="001D220E">
        <w:rPr>
          <w:noProof/>
        </w:rPr>
        <w:t>(Epp 1998, S. 3)</w:t>
      </w:r>
      <w:r w:rsidR="001D220E">
        <w:fldChar w:fldCharType="end"/>
      </w:r>
      <w:r w:rsidRPr="00EF5D36">
        <w:t> beschreibt. Sie stellen die organisatorischen und finanziellen Ressourcen bereit, die Einzelpersonen allein nicht zur Verfügung stehen, und ermöglichen so eine kontinuierliche und strategisch ausgerichtete Nutzung gerichtlicher Arenen.</w:t>
      </w:r>
    </w:p>
    <w:p w14:paraId="50FACB6B" w14:textId="7F80196D" w:rsidR="00EF5D36" w:rsidRPr="00EF5D36" w:rsidRDefault="00EF5D36" w:rsidP="00EF5D36">
      <w:r w:rsidRPr="00EF5D36">
        <w:t xml:space="preserve">Zum anderen haben sich in den letzten Jahren rechtlich spezialisierte Klimaschutzorganisationen herausgebildet, die sich explizit auf klimabezogene Rechtsdurchsetzung konzentrieren – etwa die </w:t>
      </w:r>
      <w:proofErr w:type="spellStart"/>
      <w:r w:rsidRPr="00EF5D36">
        <w:t>Urgenda</w:t>
      </w:r>
      <w:proofErr w:type="spellEnd"/>
      <w:r w:rsidRPr="00EF5D36">
        <w:t xml:space="preserve"> </w:t>
      </w:r>
      <w:proofErr w:type="spellStart"/>
      <w:r w:rsidRPr="00EF5D36">
        <w:t>Foundation</w:t>
      </w:r>
      <w:proofErr w:type="spellEnd"/>
      <w:r w:rsidRPr="00EF5D36">
        <w:t xml:space="preserve"> in den Niederlanden oder </w:t>
      </w:r>
      <w:proofErr w:type="spellStart"/>
      <w:r w:rsidRPr="00EF5D36">
        <w:t>ClientEarth</w:t>
      </w:r>
      <w:proofErr w:type="spellEnd"/>
      <w:r w:rsidRPr="00EF5D36">
        <w:t xml:space="preserve"> in </w:t>
      </w:r>
      <w:r w:rsidRPr="00EF5D36">
        <w:lastRenderedPageBreak/>
        <w:t>Großbritannien. Diese Organisationen entwickeln langfristige Klagestrategien, bauen internationale Netzwerke auf und koordinieren Verfahren in verschiedenen Jurisdiktionen. Ihr Wachstum seit den 2010er-Jahren ist selbst ein Beleg für die von Epp beschriebene Dynamik: Die Unterstützungsstruktur für Klimaklagen hat sich erheblich verbreitert und professionalisiert, was weitere Klagen erst möglich macht.</w:t>
      </w:r>
    </w:p>
    <w:p w14:paraId="405AA1EF" w14:textId="0F196C75" w:rsidR="00EF5D36" w:rsidRPr="00EF5D36" w:rsidRDefault="00EF5D36" w:rsidP="00EF5D36">
      <w:r w:rsidRPr="00EF5D36">
        <w:t xml:space="preserve">Schließlich sind auch Einzelpersonen als Kläger*innen zu nennen, die – häufig in Kooperation mit Organisationen – vor Gericht ziehen. Dabei handelt es sich zunehmend um konkret Betroffene des Klimawandels: Landwirtinnen, Anwohnerinnen von Überschwemmungsgebieten oder – wie im Fall der </w:t>
      </w:r>
      <w:proofErr w:type="spellStart"/>
      <w:r w:rsidRPr="00EF5D36">
        <w:t>KlimaSeniorinnen</w:t>
      </w:r>
      <w:proofErr w:type="spellEnd"/>
      <w:r w:rsidRPr="00EF5D36">
        <w:t xml:space="preserve"> vor dem Europäischen Gerichtshof für Menschenrechte – ältere Frauen, die gesundheitliche Beeinträchtigungen durch Hitzewellen als Verletzung ihrer Grundrechte geltend machen. Diese Form individueller Betroffenheit verleiht Klimaklagen eine persönliche Dimension, die über abstrakte Politikforderungen hinausgeht und die moralische Überzeugungskraft rechtlicher Argumente erheblich verstärkt </w:t>
      </w:r>
      <w:r w:rsidR="001D220E">
        <w:fldChar w:fldCharType="begin"/>
      </w:r>
      <w:r w:rsidR="001D220E">
        <w:instrText xml:space="preserve"> ADDIN ZOTERO_ITEM CSL_CITATION {"citationID":"6LXH50kM","properties":{"formattedCitation":"(vgl. McCann 1997, S. 10f)","plainCitation":"(vgl. McCann 1997, S. 10f)","noteIndex":0},"citationItems":[{"id":534,"uris":["http://zotero.org/users/16460357/items/QGU2F42A"],"itemData":{"id":534,"type":"book","publisher":"University of Chicago Press","publisher-place":"Chicago/London","title":"Rights at work : pay equity reform and the politics of legal mobilization","author":[{"family":"McCann","given":"Michael W."}],"issued":{"date-parts":[["1997"]]}},"locator":"10f","label":"page","prefix":"vgl."}],"schema":"https://github.com/citation-style-language/schema/raw/master/csl-citation.json"} </w:instrText>
      </w:r>
      <w:r w:rsidR="001D220E">
        <w:fldChar w:fldCharType="separate"/>
      </w:r>
      <w:r w:rsidR="001D220E">
        <w:rPr>
          <w:noProof/>
        </w:rPr>
        <w:t>(vgl. McCann 1997, S. 10f)</w:t>
      </w:r>
      <w:r w:rsidR="001D220E">
        <w:fldChar w:fldCharType="end"/>
      </w:r>
      <w:r w:rsidR="001D220E">
        <w:t>.</w:t>
      </w:r>
      <w:r w:rsidRPr="00EF5D36">
        <w:t xml:space="preserve"> Gleichzeitig sind Einzelpersonen ohne institutionelle Unterstützung kaum in der Lage, langwierige und kostspielige Gerichtsverfahren zu führen – was die strukturelle Abhängigkeit individueller Kläger*innen von der beschriebenen Unterstützungsstruktur unterstreicht.</w:t>
      </w:r>
    </w:p>
    <w:p w14:paraId="70033466" w14:textId="77777777" w:rsidR="00EF5D36" w:rsidRPr="00EF5D36" w:rsidRDefault="00EF5D36" w:rsidP="00EF5D36">
      <w:r w:rsidRPr="00EF5D36">
        <w:t>Die Verlagerung klimapolitischer Auseinandersetzungen in gerichtliche Arenen ist damit kein Zufall, sondern eine strategische Reaktion auf die Strukturen des klimapolitischen Konfliktfeldes: Wo der parlamentarische Weg zu langsam erscheint oder durch mächtige Interessengruppen blockiert wird, bieten Gerichte eine alternative Arena, in der andere Regeln gelten und in der auch ressourcenschwächere Akteur*innen – sofern sie Zugang zur Unterstützungsstruktur haben – gegen staatliche Untätigkeit vorgehen können. In welcher Weise diese Strategie im deutschen Kontext konkret ausgestaltet wird und welche Rolle dabei das BVerfG-Urteil von 2021 spielt, ist Gegenstand des folgenden Kapitels.</w:t>
      </w:r>
    </w:p>
    <w:p w14:paraId="34C84371" w14:textId="77777777" w:rsidR="00270FB5" w:rsidRPr="00D96693" w:rsidRDefault="00270FB5" w:rsidP="00D96693"/>
    <w:p w14:paraId="7621F539" w14:textId="517DEBF4" w:rsidR="0048258B" w:rsidRDefault="00EF5843" w:rsidP="00EF5843">
      <w:pPr>
        <w:pStyle w:val="berschrift1"/>
      </w:pPr>
      <w:bookmarkStart w:id="5" w:name="_Toc232583915"/>
      <w:r>
        <w:t>Klimaklagen als Form gesellschaftlicher Einflussnahme</w:t>
      </w:r>
      <w:bookmarkEnd w:id="5"/>
    </w:p>
    <w:p w14:paraId="4B328EA3" w14:textId="56F0B1E6" w:rsidR="00031E94" w:rsidRPr="00EF5843" w:rsidRDefault="00261335" w:rsidP="00261335">
      <w:r w:rsidRPr="00261335">
        <w:t xml:space="preserve">Der Begriff Klimaklagen bezeichnet in der Regel rechtliche Verfahren, die darauf ausgerichtet sind, klimapolitische Ziele gerichtlich geltend zu machen. Dies umfasst unter anderem Klagen gegen Staaten oder Unternehmen zur Durchsetzung ambitionierterer </w:t>
      </w:r>
      <w:r w:rsidRPr="00261335">
        <w:lastRenderedPageBreak/>
        <w:t>Emissionsreduktionen, zur Haftung für Schäden infolge des Klimawandels, zur Verhinderung klimaschädlicher Infrastruktur- und Investitionsprojekte sowie zur Durchsetzung geeigneter Maßnahmen zur Anpassung an den Klimawandel</w:t>
      </w:r>
      <w:r>
        <w:t xml:space="preserve"> </w:t>
      </w:r>
      <w:r>
        <w:fldChar w:fldCharType="begin"/>
      </w:r>
      <w:r>
        <w:instrText xml:space="preserve"> ADDIN ZOTERO_ITEM CSL_CITATION {"citationID":"yVM9B662","properties":{"formattedCitation":"(vgl. Aykut 2022, S. 349)","plainCitation":"(vgl. Aykut 2022, S. 349)","noteIndex":0},"citationItems":[{"id":493,"uris":["http://zotero.org/users/16460357/items/U2LT9CR6"],"itemData":{"id":493,"type":"chapter","container-title":"Schlüsselwerke der sozialwissenschaftlichen Klimaforschung","page":"349-356","publisher":"transcript Verlag","publisher-place":"Bielefeld","title":"Klimaklagen","author":[{"family":"Aykut","given":"Stefan"}],"editor":[{"family":"Ibrahim","given":"Youssef"},{"family":"Rödder","given":"Simone"}],"issued":{"date-parts":[["2022"]]}},"locator":"349","label":"page","prefix":"vgl."}],"schema":"https://github.com/citation-style-language/schema/raw/master/csl-citation.json"} </w:instrText>
      </w:r>
      <w:r>
        <w:fldChar w:fldCharType="separate"/>
      </w:r>
      <w:r>
        <w:rPr>
          <w:noProof/>
        </w:rPr>
        <w:t>(vgl. Aykut 2022, S. 349)</w:t>
      </w:r>
      <w:r>
        <w:fldChar w:fldCharType="end"/>
      </w:r>
      <w:r w:rsidRPr="00261335">
        <w:t>.</w:t>
      </w:r>
      <w:r>
        <w:t xml:space="preserve"> Seit den 2010er-Jahren veränderten sich die Form der Klagen, besonders in Hinblick auf Strategien und Kläger*innen. Während ursprünglich vor allem US-Städte und -Staaten gegen die US-Regierung klagten, </w:t>
      </w:r>
      <w:r w:rsidR="00B572E6">
        <w:t xml:space="preserve">breitete sich das Phänomen immer mehr auch auf Europa und den globalen Süden aus. </w:t>
      </w:r>
      <w:r w:rsidR="00401AF0">
        <w:t>Dabei betreffen die Klagen mittlerweile nicht mehr ausschließlich Staaten und deren Regierungen, sondern auch nicht-staatliche Verursacher*innen des Klimawandels, wie etwa Unternehmen. Zudem</w:t>
      </w:r>
      <w:r w:rsidR="00B572E6">
        <w:t xml:space="preserve"> berufen sich Kläger*innen immer häufiger auf grundlegende Menschenrechte. Seit dem Pariser Klimaabkommen von 2015 hat sich dieser „</w:t>
      </w:r>
      <w:proofErr w:type="spellStart"/>
      <w:r w:rsidR="00B572E6">
        <w:t>rights</w:t>
      </w:r>
      <w:proofErr w:type="spellEnd"/>
      <w:r w:rsidR="00B572E6">
        <w:t xml:space="preserve"> turn“ noch verstärkt </w:t>
      </w:r>
      <w:r w:rsidR="00B572E6">
        <w:fldChar w:fldCharType="begin"/>
      </w:r>
      <w:r w:rsidR="00B572E6">
        <w:instrText xml:space="preserve"> ADDIN ZOTERO_ITEM CSL_CITATION {"citationID":"ngY3lPww","properties":{"formattedCitation":"(vgl. Aykut 2022, S. 349f)","plainCitation":"(vgl. Aykut 2022, S. 349f)","noteIndex":0},"citationItems":[{"id":493,"uris":["http://zotero.org/users/16460357/items/U2LT9CR6"],"itemData":{"id":493,"type":"chapter","container-title":"Schlüsselwerke der sozialwissenschaftlichen Klimaforschung","page":"349-356","publisher":"transcript Verlag","publisher-place":"Bielefeld","title":"Klimaklagen","author":[{"family":"Aykut","given":"Stefan"}],"editor":[{"family":"Ibrahim","given":"Youssef"},{"family":"Rödder","given":"Simone"}],"issued":{"date-parts":[["2022"]]}},"locator":"349f","label":"page","prefix":"vgl."}],"schema":"https://github.com/citation-style-language/schema/raw/master/csl-citation.json"} </w:instrText>
      </w:r>
      <w:r w:rsidR="00B572E6">
        <w:fldChar w:fldCharType="separate"/>
      </w:r>
      <w:r w:rsidR="00B572E6">
        <w:rPr>
          <w:noProof/>
        </w:rPr>
        <w:t>(vgl. Aykut 2022, S. 349f)</w:t>
      </w:r>
      <w:r w:rsidR="00B572E6">
        <w:fldChar w:fldCharType="end"/>
      </w:r>
      <w:r w:rsidR="00B572E6">
        <w:t>.</w:t>
      </w:r>
      <w:r w:rsidR="00A93D81">
        <w:t xml:space="preserve"> </w:t>
      </w:r>
      <w:r w:rsidR="00C11A32">
        <w:t>Einer der Gründe</w:t>
      </w:r>
      <w:r w:rsidR="00A93D81">
        <w:t xml:space="preserve"> für das verstärkte Auftreten von Klimaklagen im vergangenen Jahrzehnt ist die immer stärker werdende Dringlichkeit von Klimaschutzmaßnahmen bei gleichzeitig immer stärker wahrgenommener Unfähigkeit von (überwiegend demokratischen) Staaten, </w:t>
      </w:r>
      <w:r w:rsidR="00C11A32">
        <w:t xml:space="preserve">diese zu beschließen und umzusetzen. Vor allem Nichtregierungsorganisationen und Klimaaktivist*innen greifen deshalb zunehmend auf </w:t>
      </w:r>
      <w:r w:rsidR="00CB4A7A">
        <w:t>‚</w:t>
      </w:r>
      <w:proofErr w:type="spellStart"/>
      <w:r w:rsidR="00CB4A7A" w:rsidRPr="00CB4A7A">
        <w:t>strategic</w:t>
      </w:r>
      <w:proofErr w:type="spellEnd"/>
      <w:r w:rsidR="00CB4A7A" w:rsidRPr="00CB4A7A">
        <w:t xml:space="preserve"> </w:t>
      </w:r>
      <w:proofErr w:type="spellStart"/>
      <w:r w:rsidR="00CB4A7A" w:rsidRPr="00CB4A7A">
        <w:t>litigatio</w:t>
      </w:r>
      <w:r w:rsidR="00CB4A7A">
        <w:t>n</w:t>
      </w:r>
      <w:proofErr w:type="spellEnd"/>
      <w:r w:rsidR="00CB4A7A">
        <w:t>‘</w:t>
      </w:r>
      <w:r w:rsidR="00C11A32">
        <w:t xml:space="preserve"> </w:t>
      </w:r>
      <w:r w:rsidR="000A34B4">
        <w:t xml:space="preserve">(strategische Prozessführung) </w:t>
      </w:r>
      <w:r w:rsidR="00C11A32">
        <w:t xml:space="preserve">zurück und begründen damit eine neue Form politischer Partizipation </w:t>
      </w:r>
      <w:r w:rsidR="00C11A32">
        <w:fldChar w:fldCharType="begin"/>
      </w:r>
      <w:r w:rsidR="00C11A32">
        <w:instrText xml:space="preserve"> ADDIN ZOTERO_ITEM CSL_CITATION {"citationID":"ww8I8FZd","properties":{"formattedCitation":"(vgl. Aykut 2022, S. 352)","plainCitation":"(vgl. Aykut 2022, S. 352)","noteIndex":0},"citationItems":[{"id":493,"uris":["http://zotero.org/users/16460357/items/U2LT9CR6"],"itemData":{"id":493,"type":"chapter","container-title":"Schlüsselwerke der sozialwissenschaftlichen Klimaforschung","page":"349-356","publisher":"transcript Verlag","publisher-place":"Bielefeld","title":"Klimaklagen","author":[{"family":"Aykut","given":"Stefan"}],"editor":[{"family":"Ibrahim","given":"Youssef"},{"family":"Rödder","given":"Simone"}],"issued":{"date-parts":[["2022"]]}},"locator":"352","label":"page","prefix":"vgl."}],"schema":"https://github.com/citation-style-language/schema/raw/master/csl-citation.json"} </w:instrText>
      </w:r>
      <w:r w:rsidR="00C11A32">
        <w:fldChar w:fldCharType="separate"/>
      </w:r>
      <w:r w:rsidR="00C11A32">
        <w:rPr>
          <w:noProof/>
        </w:rPr>
        <w:t>(vgl. Aykut 2022, S. 352)</w:t>
      </w:r>
      <w:r w:rsidR="00C11A32">
        <w:fldChar w:fldCharType="end"/>
      </w:r>
      <w:r w:rsidR="00704E43">
        <w:t xml:space="preserve">. </w:t>
      </w:r>
      <w:r w:rsidR="005772BB" w:rsidRPr="005772BB">
        <w:t>Die Unterscheidung zwischen konventioneller und strategischer Prozessführung ist für die Analyse von Klimaklagen von zentraler Bedeutung, da sie sich aus den unterschiedlichen Zielsetzungen der Kläger*innen ergibt.</w:t>
      </w:r>
      <w:r w:rsidR="00526E7B">
        <w:t xml:space="preserve"> Offensichtlich ist, dass zweitere über den Erfolg vor Gericht hinaus noch weitere Ziele verfolgt. </w:t>
      </w:r>
      <w:r w:rsidR="00E70C00">
        <w:t xml:space="preserve">Die genaue </w:t>
      </w:r>
      <w:r w:rsidR="002F1638">
        <w:t>Abgrenzung</w:t>
      </w:r>
      <w:r w:rsidR="00E70C00">
        <w:t xml:space="preserve"> </w:t>
      </w:r>
      <w:r w:rsidR="002F1638">
        <w:t>strategischer Prozessführung</w:t>
      </w:r>
      <w:r w:rsidR="00E70C00">
        <w:t xml:space="preserve"> bleibt in der </w:t>
      </w:r>
      <w:r w:rsidR="002F1638">
        <w:t>Literatur jedoch</w:t>
      </w:r>
      <w:r w:rsidR="00E70C00">
        <w:t xml:space="preserve"> umstritten. So lässt sich bspw. argumentieren, dass es sich immer dann um strategische Prozessführung</w:t>
      </w:r>
      <w:r w:rsidR="002F1638">
        <w:t xml:space="preserve"> handelt</w:t>
      </w:r>
      <w:r w:rsidR="00E70C00">
        <w:t xml:space="preserve">, wenn die Entscheidungen der Gerichte zu tatsächlichen Verhaltensänderungen führen. Dies lässt sich allerdings grundsätzlich erst im Nachhinein bewerten. Eine andere Argumentationsweise sieht strategische Prozessführung vor allem dann gegeben, wenn Gerichtsverfahren nicht lediglich der Abwehr von Rechtsverletzungen dienen, sondern Bestandteil grundlegender gesellschaftlicher Strategien sind, in welchen die juristische Arena dazu genutzt wird, soziale Anliegen an eine breite Öffentlichkeit heranzutragen </w:t>
      </w:r>
      <w:r w:rsidR="00E70C00">
        <w:fldChar w:fldCharType="begin"/>
      </w:r>
      <w:r w:rsidR="00E70C00">
        <w:instrText xml:space="preserve"> ADDIN ZOTERO_ITEM CSL_CITATION {"citationID":"rtSsQYfj","properties":{"formattedCitation":"(vgl. Aykut 2022, S. 352)","plainCitation":"(vgl. Aykut 2022, S. 352)","noteIndex":0},"citationItems":[{"id":493,"uris":["http://zotero.org/users/16460357/items/U2LT9CR6"],"itemData":{"id":493,"type":"chapter","container-title":"Schlüsselwerke der sozialwissenschaftlichen Klimaforschung","page":"349-356","publisher":"transcript Verlag","publisher-place":"Bielefeld","title":"Klimaklagen","author":[{"family":"Aykut","given":"Stefan"}],"editor":[{"family":"Ibrahim","given":"Youssef"},{"family":"Rödder","given":"Simone"}],"issued":{"date-parts":[["2022"]]}},"locator":"352","label":"page","prefix":"vgl."}],"schema":"https://github.com/citation-style-language/schema/raw/master/csl-citation.json"} </w:instrText>
      </w:r>
      <w:r w:rsidR="00E70C00">
        <w:fldChar w:fldCharType="separate"/>
      </w:r>
      <w:r w:rsidR="00E70C00">
        <w:rPr>
          <w:noProof/>
        </w:rPr>
        <w:t>(vgl. Aykut 2022, S. 352)</w:t>
      </w:r>
      <w:r w:rsidR="00E70C00">
        <w:fldChar w:fldCharType="end"/>
      </w:r>
      <w:r w:rsidR="00E70C00">
        <w:t>.</w:t>
      </w:r>
      <w:r w:rsidR="005772BB" w:rsidRPr="005772BB">
        <w:rPr>
          <w:rFonts w:ascii="-webkit-standard" w:hAnsi="-webkit-standard"/>
          <w:color w:val="000000"/>
          <w:sz w:val="27"/>
          <w:szCs w:val="27"/>
        </w:rPr>
        <w:t xml:space="preserve"> </w:t>
      </w:r>
      <w:r w:rsidR="005772BB" w:rsidRPr="005772BB">
        <w:t>Im Mittelpunkt strategischer Prozessführung steht demnach weniger die individuelle Durchsetzung von Rechten als vielmehr die Nutzung gerichtlicher Verfahren zur Erreichung gesellschaftlicher oder politischer Veränderungen.</w:t>
      </w:r>
      <w:r w:rsidR="005772BB">
        <w:t xml:space="preserve"> </w:t>
      </w:r>
      <w:r w:rsidR="005772BB" w:rsidRPr="005772BB">
        <w:t xml:space="preserve">Die politische Wirkung strategischer Prozessführung entsteht somit nicht ausschließlich </w:t>
      </w:r>
      <w:r w:rsidR="005772BB" w:rsidRPr="005772BB">
        <w:lastRenderedPageBreak/>
        <w:t>durch das Urteil selbst, sondern bereits durch die öffentliche Sichtbarkeit des Verfahrens und die dadurch ausgelösten gesellschaftlichen Debatten.</w:t>
      </w:r>
      <w:r w:rsidR="00681E72">
        <w:t xml:space="preserve"> </w:t>
      </w:r>
      <w:r w:rsidR="00681E72" w:rsidRPr="00681E72">
        <w:t xml:space="preserve">Damit entspricht strategische Prozessführung der Annahme der Legal </w:t>
      </w:r>
      <w:proofErr w:type="spellStart"/>
      <w:r w:rsidR="00681E72" w:rsidRPr="00681E72">
        <w:t>Mobilization</w:t>
      </w:r>
      <w:proofErr w:type="spellEnd"/>
      <w:r w:rsidR="00681E72" w:rsidRPr="00681E72">
        <w:t xml:space="preserve"> Theory, wonach Gerichte nicht lediglich Orte der Rechtsdurchsetzung, sondern zugleich Arenen gesellschaftlicher und politischer Aushandlungsprozesse darstellen.</w:t>
      </w:r>
      <w:r w:rsidR="005A6955">
        <w:t xml:space="preserve"> </w:t>
      </w:r>
      <w:r w:rsidR="00031E94">
        <w:t xml:space="preserve">Wie sich dies konkret im deutschen Kontext beobachten lässt, wird im folgenden Kapitel anhand des Klimaschutzurteils des Bundesverfassungsgerichts aus dem Jahr 2021 </w:t>
      </w:r>
      <w:r w:rsidR="00A228E8">
        <w:t>analysiert</w:t>
      </w:r>
      <w:r w:rsidR="00031E94">
        <w:t>.</w:t>
      </w:r>
    </w:p>
    <w:sectPr w:rsidR="00031E94" w:rsidRPr="00EF5843" w:rsidSect="0051383A">
      <w:footerReference w:type="even" r:id="rId8"/>
      <w:footerReference w:type="default" r:id="rId9"/>
      <w:headerReference w:type="first" r:id="rId10"/>
      <w:footerReference w:type="first" r:id="rId11"/>
      <w:pgSz w:w="11906" w:h="16838"/>
      <w:pgMar w:top="1418" w:right="2268" w:bottom="1134"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7DDEAC" w14:textId="77777777" w:rsidR="00232055" w:rsidRDefault="00232055" w:rsidP="001F45C3">
      <w:pPr>
        <w:spacing w:after="0" w:line="240" w:lineRule="auto"/>
      </w:pPr>
      <w:r>
        <w:separator/>
      </w:r>
    </w:p>
  </w:endnote>
  <w:endnote w:type="continuationSeparator" w:id="0">
    <w:p w14:paraId="1794C493" w14:textId="77777777" w:rsidR="00232055" w:rsidRDefault="00232055" w:rsidP="001F4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972588060"/>
      <w:docPartObj>
        <w:docPartGallery w:val="Page Numbers (Bottom of Page)"/>
        <w:docPartUnique/>
      </w:docPartObj>
    </w:sdtPr>
    <w:sdtContent>
      <w:p w14:paraId="7689A2ED" w14:textId="77777777" w:rsidR="0051383A" w:rsidRDefault="0051383A" w:rsidP="00CF1B9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93C46B3" w14:textId="77777777" w:rsidR="0051383A" w:rsidRDefault="0051383A" w:rsidP="0051383A">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029869962"/>
      <w:docPartObj>
        <w:docPartGallery w:val="Page Numbers (Bottom of Page)"/>
        <w:docPartUnique/>
      </w:docPartObj>
    </w:sdtPr>
    <w:sdtContent>
      <w:p w14:paraId="63A824C5" w14:textId="77777777" w:rsidR="0051383A" w:rsidRDefault="0051383A" w:rsidP="00CF1B9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3</w:t>
        </w:r>
        <w:r>
          <w:rPr>
            <w:rStyle w:val="Seitenzahl"/>
          </w:rPr>
          <w:fldChar w:fldCharType="end"/>
        </w:r>
      </w:p>
    </w:sdtContent>
  </w:sdt>
  <w:p w14:paraId="44978B3C" w14:textId="77777777" w:rsidR="0051383A" w:rsidRDefault="0051383A" w:rsidP="0051383A">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5E872" w14:textId="784BC32E" w:rsidR="001F45C3" w:rsidRDefault="001F45C3" w:rsidP="001F45C3">
    <w:pPr>
      <w:spacing w:line="240" w:lineRule="auto"/>
      <w:ind w:left="4956"/>
      <w:jc w:val="left"/>
    </w:pPr>
    <w:r>
      <w:t xml:space="preserve">Vorgelegt von: </w:t>
    </w:r>
    <w:r>
      <w:br/>
      <w:t>Jonathan Heckert</w:t>
    </w:r>
    <w:r>
      <w:br/>
    </w:r>
    <w:r w:rsidR="00214469">
      <w:t>Böblinger Str. 59</w:t>
    </w:r>
    <w:r>
      <w:t>, 701</w:t>
    </w:r>
    <w:r w:rsidR="00214469">
      <w:t>99</w:t>
    </w:r>
    <w:r>
      <w:t xml:space="preserve"> Stuttgart</w:t>
    </w:r>
    <w:r>
      <w:br/>
    </w:r>
    <w:hyperlink r:id="rId1" w:history="1">
      <w:r w:rsidRPr="00032502">
        <w:rPr>
          <w:rStyle w:val="Hyperlink"/>
        </w:rPr>
        <w:t>Jonathan.Heckert@web.de</w:t>
      </w:r>
    </w:hyperlink>
    <w:r>
      <w:br/>
      <w:t>3732414</w:t>
    </w:r>
    <w:r>
      <w:br/>
      <w:t xml:space="preserve">Sozialwissenschaften B.A. </w:t>
    </w:r>
    <w:r w:rsidR="00201C72">
      <w:br/>
    </w:r>
    <w:r w:rsidR="00874290">
      <w:t>7</w:t>
    </w:r>
    <w:r>
      <w:t>. Fachsemester</w:t>
    </w:r>
    <w:r>
      <w:br/>
    </w:r>
    <w:r w:rsidR="00214469">
      <w:t>27</w:t>
    </w:r>
    <w:r>
      <w:t xml:space="preserve">. </w:t>
    </w:r>
    <w:r w:rsidR="00214469">
      <w:t>März</w:t>
    </w:r>
    <w:r>
      <w:t xml:space="preserve"> 202</w:t>
    </w:r>
    <w:r w:rsidR="00214469">
      <w:t>6</w:t>
    </w:r>
  </w:p>
  <w:p w14:paraId="39433C46" w14:textId="77777777" w:rsidR="001F45C3" w:rsidRDefault="001F45C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F71ACC" w14:textId="77777777" w:rsidR="00232055" w:rsidRDefault="00232055" w:rsidP="001F45C3">
      <w:pPr>
        <w:spacing w:after="0" w:line="240" w:lineRule="auto"/>
      </w:pPr>
      <w:r>
        <w:separator/>
      </w:r>
    </w:p>
  </w:footnote>
  <w:footnote w:type="continuationSeparator" w:id="0">
    <w:p w14:paraId="53437331" w14:textId="77777777" w:rsidR="00232055" w:rsidRDefault="00232055" w:rsidP="001F45C3">
      <w:pPr>
        <w:spacing w:after="0" w:line="240" w:lineRule="auto"/>
      </w:pPr>
      <w:r>
        <w:continuationSeparator/>
      </w:r>
    </w:p>
  </w:footnote>
  <w:footnote w:id="1">
    <w:p w14:paraId="1AA0E0F6" w14:textId="4F412A5F" w:rsidR="005D0B3A" w:rsidRPr="002D2B00" w:rsidRDefault="005D0B3A">
      <w:pPr>
        <w:pStyle w:val="Funotentext"/>
      </w:pPr>
      <w:r>
        <w:rPr>
          <w:rStyle w:val="Funotenzeichen"/>
        </w:rPr>
        <w:footnoteRef/>
      </w:r>
      <w:r>
        <w:t xml:space="preserve"> </w:t>
      </w:r>
      <w:r w:rsidR="002D2B00">
        <w:t xml:space="preserve">Im Verfahren </w:t>
      </w:r>
      <w:r w:rsidR="002D2B00">
        <w:rPr>
          <w:i/>
          <w:iCs/>
        </w:rPr>
        <w:t xml:space="preserve">Milieudefensie v. Shell </w:t>
      </w:r>
      <w:r w:rsidR="002D2B00">
        <w:t xml:space="preserve">hatte ein Den Haager Zivilgericht 2021 Shell zu einer drastischen Reduzierung seiner CO2-Emissionen </w:t>
      </w:r>
      <w:r w:rsidR="000315D0">
        <w:t>verpflichtet.</w:t>
      </w:r>
      <w:r w:rsidR="002D2B00">
        <w:t xml:space="preserve"> Das Urteil wurde allerdings 2024 in zweiter Instanz vom Den Haager Gerechtshof wieder aufgehoben</w:t>
      </w:r>
      <w:r w:rsidR="00A56591">
        <w:t xml:space="preserve"> </w:t>
      </w:r>
      <w:r w:rsidR="00A56591">
        <w:fldChar w:fldCharType="begin"/>
      </w:r>
      <w:r w:rsidR="00413D20">
        <w:instrText xml:space="preserve"> ADDIN ZOTERO_ITEM CSL_CITATION {"citationID":"w60BySQh","properties":{"formattedCitation":"(vgl. O\\uc0\\u160{}A 2024)","plainCitation":"(vgl. O A 2024)","dontUpdate":true,"noteIndex":1},"citationItems":[{"id":523,"uris":["http://zotero.org/users/16460357/items/4BQLSCNR"],"itemData":{"id":523,"type":"webpage","abstract":"Klimaschützer von Milieudefensie hatten den Energiekonzern Shell verklagt und 2021 recht bekommen. Nun aber kassiert das Berufungsgericht in Den Haag das historische Urteil: eine Niederlage für die Umweltorganisation.","container-title":"beck-aktuell.de","language":"de","title":"Klimaklage abgewiesen: Shell muss CO2-Ausstoß nicht um 45% senken","title-short":"Klimaklage abgewiesen","URL":"https://www.beck-aktuell.de/heute-im-recht/rechtsprechung/gerechtshof-den-haag-klimaklage-shell-co2-ausstoss-milieudefensie-2024-11-12","accessed":{"date-parts":[["2026",4,15]]},"issued":{"date-parts":[["2024",11,12]]}},"prefix":"vgl."}],"schema":"https://github.com/citation-style-language/schema/raw/master/csl-citation.json"} </w:instrText>
      </w:r>
      <w:r w:rsidR="00A56591">
        <w:fldChar w:fldCharType="separate"/>
      </w:r>
      <w:r w:rsidR="00A56591" w:rsidRPr="00A56591">
        <w:rPr>
          <w:rFonts w:cs="Times New Roman"/>
          <w:kern w:val="0"/>
        </w:rPr>
        <w:t xml:space="preserve">(vgl. </w:t>
      </w:r>
      <w:r w:rsidR="00A56591">
        <w:rPr>
          <w:rFonts w:cs="Times New Roman"/>
          <w:kern w:val="0"/>
        </w:rPr>
        <w:t xml:space="preserve">Beck Aktuell </w:t>
      </w:r>
      <w:r w:rsidR="00A56591" w:rsidRPr="00A56591">
        <w:rPr>
          <w:rFonts w:cs="Times New Roman"/>
          <w:kern w:val="0"/>
        </w:rPr>
        <w:t>2024)</w:t>
      </w:r>
      <w:r w:rsidR="00A56591">
        <w:fldChar w:fldCharType="end"/>
      </w:r>
      <w:r w:rsidR="00826C68">
        <w:t>.</w:t>
      </w:r>
    </w:p>
  </w:footnote>
  <w:footnote w:id="2">
    <w:p w14:paraId="6182160E" w14:textId="5680F812" w:rsidR="000315D0" w:rsidRPr="00826C68" w:rsidRDefault="000315D0">
      <w:pPr>
        <w:pStyle w:val="Funotentext"/>
      </w:pPr>
      <w:r>
        <w:rPr>
          <w:rStyle w:val="Funotenzeichen"/>
        </w:rPr>
        <w:footnoteRef/>
      </w:r>
      <w:r>
        <w:t xml:space="preserve"> </w:t>
      </w:r>
      <w:r w:rsidR="00826C68">
        <w:t xml:space="preserve">Im Fall </w:t>
      </w:r>
      <w:r w:rsidR="00826C68">
        <w:rPr>
          <w:i/>
          <w:iCs/>
        </w:rPr>
        <w:t xml:space="preserve">Lliuya v. RWE </w:t>
      </w:r>
      <w:r w:rsidR="00826C68">
        <w:t xml:space="preserve">hat das OLG Hamm 2025 festgestellt, dass große Emittenten dazu verpflichtet sind, von Risiken und Gefahren Betroffene weltweit vor der Klimakrise zu schützen. Das Gericht schuf damit einen Präzedenzfall für transnationale Klimahaftung und die Verantwortung einzelner Unternehmen </w:t>
      </w:r>
      <w:r w:rsidR="00826C68">
        <w:fldChar w:fldCharType="begin"/>
      </w:r>
      <w:r w:rsidR="00413D20">
        <w:instrText xml:space="preserve"> ADDIN ZOTERO_ITEM CSL_CITATION {"citationID":"dRBAcxCk","properties":{"formattedCitation":"(O\\uc0\\u160{}A 2025)","plainCitation":"(O A 2025)","dontUpdate":true,"noteIndex":2},"citationItems":[{"id":531,"uris":["http://zotero.org/users/16460357/items/WCM7ATAR"],"itemData":{"id":531,"type":"webpage","abstract":"Große Emittenten können für Klimarisiken haftbar gemacht werden!","container-title":"Germanwatch","language":"de","title":"Bahnbrechendes Urteil in der Klimaklage gegen RWE","URL":"https://www.germanwatch.org/de/bahnbrechendes-urteil-der-klimaklage-gegen-rwe","accessed":{"date-parts":[["2026",4,16]]},"issued":{"date-parts":[["2025",5,28]]}}}],"schema":"https://github.com/citation-style-language/schema/raw/master/csl-citation.json"} </w:instrText>
      </w:r>
      <w:r w:rsidR="00826C68">
        <w:fldChar w:fldCharType="separate"/>
      </w:r>
      <w:r w:rsidR="00826C68" w:rsidRPr="00826C68">
        <w:rPr>
          <w:rFonts w:cs="Times New Roman"/>
          <w:kern w:val="0"/>
        </w:rPr>
        <w:t>(</w:t>
      </w:r>
      <w:r w:rsidR="00826C68">
        <w:rPr>
          <w:rFonts w:cs="Times New Roman"/>
          <w:kern w:val="0"/>
        </w:rPr>
        <w:t>vgl. Germanwatch</w:t>
      </w:r>
      <w:r w:rsidR="00826C68" w:rsidRPr="00826C68">
        <w:rPr>
          <w:rFonts w:cs="Times New Roman"/>
          <w:kern w:val="0"/>
        </w:rPr>
        <w:t xml:space="preserve"> 2025)</w:t>
      </w:r>
      <w:r w:rsidR="00826C68">
        <w:fldChar w:fldCharType="end"/>
      </w:r>
      <w:r w:rsidR="00826C68">
        <w:t>.</w:t>
      </w:r>
    </w:p>
  </w:footnote>
  <w:footnote w:id="3">
    <w:p w14:paraId="5ECE080A" w14:textId="7A6D2DC4" w:rsidR="00DD72AB" w:rsidRDefault="00DD72AB">
      <w:pPr>
        <w:pStyle w:val="Funotentext"/>
      </w:pPr>
      <w:r>
        <w:rPr>
          <w:rStyle w:val="Funotenzeichen"/>
        </w:rPr>
        <w:footnoteRef/>
      </w:r>
      <w:r>
        <w:t xml:space="preserve"> 2024 entschied der Europäische Gerichtshof für Menschenrechte (EGMR), dass der Schweizer Staat die Menschenrechte der Klägerinnen durch unzureichenden Klimaschutz verletze. Dieses erste Urteil des EGMR zu Klimaschutzpflichten stärkt Klimaklagen auf europäischer Ebene massiv </w:t>
      </w:r>
      <w:r>
        <w:fldChar w:fldCharType="begin"/>
      </w:r>
      <w:r>
        <w:instrText xml:space="preserve"> ADDIN ZOTERO_ITEM CSL_CITATION {"citationID":"7sDOdVaw","properties":{"formattedCitation":"(vgl. Blattner 2024)","plainCitation":"(vgl. Blattner 2024)","noteIndex":3},"citationItems":[{"id":533,"uris":["http://zotero.org/users/16460357/items/6R4IITHH"],"itemData":{"id":533,"type":"article-journal","abstract":"Der Europäische Gerichtshof für Menschenrechte (EGMR) hat im Fall „KlimaSeniorinnen\" ein bemerkenswertes Urteil zugunsten einer lebenswerten Zukunft für alle gefällt. Vor allem in der Schweiz stieß das Urteil jedoch auf scharfe Kritik. Die Schweizer Volkspartei bezeichnete den Entscheid als „dreiste Einmischung fremder Richter\", der Aargauer Zeitung spricht von einer „Aushebelung der Demokratie\". Der Entscheid des EGMR – zumindest nach Schweizer Verständnis – wirft also zentrale Fragen der Gewaltenteilung und der Rolle der Justiz bei der Beurteilung von Menschenrechten auf.","container-title":"Verfassungsblog","DOI":"10.59704/a496df952c500707","ISSN":"2366-7044","language":"ger","license":"CC BY-SA 4.0","publisher":"Verfassungsblog","source":"verfassungsblog.de","title":"Warum das KlimaSeniorinnen-Urteil nicht undemokratisch ist","URL":"https://verfassungsblog.de/egmr-klimaseniorinnen-gewaltenteilung/","author":[{"family":"Blattner","given":"Charlotte"}],"accessed":{"date-parts":[["2026",4,16]]},"issued":{"date-parts":[["2024",6,25]]}},"prefix":"vgl."}],"schema":"https://github.com/citation-style-language/schema/raw/master/csl-citation.json"} </w:instrText>
      </w:r>
      <w:r>
        <w:fldChar w:fldCharType="separate"/>
      </w:r>
      <w:r>
        <w:rPr>
          <w:noProof/>
        </w:rPr>
        <w:t>(vgl. Blattner 2024)</w:t>
      </w:r>
      <w:r>
        <w:fldChar w:fldCharType="end"/>
      </w:r>
      <w:r>
        <w:t>.</w:t>
      </w:r>
    </w:p>
  </w:footnote>
  <w:footnote w:id="4">
    <w:p w14:paraId="2002F07D" w14:textId="27A8A940" w:rsidR="00A075F7" w:rsidRDefault="00A075F7">
      <w:pPr>
        <w:pStyle w:val="Funotentext"/>
      </w:pPr>
      <w:r>
        <w:rPr>
          <w:rStyle w:val="Funotenzeichen"/>
        </w:rPr>
        <w:footnoteRef/>
      </w:r>
      <w:r>
        <w:t xml:space="preserve"> </w:t>
      </w:r>
      <w:r w:rsidRPr="00A075F7">
        <w:t>Das Bundesverfassungsgericht erklärte</w:t>
      </w:r>
      <w:r>
        <w:t xml:space="preserve"> die 1992 </w:t>
      </w:r>
      <w:r w:rsidR="00956F70">
        <w:t xml:space="preserve">die </w:t>
      </w:r>
      <w:r>
        <w:t xml:space="preserve">vom Bundestag mit §218a </w:t>
      </w:r>
      <w:r w:rsidR="00956F70">
        <w:t xml:space="preserve">STGB </w:t>
      </w:r>
      <w:r>
        <w:t>beschlossene</w:t>
      </w:r>
      <w:r w:rsidRPr="00A075F7">
        <w:t xml:space="preserve"> Fristenlösung für verfassungswidrig und stellte klar, dass aus Art. 1 Abs. 1 i</w:t>
      </w:r>
      <w:r w:rsidR="00956F70">
        <w:t>n Verbindung mit</w:t>
      </w:r>
      <w:r w:rsidRPr="00A075F7">
        <w:t xml:space="preserve"> Art. 2 Abs. 2 S. 1 GG eine staatliche Pflicht zum Schutz des ungeborenen Lebens folgt, die ein grundsätzliches Verbot des Schwangerschaftsabbruchs erfordert</w:t>
      </w:r>
      <w:r w:rsidR="00AD44F9">
        <w:t xml:space="preserve"> </w:t>
      </w:r>
      <w:r w:rsidR="00AD44F9">
        <w:fldChar w:fldCharType="begin"/>
      </w:r>
      <w:r w:rsidR="00E0014F">
        <w:instrText xml:space="preserve"> ADDIN ZOTERO_ITEM CSL_CITATION {"citationID":"7kbfI93t","properties":{"formattedCitation":"(Sch\\uc0\\u252{}rmann 2020)","plainCitation":"(Schürmann 2020)","dontUpdate":true,"noteIndex":4},"citationItems":[{"id":559,"uris":["http://zotero.org/users/16460357/items/SJKV9DCU"],"itemData":{"id":559,"type":"article-journal","container-title":"Verfassungsblog","publisher":"Verfassungsblog","title":"Kompromiss auf Zeit: Das Abtreibungsrecht, der Bundestag und das Bundesverfassungsgericht","URL":"https://verfassungsblog.de/kompromiss-auf-zeit/","author":[{"family":"Schürmann","given":"Vera"}],"issued":{"date-parts":[["2020"]]}}}],"schema":"https://github.com/citation-style-language/schema/raw/master/csl-citation.json"} </w:instrText>
      </w:r>
      <w:r w:rsidR="00AD44F9">
        <w:fldChar w:fldCharType="separate"/>
      </w:r>
      <w:r w:rsidR="00AD44F9" w:rsidRPr="00AD44F9">
        <w:rPr>
          <w:rFonts w:cs="Times New Roman"/>
          <w:kern w:val="0"/>
        </w:rPr>
        <w:t>(</w:t>
      </w:r>
      <w:r w:rsidR="00AD44F9">
        <w:rPr>
          <w:rFonts w:cs="Times New Roman"/>
          <w:kern w:val="0"/>
        </w:rPr>
        <w:t xml:space="preserve">vgl. </w:t>
      </w:r>
      <w:r w:rsidR="00AD44F9" w:rsidRPr="00AD44F9">
        <w:rPr>
          <w:rFonts w:cs="Times New Roman"/>
          <w:kern w:val="0"/>
        </w:rPr>
        <w:t>Schürmann 2020)</w:t>
      </w:r>
      <w:r w:rsidR="00AD44F9">
        <w:fldChar w:fldCharType="end"/>
      </w:r>
      <w:r w:rsidR="00AD44F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017AC3" w14:textId="77777777" w:rsidR="001F45C3" w:rsidRDefault="001F45C3" w:rsidP="001F45C3">
    <w:pPr>
      <w:pStyle w:val="Hausarbeit"/>
      <w:spacing w:line="240" w:lineRule="auto"/>
    </w:pPr>
    <w:r>
      <w:t>Universität Stuttgart</w:t>
    </w:r>
  </w:p>
  <w:p w14:paraId="16CF5D1D" w14:textId="77777777" w:rsidR="001F45C3" w:rsidRDefault="001F45C3" w:rsidP="001F45C3">
    <w:pPr>
      <w:pStyle w:val="Hausarbeit"/>
      <w:spacing w:line="240" w:lineRule="auto"/>
    </w:pPr>
    <w:r>
      <w:t xml:space="preserve">Institut für Sozialwissenschaften </w:t>
    </w:r>
  </w:p>
  <w:p w14:paraId="2C33E5F2" w14:textId="4A61C3A7" w:rsidR="001F45C3" w:rsidRDefault="001F45C3" w:rsidP="001F45C3">
    <w:pPr>
      <w:pStyle w:val="Hausarbeit"/>
      <w:spacing w:line="240" w:lineRule="auto"/>
    </w:pPr>
    <w:r>
      <w:t xml:space="preserve">Abteilung für </w:t>
    </w:r>
    <w:r w:rsidR="00874290">
      <w:t>Technik- und Umweltsoziologie</w:t>
    </w:r>
  </w:p>
  <w:p w14:paraId="5E094888" w14:textId="4A9A8D00" w:rsidR="001F45C3" w:rsidRDefault="001F45C3" w:rsidP="001F45C3">
    <w:pPr>
      <w:pStyle w:val="Hausarbeit"/>
      <w:spacing w:line="240" w:lineRule="auto"/>
    </w:pPr>
    <w:r>
      <w:t xml:space="preserve">Seminar: </w:t>
    </w:r>
    <w:r w:rsidR="00874290">
      <w:t>Soziologie des Klimawandels</w:t>
    </w:r>
  </w:p>
  <w:p w14:paraId="25307E85" w14:textId="5E96C2C2" w:rsidR="001F45C3" w:rsidRDefault="001F45C3" w:rsidP="001F45C3">
    <w:pPr>
      <w:pStyle w:val="Hausarbeit"/>
      <w:spacing w:line="240" w:lineRule="auto"/>
    </w:pPr>
    <w:r>
      <w:t xml:space="preserve">Leitung: </w:t>
    </w:r>
    <w:r w:rsidR="00874290">
      <w:t>PD Dr. Marco Sonnberger</w:t>
    </w:r>
  </w:p>
  <w:p w14:paraId="50728A7C" w14:textId="036F7208" w:rsidR="001F45C3" w:rsidRDefault="001F45C3" w:rsidP="001F45C3">
    <w:pPr>
      <w:pStyle w:val="Hausarbeit"/>
      <w:spacing w:line="240" w:lineRule="auto"/>
    </w:pPr>
    <w:r>
      <w:t>Sommersemester 202</w:t>
    </w:r>
    <w:r w:rsidR="00874290">
      <w:t>6</w:t>
    </w:r>
  </w:p>
  <w:p w14:paraId="55378C8A" w14:textId="77777777" w:rsidR="001F45C3" w:rsidRDefault="001F45C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F692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8E3B9C"/>
    <w:multiLevelType w:val="multilevel"/>
    <w:tmpl w:val="459864CC"/>
    <w:lvl w:ilvl="0">
      <w:start w:val="1"/>
      <w:numFmt w:val="ordin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num w:numId="1" w16cid:durableId="1065298853">
    <w:abstractNumId w:val="0"/>
  </w:num>
  <w:num w:numId="2" w16cid:durableId="18847522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290"/>
    <w:rsid w:val="000315D0"/>
    <w:rsid w:val="00031E94"/>
    <w:rsid w:val="00071910"/>
    <w:rsid w:val="000A34B4"/>
    <w:rsid w:val="000C1EEF"/>
    <w:rsid w:val="000E48C0"/>
    <w:rsid w:val="000E715D"/>
    <w:rsid w:val="000F1774"/>
    <w:rsid w:val="00110871"/>
    <w:rsid w:val="00150DA8"/>
    <w:rsid w:val="001D220E"/>
    <w:rsid w:val="001E2CB4"/>
    <w:rsid w:val="001E4CA8"/>
    <w:rsid w:val="001E74C6"/>
    <w:rsid w:val="001F45C3"/>
    <w:rsid w:val="001F50C9"/>
    <w:rsid w:val="00201C72"/>
    <w:rsid w:val="0021280E"/>
    <w:rsid w:val="00214469"/>
    <w:rsid w:val="00232055"/>
    <w:rsid w:val="00240206"/>
    <w:rsid w:val="00261335"/>
    <w:rsid w:val="00270FB5"/>
    <w:rsid w:val="002729F2"/>
    <w:rsid w:val="00280A51"/>
    <w:rsid w:val="002B4E71"/>
    <w:rsid w:val="002B64A2"/>
    <w:rsid w:val="002D2B00"/>
    <w:rsid w:val="002E2C26"/>
    <w:rsid w:val="002E6124"/>
    <w:rsid w:val="002F1638"/>
    <w:rsid w:val="002F4F05"/>
    <w:rsid w:val="00312093"/>
    <w:rsid w:val="00313EFB"/>
    <w:rsid w:val="0032302A"/>
    <w:rsid w:val="00367831"/>
    <w:rsid w:val="00374676"/>
    <w:rsid w:val="00376711"/>
    <w:rsid w:val="00391C6A"/>
    <w:rsid w:val="00393E83"/>
    <w:rsid w:val="003A13EB"/>
    <w:rsid w:val="003D31DB"/>
    <w:rsid w:val="003D4DE7"/>
    <w:rsid w:val="003E5BCF"/>
    <w:rsid w:val="003F43D7"/>
    <w:rsid w:val="00401AF0"/>
    <w:rsid w:val="00413D20"/>
    <w:rsid w:val="00424526"/>
    <w:rsid w:val="00440DE9"/>
    <w:rsid w:val="0048258B"/>
    <w:rsid w:val="0048275A"/>
    <w:rsid w:val="00487E63"/>
    <w:rsid w:val="004C2980"/>
    <w:rsid w:val="004E11C8"/>
    <w:rsid w:val="0051383A"/>
    <w:rsid w:val="0052501E"/>
    <w:rsid w:val="00526E7B"/>
    <w:rsid w:val="005772BB"/>
    <w:rsid w:val="005829D2"/>
    <w:rsid w:val="00584666"/>
    <w:rsid w:val="005952F9"/>
    <w:rsid w:val="00595B22"/>
    <w:rsid w:val="005A35DE"/>
    <w:rsid w:val="005A6955"/>
    <w:rsid w:val="005D0B3A"/>
    <w:rsid w:val="005D14EE"/>
    <w:rsid w:val="006104A2"/>
    <w:rsid w:val="0062517A"/>
    <w:rsid w:val="00681E72"/>
    <w:rsid w:val="00685184"/>
    <w:rsid w:val="006E4EAB"/>
    <w:rsid w:val="00704E43"/>
    <w:rsid w:val="00724328"/>
    <w:rsid w:val="007373B7"/>
    <w:rsid w:val="0078367F"/>
    <w:rsid w:val="0078582F"/>
    <w:rsid w:val="007C6E27"/>
    <w:rsid w:val="007E77EF"/>
    <w:rsid w:val="007F5E9F"/>
    <w:rsid w:val="008258B0"/>
    <w:rsid w:val="00826C68"/>
    <w:rsid w:val="00832BDC"/>
    <w:rsid w:val="00843217"/>
    <w:rsid w:val="00874290"/>
    <w:rsid w:val="008961C5"/>
    <w:rsid w:val="008B494A"/>
    <w:rsid w:val="009010D9"/>
    <w:rsid w:val="00956F70"/>
    <w:rsid w:val="0096171C"/>
    <w:rsid w:val="0097070F"/>
    <w:rsid w:val="00984C9C"/>
    <w:rsid w:val="009E35A5"/>
    <w:rsid w:val="00A075F7"/>
    <w:rsid w:val="00A12224"/>
    <w:rsid w:val="00A12CA3"/>
    <w:rsid w:val="00A228E8"/>
    <w:rsid w:val="00A24E3D"/>
    <w:rsid w:val="00A56591"/>
    <w:rsid w:val="00A74C62"/>
    <w:rsid w:val="00A7618E"/>
    <w:rsid w:val="00A91ABE"/>
    <w:rsid w:val="00A93D81"/>
    <w:rsid w:val="00AC407A"/>
    <w:rsid w:val="00AD1FBB"/>
    <w:rsid w:val="00AD44F9"/>
    <w:rsid w:val="00AE78A0"/>
    <w:rsid w:val="00AF2806"/>
    <w:rsid w:val="00AF49DB"/>
    <w:rsid w:val="00AF6BAD"/>
    <w:rsid w:val="00B0505F"/>
    <w:rsid w:val="00B07EC8"/>
    <w:rsid w:val="00B408CD"/>
    <w:rsid w:val="00B572E6"/>
    <w:rsid w:val="00B7067F"/>
    <w:rsid w:val="00BD7A14"/>
    <w:rsid w:val="00BE0052"/>
    <w:rsid w:val="00BE5B7F"/>
    <w:rsid w:val="00BE783C"/>
    <w:rsid w:val="00C11A32"/>
    <w:rsid w:val="00C13EEC"/>
    <w:rsid w:val="00C521A5"/>
    <w:rsid w:val="00C60FE2"/>
    <w:rsid w:val="00C8457F"/>
    <w:rsid w:val="00CB4A7A"/>
    <w:rsid w:val="00D31E5C"/>
    <w:rsid w:val="00D80541"/>
    <w:rsid w:val="00D837A9"/>
    <w:rsid w:val="00D9114D"/>
    <w:rsid w:val="00D96693"/>
    <w:rsid w:val="00DA58DB"/>
    <w:rsid w:val="00DB0D76"/>
    <w:rsid w:val="00DC39F5"/>
    <w:rsid w:val="00DD3A2A"/>
    <w:rsid w:val="00DD72AB"/>
    <w:rsid w:val="00DE6BE1"/>
    <w:rsid w:val="00E0014F"/>
    <w:rsid w:val="00E1558A"/>
    <w:rsid w:val="00E27BF8"/>
    <w:rsid w:val="00E45BBB"/>
    <w:rsid w:val="00E65DBC"/>
    <w:rsid w:val="00E70C00"/>
    <w:rsid w:val="00E82E7E"/>
    <w:rsid w:val="00E93E5A"/>
    <w:rsid w:val="00ED41CF"/>
    <w:rsid w:val="00ED6DA9"/>
    <w:rsid w:val="00EE6068"/>
    <w:rsid w:val="00EF2DA9"/>
    <w:rsid w:val="00EF4676"/>
    <w:rsid w:val="00EF5843"/>
    <w:rsid w:val="00EF5D36"/>
    <w:rsid w:val="00F16F52"/>
    <w:rsid w:val="00F40026"/>
    <w:rsid w:val="00F752E1"/>
    <w:rsid w:val="00FA1011"/>
    <w:rsid w:val="00FA427B"/>
    <w:rsid w:val="00FE2643"/>
    <w:rsid w:val="00FF00AA"/>
    <w:rsid w:val="00FF5F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EF7D"/>
  <w15:chartTrackingRefBased/>
  <w15:docId w15:val="{46A95205-01E1-1C4B-9613-71549A409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80541"/>
    <w:pPr>
      <w:spacing w:line="360" w:lineRule="auto"/>
      <w:jc w:val="both"/>
    </w:pPr>
    <w:rPr>
      <w:rFonts w:ascii="Times New Roman" w:hAnsi="Times New Roman"/>
    </w:rPr>
  </w:style>
  <w:style w:type="paragraph" w:styleId="berschrift1">
    <w:name w:val="heading 1"/>
    <w:basedOn w:val="Standard"/>
    <w:next w:val="Standard"/>
    <w:link w:val="berschrift1Zchn"/>
    <w:uiPriority w:val="9"/>
    <w:qFormat/>
    <w:rsid w:val="00393E83"/>
    <w:pPr>
      <w:keepNext/>
      <w:keepLines/>
      <w:numPr>
        <w:numId w:val="2"/>
      </w:numPr>
      <w:spacing w:before="360" w:after="8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393E83"/>
    <w:pPr>
      <w:keepNext/>
      <w:keepLines/>
      <w:numPr>
        <w:ilvl w:val="1"/>
        <w:numId w:val="2"/>
      </w:numPr>
      <w:spacing w:before="160" w:after="80"/>
      <w:outlineLvl w:val="1"/>
    </w:pPr>
    <w:rPr>
      <w:rFonts w:eastAsiaTheme="majorEastAsia" w:cstheme="majorBidi"/>
      <w:color w:val="000000" w:themeColor="text1"/>
      <w:sz w:val="28"/>
      <w:szCs w:val="32"/>
    </w:rPr>
  </w:style>
  <w:style w:type="paragraph" w:styleId="berschrift3">
    <w:name w:val="heading 3"/>
    <w:basedOn w:val="Standard"/>
    <w:next w:val="Standard"/>
    <w:link w:val="berschrift3Zchn"/>
    <w:uiPriority w:val="9"/>
    <w:unhideWhenUsed/>
    <w:qFormat/>
    <w:rsid w:val="00214469"/>
    <w:pPr>
      <w:keepNext/>
      <w:keepLines/>
      <w:numPr>
        <w:ilvl w:val="2"/>
        <w:numId w:val="2"/>
      </w:numPr>
      <w:spacing w:before="160" w:after="80"/>
      <w:outlineLvl w:val="2"/>
    </w:pPr>
    <w:rPr>
      <w:rFonts w:eastAsiaTheme="majorEastAsia" w:cstheme="majorBidi"/>
      <w:color w:val="000000" w:themeColor="text1"/>
      <w:sz w:val="28"/>
      <w:szCs w:val="28"/>
    </w:rPr>
  </w:style>
  <w:style w:type="paragraph" w:styleId="berschrift4">
    <w:name w:val="heading 4"/>
    <w:basedOn w:val="Standard"/>
    <w:next w:val="Standard"/>
    <w:link w:val="berschrift4Zchn"/>
    <w:uiPriority w:val="9"/>
    <w:semiHidden/>
    <w:unhideWhenUsed/>
    <w:qFormat/>
    <w:rsid w:val="00393E83"/>
    <w:pPr>
      <w:keepNext/>
      <w:keepLines/>
      <w:numPr>
        <w:ilvl w:val="3"/>
        <w:numId w:val="2"/>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93E83"/>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93E83"/>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93E83"/>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93E83"/>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93E83"/>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3E83"/>
    <w:rPr>
      <w:rFonts w:ascii="Times New Roman" w:eastAsiaTheme="majorEastAsia" w:hAnsi="Times New Roman" w:cstheme="majorBidi"/>
      <w:color w:val="000000" w:themeColor="text1"/>
      <w:sz w:val="32"/>
      <w:szCs w:val="40"/>
    </w:rPr>
  </w:style>
  <w:style w:type="character" w:customStyle="1" w:styleId="berschrift2Zchn">
    <w:name w:val="Überschrift 2 Zchn"/>
    <w:basedOn w:val="Absatz-Standardschriftart"/>
    <w:link w:val="berschrift2"/>
    <w:uiPriority w:val="9"/>
    <w:rsid w:val="00393E83"/>
    <w:rPr>
      <w:rFonts w:ascii="Times New Roman" w:eastAsiaTheme="majorEastAsia" w:hAnsi="Times New Roman" w:cstheme="majorBidi"/>
      <w:color w:val="000000" w:themeColor="text1"/>
      <w:sz w:val="28"/>
      <w:szCs w:val="32"/>
    </w:rPr>
  </w:style>
  <w:style w:type="character" w:customStyle="1" w:styleId="berschrift3Zchn">
    <w:name w:val="Überschrift 3 Zchn"/>
    <w:basedOn w:val="Absatz-Standardschriftart"/>
    <w:link w:val="berschrift3"/>
    <w:uiPriority w:val="9"/>
    <w:rsid w:val="00214469"/>
    <w:rPr>
      <w:rFonts w:ascii="Times New Roman" w:eastAsiaTheme="majorEastAsia" w:hAnsi="Times New Roman" w:cstheme="majorBidi"/>
      <w:color w:val="000000" w:themeColor="text1"/>
      <w:sz w:val="28"/>
      <w:szCs w:val="28"/>
    </w:rPr>
  </w:style>
  <w:style w:type="character" w:customStyle="1" w:styleId="berschrift4Zchn">
    <w:name w:val="Überschrift 4 Zchn"/>
    <w:basedOn w:val="Absatz-Standardschriftart"/>
    <w:link w:val="berschrift4"/>
    <w:uiPriority w:val="9"/>
    <w:semiHidden/>
    <w:rsid w:val="00393E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93E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93E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93E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93E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93E83"/>
    <w:rPr>
      <w:rFonts w:eastAsiaTheme="majorEastAsia" w:cstheme="majorBidi"/>
      <w:color w:val="272727" w:themeColor="text1" w:themeTint="D8"/>
    </w:rPr>
  </w:style>
  <w:style w:type="paragraph" w:styleId="Titel">
    <w:name w:val="Title"/>
    <w:basedOn w:val="Standard"/>
    <w:next w:val="Standard"/>
    <w:link w:val="TitelZchn"/>
    <w:uiPriority w:val="10"/>
    <w:qFormat/>
    <w:rsid w:val="001F45C3"/>
    <w:pPr>
      <w:spacing w:after="80" w:line="240" w:lineRule="auto"/>
      <w:contextualSpacing/>
      <w:jc w:val="center"/>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1F45C3"/>
    <w:rPr>
      <w:rFonts w:ascii="Times New Roman" w:eastAsiaTheme="majorEastAsia" w:hAnsi="Times New Roman" w:cstheme="majorBidi"/>
      <w:spacing w:val="-10"/>
      <w:kern w:val="28"/>
      <w:sz w:val="56"/>
      <w:szCs w:val="56"/>
    </w:rPr>
  </w:style>
  <w:style w:type="paragraph" w:styleId="Untertitel">
    <w:name w:val="Subtitle"/>
    <w:basedOn w:val="Standard"/>
    <w:next w:val="Standard"/>
    <w:link w:val="UntertitelZchn"/>
    <w:uiPriority w:val="11"/>
    <w:qFormat/>
    <w:rsid w:val="00874290"/>
    <w:pPr>
      <w:numPr>
        <w:ilvl w:val="1"/>
      </w:numPr>
      <w:jc w:val="center"/>
    </w:pPr>
    <w:rPr>
      <w:rFonts w:eastAsiaTheme="majorEastAsia" w:cstheme="majorBidi"/>
      <w:color w:val="000000" w:themeColor="text1"/>
      <w:spacing w:val="15"/>
      <w:sz w:val="28"/>
      <w:szCs w:val="28"/>
    </w:rPr>
  </w:style>
  <w:style w:type="character" w:customStyle="1" w:styleId="UntertitelZchn">
    <w:name w:val="Untertitel Zchn"/>
    <w:basedOn w:val="Absatz-Standardschriftart"/>
    <w:link w:val="Untertitel"/>
    <w:uiPriority w:val="11"/>
    <w:rsid w:val="00874290"/>
    <w:rPr>
      <w:rFonts w:ascii="Times New Roman" w:eastAsiaTheme="majorEastAsia" w:hAnsi="Times New Roman" w:cstheme="majorBidi"/>
      <w:color w:val="000000" w:themeColor="text1"/>
      <w:spacing w:val="15"/>
      <w:sz w:val="28"/>
      <w:szCs w:val="28"/>
    </w:rPr>
  </w:style>
  <w:style w:type="paragraph" w:styleId="Zitat">
    <w:name w:val="Quote"/>
    <w:basedOn w:val="Standard"/>
    <w:next w:val="Standard"/>
    <w:link w:val="ZitatZchn"/>
    <w:uiPriority w:val="29"/>
    <w:qFormat/>
    <w:rsid w:val="00393E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93E83"/>
    <w:rPr>
      <w:i/>
      <w:iCs/>
      <w:color w:val="404040" w:themeColor="text1" w:themeTint="BF"/>
    </w:rPr>
  </w:style>
  <w:style w:type="paragraph" w:styleId="Listenabsatz">
    <w:name w:val="List Paragraph"/>
    <w:basedOn w:val="Standard"/>
    <w:uiPriority w:val="34"/>
    <w:qFormat/>
    <w:rsid w:val="00393E83"/>
    <w:pPr>
      <w:ind w:left="720"/>
      <w:contextualSpacing/>
    </w:pPr>
  </w:style>
  <w:style w:type="character" w:styleId="IntensiveHervorhebung">
    <w:name w:val="Intense Emphasis"/>
    <w:basedOn w:val="Absatz-Standardschriftart"/>
    <w:uiPriority w:val="21"/>
    <w:qFormat/>
    <w:rsid w:val="00393E83"/>
    <w:rPr>
      <w:i/>
      <w:iCs/>
      <w:color w:val="0F4761" w:themeColor="accent1" w:themeShade="BF"/>
    </w:rPr>
  </w:style>
  <w:style w:type="paragraph" w:styleId="IntensivesZitat">
    <w:name w:val="Intense Quote"/>
    <w:basedOn w:val="Standard"/>
    <w:next w:val="Standard"/>
    <w:link w:val="IntensivesZitatZchn"/>
    <w:uiPriority w:val="30"/>
    <w:qFormat/>
    <w:rsid w:val="00393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93E83"/>
    <w:rPr>
      <w:i/>
      <w:iCs/>
      <w:color w:val="0F4761" w:themeColor="accent1" w:themeShade="BF"/>
    </w:rPr>
  </w:style>
  <w:style w:type="character" w:styleId="IntensiverVerweis">
    <w:name w:val="Intense Reference"/>
    <w:basedOn w:val="Absatz-Standardschriftart"/>
    <w:uiPriority w:val="32"/>
    <w:qFormat/>
    <w:rsid w:val="00393E83"/>
    <w:rPr>
      <w:b/>
      <w:bCs/>
      <w:smallCaps/>
      <w:color w:val="0F4761" w:themeColor="accent1" w:themeShade="BF"/>
      <w:spacing w:val="5"/>
    </w:rPr>
  </w:style>
  <w:style w:type="paragraph" w:customStyle="1" w:styleId="Hausarbeit">
    <w:name w:val="Hausarbeit"/>
    <w:basedOn w:val="Standard"/>
    <w:link w:val="HausarbeitZchn"/>
    <w:qFormat/>
    <w:rsid w:val="006E4EAB"/>
    <w:pPr>
      <w:spacing w:after="0"/>
    </w:pPr>
  </w:style>
  <w:style w:type="character" w:customStyle="1" w:styleId="HausarbeitZchn">
    <w:name w:val="Hausarbeit Zchn"/>
    <w:basedOn w:val="Absatz-Standardschriftart"/>
    <w:link w:val="Hausarbeit"/>
    <w:rsid w:val="006E4EAB"/>
    <w:rPr>
      <w:rFonts w:ascii="Times New Roman" w:hAnsi="Times New Roman"/>
    </w:rPr>
  </w:style>
  <w:style w:type="character" w:styleId="Hyperlink">
    <w:name w:val="Hyperlink"/>
    <w:basedOn w:val="Absatz-Standardschriftart"/>
    <w:uiPriority w:val="99"/>
    <w:unhideWhenUsed/>
    <w:rsid w:val="006E4EAB"/>
    <w:rPr>
      <w:color w:val="467886" w:themeColor="hyperlink"/>
      <w:u w:val="single"/>
    </w:rPr>
  </w:style>
  <w:style w:type="character" w:styleId="NichtaufgelsteErwhnung">
    <w:name w:val="Unresolved Mention"/>
    <w:basedOn w:val="Absatz-Standardschriftart"/>
    <w:uiPriority w:val="99"/>
    <w:semiHidden/>
    <w:unhideWhenUsed/>
    <w:rsid w:val="006E4EAB"/>
    <w:rPr>
      <w:color w:val="605E5C"/>
      <w:shd w:val="clear" w:color="auto" w:fill="E1DFDD"/>
    </w:rPr>
  </w:style>
  <w:style w:type="character" w:styleId="BesuchterLink">
    <w:name w:val="FollowedHyperlink"/>
    <w:basedOn w:val="Absatz-Standardschriftart"/>
    <w:uiPriority w:val="99"/>
    <w:semiHidden/>
    <w:unhideWhenUsed/>
    <w:rsid w:val="001F45C3"/>
    <w:rPr>
      <w:color w:val="96607D" w:themeColor="followedHyperlink"/>
      <w:u w:val="single"/>
    </w:rPr>
  </w:style>
  <w:style w:type="paragraph" w:styleId="Kopfzeile">
    <w:name w:val="header"/>
    <w:basedOn w:val="Standard"/>
    <w:link w:val="KopfzeileZchn"/>
    <w:uiPriority w:val="99"/>
    <w:unhideWhenUsed/>
    <w:rsid w:val="001F45C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F45C3"/>
    <w:rPr>
      <w:rFonts w:ascii="Times New Roman" w:hAnsi="Times New Roman"/>
    </w:rPr>
  </w:style>
  <w:style w:type="paragraph" w:styleId="Fuzeile">
    <w:name w:val="footer"/>
    <w:basedOn w:val="Standard"/>
    <w:link w:val="FuzeileZchn"/>
    <w:uiPriority w:val="99"/>
    <w:unhideWhenUsed/>
    <w:rsid w:val="001F45C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F45C3"/>
    <w:rPr>
      <w:rFonts w:ascii="Times New Roman" w:hAnsi="Times New Roman"/>
    </w:rPr>
  </w:style>
  <w:style w:type="paragraph" w:styleId="Inhaltsverzeichnisberschrift">
    <w:name w:val="TOC Heading"/>
    <w:basedOn w:val="berschrift1"/>
    <w:next w:val="Standard"/>
    <w:uiPriority w:val="39"/>
    <w:unhideWhenUsed/>
    <w:qFormat/>
    <w:rsid w:val="00DD72AB"/>
    <w:pPr>
      <w:spacing w:before="480" w:after="0" w:line="276" w:lineRule="auto"/>
      <w:jc w:val="left"/>
      <w:outlineLvl w:val="9"/>
    </w:pPr>
    <w:rPr>
      <w:b/>
      <w:bCs/>
      <w:kern w:val="0"/>
      <w:sz w:val="28"/>
      <w:szCs w:val="28"/>
      <w:lang w:eastAsia="de-DE"/>
      <w14:ligatures w14:val="none"/>
    </w:rPr>
  </w:style>
  <w:style w:type="paragraph" w:styleId="Verzeichnis1">
    <w:name w:val="toc 1"/>
    <w:basedOn w:val="Standard"/>
    <w:next w:val="Standard"/>
    <w:autoRedefine/>
    <w:uiPriority w:val="39"/>
    <w:unhideWhenUsed/>
    <w:rsid w:val="002F4F05"/>
    <w:pPr>
      <w:spacing w:before="240" w:after="120"/>
      <w:jc w:val="left"/>
    </w:pPr>
    <w:rPr>
      <w:b/>
      <w:bCs/>
      <w:color w:val="000000" w:themeColor="text1"/>
      <w:sz w:val="22"/>
      <w:szCs w:val="20"/>
    </w:rPr>
  </w:style>
  <w:style w:type="paragraph" w:styleId="Verzeichnis2">
    <w:name w:val="toc 2"/>
    <w:basedOn w:val="Standard"/>
    <w:next w:val="Standard"/>
    <w:autoRedefine/>
    <w:uiPriority w:val="39"/>
    <w:unhideWhenUsed/>
    <w:rsid w:val="002F4F05"/>
    <w:pPr>
      <w:spacing w:before="120" w:after="0"/>
      <w:ind w:left="240"/>
      <w:jc w:val="left"/>
    </w:pPr>
    <w:rPr>
      <w:iCs/>
      <w:color w:val="000000" w:themeColor="text1"/>
      <w:sz w:val="20"/>
      <w:szCs w:val="20"/>
    </w:rPr>
  </w:style>
  <w:style w:type="paragraph" w:styleId="Verzeichnis3">
    <w:name w:val="toc 3"/>
    <w:basedOn w:val="Standard"/>
    <w:next w:val="Standard"/>
    <w:autoRedefine/>
    <w:uiPriority w:val="39"/>
    <w:unhideWhenUsed/>
    <w:rsid w:val="002F4F05"/>
    <w:pPr>
      <w:spacing w:after="0"/>
      <w:ind w:left="480"/>
      <w:jc w:val="left"/>
    </w:pPr>
    <w:rPr>
      <w:sz w:val="20"/>
      <w:szCs w:val="20"/>
    </w:rPr>
  </w:style>
  <w:style w:type="paragraph" w:styleId="Verzeichnis4">
    <w:name w:val="toc 4"/>
    <w:basedOn w:val="Standard"/>
    <w:next w:val="Standard"/>
    <w:autoRedefine/>
    <w:uiPriority w:val="39"/>
    <w:semiHidden/>
    <w:unhideWhenUsed/>
    <w:rsid w:val="00214469"/>
    <w:pPr>
      <w:spacing w:after="0"/>
      <w:ind w:left="720"/>
      <w:jc w:val="left"/>
    </w:pPr>
    <w:rPr>
      <w:rFonts w:asciiTheme="minorHAnsi" w:hAnsiTheme="minorHAnsi"/>
      <w:sz w:val="20"/>
      <w:szCs w:val="20"/>
    </w:rPr>
  </w:style>
  <w:style w:type="paragraph" w:styleId="Verzeichnis5">
    <w:name w:val="toc 5"/>
    <w:basedOn w:val="Standard"/>
    <w:next w:val="Standard"/>
    <w:autoRedefine/>
    <w:uiPriority w:val="39"/>
    <w:semiHidden/>
    <w:unhideWhenUsed/>
    <w:rsid w:val="00214469"/>
    <w:pPr>
      <w:spacing w:after="0"/>
      <w:ind w:left="960"/>
      <w:jc w:val="left"/>
    </w:pPr>
    <w:rPr>
      <w:rFonts w:asciiTheme="minorHAnsi" w:hAnsiTheme="minorHAnsi"/>
      <w:sz w:val="20"/>
      <w:szCs w:val="20"/>
    </w:rPr>
  </w:style>
  <w:style w:type="paragraph" w:styleId="Verzeichnis6">
    <w:name w:val="toc 6"/>
    <w:basedOn w:val="Standard"/>
    <w:next w:val="Standard"/>
    <w:autoRedefine/>
    <w:uiPriority w:val="39"/>
    <w:semiHidden/>
    <w:unhideWhenUsed/>
    <w:rsid w:val="00214469"/>
    <w:pPr>
      <w:spacing w:after="0"/>
      <w:ind w:left="1200"/>
      <w:jc w:val="left"/>
    </w:pPr>
    <w:rPr>
      <w:rFonts w:asciiTheme="minorHAnsi" w:hAnsiTheme="minorHAnsi"/>
      <w:sz w:val="20"/>
      <w:szCs w:val="20"/>
    </w:rPr>
  </w:style>
  <w:style w:type="paragraph" w:styleId="Verzeichnis7">
    <w:name w:val="toc 7"/>
    <w:basedOn w:val="Standard"/>
    <w:next w:val="Standard"/>
    <w:autoRedefine/>
    <w:uiPriority w:val="39"/>
    <w:semiHidden/>
    <w:unhideWhenUsed/>
    <w:rsid w:val="00214469"/>
    <w:pPr>
      <w:spacing w:after="0"/>
      <w:ind w:left="1440"/>
      <w:jc w:val="left"/>
    </w:pPr>
    <w:rPr>
      <w:rFonts w:asciiTheme="minorHAnsi" w:hAnsiTheme="minorHAnsi"/>
      <w:sz w:val="20"/>
      <w:szCs w:val="20"/>
    </w:rPr>
  </w:style>
  <w:style w:type="paragraph" w:styleId="Verzeichnis8">
    <w:name w:val="toc 8"/>
    <w:basedOn w:val="Standard"/>
    <w:next w:val="Standard"/>
    <w:autoRedefine/>
    <w:uiPriority w:val="39"/>
    <w:semiHidden/>
    <w:unhideWhenUsed/>
    <w:rsid w:val="00214469"/>
    <w:pPr>
      <w:spacing w:after="0"/>
      <w:ind w:left="1680"/>
      <w:jc w:val="left"/>
    </w:pPr>
    <w:rPr>
      <w:rFonts w:asciiTheme="minorHAnsi" w:hAnsiTheme="minorHAnsi"/>
      <w:sz w:val="20"/>
      <w:szCs w:val="20"/>
    </w:rPr>
  </w:style>
  <w:style w:type="paragraph" w:styleId="Verzeichnis9">
    <w:name w:val="toc 9"/>
    <w:basedOn w:val="Standard"/>
    <w:next w:val="Standard"/>
    <w:autoRedefine/>
    <w:uiPriority w:val="39"/>
    <w:semiHidden/>
    <w:unhideWhenUsed/>
    <w:rsid w:val="00214469"/>
    <w:pPr>
      <w:spacing w:after="0"/>
      <w:ind w:left="1920"/>
      <w:jc w:val="left"/>
    </w:pPr>
    <w:rPr>
      <w:rFonts w:asciiTheme="minorHAnsi" w:hAnsiTheme="minorHAnsi"/>
      <w:sz w:val="20"/>
      <w:szCs w:val="20"/>
    </w:rPr>
  </w:style>
  <w:style w:type="character" w:styleId="Seitenzahl">
    <w:name w:val="page number"/>
    <w:basedOn w:val="Absatz-Standardschriftart"/>
    <w:uiPriority w:val="99"/>
    <w:semiHidden/>
    <w:unhideWhenUsed/>
    <w:rsid w:val="0051383A"/>
  </w:style>
  <w:style w:type="paragraph" w:styleId="Funotentext">
    <w:name w:val="footnote text"/>
    <w:basedOn w:val="Standard"/>
    <w:link w:val="FunotentextZchn"/>
    <w:uiPriority w:val="99"/>
    <w:semiHidden/>
    <w:unhideWhenUsed/>
    <w:rsid w:val="00DD72AB"/>
    <w:pPr>
      <w:keepNext/>
      <w:spacing w:after="0" w:line="240" w:lineRule="auto"/>
    </w:pPr>
    <w:rPr>
      <w:sz w:val="20"/>
      <w:szCs w:val="20"/>
    </w:rPr>
  </w:style>
  <w:style w:type="character" w:customStyle="1" w:styleId="FunotentextZchn">
    <w:name w:val="Fußnotentext Zchn"/>
    <w:basedOn w:val="Absatz-Standardschriftart"/>
    <w:link w:val="Funotentext"/>
    <w:uiPriority w:val="99"/>
    <w:semiHidden/>
    <w:rsid w:val="00DD72AB"/>
    <w:rPr>
      <w:rFonts w:ascii="Times New Roman" w:hAnsi="Times New Roman"/>
      <w:sz w:val="20"/>
      <w:szCs w:val="20"/>
    </w:rPr>
  </w:style>
  <w:style w:type="character" w:styleId="Funotenzeichen">
    <w:name w:val="footnote reference"/>
    <w:basedOn w:val="Absatz-Standardschriftart"/>
    <w:uiPriority w:val="99"/>
    <w:semiHidden/>
    <w:unhideWhenUsed/>
    <w:rsid w:val="005D0B3A"/>
    <w:rPr>
      <w:vertAlign w:val="superscript"/>
    </w:rPr>
  </w:style>
  <w:style w:type="paragraph" w:styleId="Literaturverzeichnis">
    <w:name w:val="Bibliography"/>
    <w:basedOn w:val="Standard"/>
    <w:next w:val="Standard"/>
    <w:uiPriority w:val="37"/>
    <w:unhideWhenUsed/>
    <w:rsid w:val="0048258B"/>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hyperlink" Target="mailto:Jonathan.Heckert@web.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heckert/Library/Group%20Containers/UBF8T346G9.Office/User%20Content.localized/Templates.localized/Haus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DBDE0-81E3-D146-8E88-BB6998079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Hausarbeit.dotx</Template>
  <TotalTime>0</TotalTime>
  <Pages>13</Pages>
  <Words>5895</Words>
  <Characters>37142</Characters>
  <Application>Microsoft Office Word</Application>
  <DocSecurity>0</DocSecurity>
  <Lines>309</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Jonathan Heckert</cp:lastModifiedBy>
  <cp:revision>101</cp:revision>
  <dcterms:created xsi:type="dcterms:W3CDTF">2026-04-14T12:47:00Z</dcterms:created>
  <dcterms:modified xsi:type="dcterms:W3CDTF">2026-07-08T13:16:00Z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id="AOlGMeS0"/&gt;&lt;style id="http://www.zotero.org/styles/politische-vierteljahresschrift" locale="de-DE"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