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CD420" w14:textId="77777777" w:rsidR="005D7B22" w:rsidRDefault="00851789" w:rsidP="00564207">
      <w:pPr>
        <w:pStyle w:val="Heading1"/>
      </w:pPr>
      <w:r>
        <w:t xml:space="preserve">Multiple </w:t>
      </w:r>
      <w:r w:rsidR="00564207">
        <w:t xml:space="preserve">Imputation of Data Below Limits of Detection in Environmental Exposure Mixtures: </w:t>
      </w:r>
    </w:p>
    <w:p w14:paraId="1C3C498F" w14:textId="3E74E9DF" w:rsidR="00564207" w:rsidRDefault="00851789" w:rsidP="00564207">
      <w:pPr>
        <w:pStyle w:val="Heading1"/>
      </w:pPr>
      <w:r>
        <w:t xml:space="preserve">Using </w:t>
      </w:r>
      <w:r w:rsidR="00564207">
        <w:t>Bayesian Multivariate Tobit Regression</w:t>
      </w:r>
    </w:p>
    <w:p w14:paraId="4FDEA4A0" w14:textId="77777777" w:rsidR="00564207" w:rsidRPr="00825025" w:rsidRDefault="00564207" w:rsidP="00564207">
      <w:pPr>
        <w:keepNext/>
        <w:keepLines/>
        <w:spacing w:after="240" w:line="360" w:lineRule="auto"/>
        <w:jc w:val="center"/>
      </w:pPr>
    </w:p>
    <w:p w14:paraId="2B5E7860" w14:textId="77777777" w:rsidR="00564207" w:rsidRDefault="00564207" w:rsidP="00564207">
      <w:pPr>
        <w:keepNext/>
        <w:keepLines/>
        <w:spacing w:after="240" w:line="360" w:lineRule="auto"/>
        <w:jc w:val="center"/>
        <w:rPr>
          <w:lang w:val="uz-Cyrl-UZ"/>
        </w:rPr>
      </w:pPr>
    </w:p>
    <w:p w14:paraId="623CC414" w14:textId="77777777" w:rsidR="00564207" w:rsidRPr="000023C2" w:rsidRDefault="00564207" w:rsidP="00564207">
      <w:pPr>
        <w:keepNext/>
        <w:keepLines/>
        <w:spacing w:after="240" w:line="360" w:lineRule="auto"/>
        <w:jc w:val="center"/>
      </w:pPr>
      <w:r>
        <w:t>Man Luo</w:t>
      </w:r>
      <w:r w:rsidRPr="00E44280">
        <w:rPr>
          <w:vertAlign w:val="superscript"/>
          <w:lang w:val="uz-Cyrl-UZ"/>
        </w:rPr>
        <w:t>1</w:t>
      </w:r>
      <w:r>
        <w:t>,</w:t>
      </w:r>
      <w:r w:rsidRPr="00E44280">
        <w:rPr>
          <w:lang w:val="uz-Cyrl-UZ"/>
        </w:rPr>
        <w:t xml:space="preserve"> Anne E. Nigra</w:t>
      </w:r>
      <w:r>
        <w:rPr>
          <w:vertAlign w:val="superscript"/>
        </w:rPr>
        <w:t>2</w:t>
      </w:r>
      <w:r>
        <w:t>,</w:t>
      </w:r>
      <w:r w:rsidRPr="00E44280">
        <w:rPr>
          <w:lang w:val="uz-Cyrl-UZ"/>
        </w:rPr>
        <w:t xml:space="preserve"> </w:t>
      </w:r>
      <w:r>
        <w:t>Ana Navas-Acien</w:t>
      </w:r>
      <w:r>
        <w:rPr>
          <w:vertAlign w:val="superscript"/>
          <w:lang w:val="uz-Cyrl-UZ"/>
        </w:rPr>
        <w:t>2</w:t>
      </w:r>
      <w:r>
        <w:t>,</w:t>
      </w:r>
      <w:r w:rsidRPr="00E44280">
        <w:rPr>
          <w:lang w:val="uz-Cyrl-UZ"/>
        </w:rPr>
        <w:t xml:space="preserve"> </w:t>
      </w:r>
      <w:r>
        <w:t>Yutao Liu</w:t>
      </w:r>
      <w:r>
        <w:rPr>
          <w:vertAlign w:val="superscript"/>
        </w:rPr>
        <w:t>1</w:t>
      </w:r>
      <w:r>
        <w:t>, Bob Carpenter</w:t>
      </w:r>
      <w:r>
        <w:rPr>
          <w:vertAlign w:val="superscript"/>
        </w:rPr>
        <w:t>3</w:t>
      </w:r>
      <w:r>
        <w:t>, Andrew Gelman</w:t>
      </w:r>
      <w:r>
        <w:rPr>
          <w:vertAlign w:val="superscript"/>
        </w:rPr>
        <w:t>3</w:t>
      </w:r>
      <w:r>
        <w:t>,</w:t>
      </w:r>
    </w:p>
    <w:p w14:paraId="503B1EDD" w14:textId="77777777" w:rsidR="00564207" w:rsidRPr="00E44280" w:rsidRDefault="00564207" w:rsidP="00564207">
      <w:pPr>
        <w:keepNext/>
        <w:keepLines/>
        <w:spacing w:after="240" w:line="360" w:lineRule="auto"/>
        <w:jc w:val="center"/>
        <w:rPr>
          <w:rFonts w:ascii="Cambria" w:eastAsia="Cambria" w:hAnsi="Cambria" w:cs="Cambria"/>
          <w:b/>
          <w:i/>
          <w:sz w:val="60"/>
          <w:szCs w:val="60"/>
          <w:lang w:val="uz-Cyrl-UZ"/>
        </w:rPr>
      </w:pPr>
      <w:r>
        <w:t>Qixuan Chen</w:t>
      </w:r>
      <w:r>
        <w:rPr>
          <w:vertAlign w:val="superscript"/>
          <w:lang w:val="uz-Cyrl-UZ"/>
        </w:rPr>
        <w:t>1</w:t>
      </w:r>
    </w:p>
    <w:p w14:paraId="071BD7D6" w14:textId="77777777" w:rsidR="00564207" w:rsidRDefault="00564207" w:rsidP="00564207">
      <w:pPr>
        <w:spacing w:after="120" w:line="360" w:lineRule="auto"/>
        <w:rPr>
          <w:vertAlign w:val="superscript"/>
        </w:rPr>
      </w:pPr>
    </w:p>
    <w:p w14:paraId="5233CE29" w14:textId="77777777" w:rsidR="00564207" w:rsidRDefault="00564207" w:rsidP="00564207">
      <w:pPr>
        <w:spacing w:after="120" w:line="360" w:lineRule="auto"/>
      </w:pPr>
      <w:r>
        <w:rPr>
          <w:vertAlign w:val="superscript"/>
        </w:rPr>
        <w:t>1</w:t>
      </w:r>
      <w:r>
        <w:t>Department of Biostatistics, Columbia University Mailman School of Public Health, New York, NY USA;</w:t>
      </w:r>
    </w:p>
    <w:p w14:paraId="2878D52F" w14:textId="77777777" w:rsidR="00564207" w:rsidRDefault="00564207" w:rsidP="00564207">
      <w:pPr>
        <w:spacing w:after="120" w:line="360" w:lineRule="auto"/>
      </w:pPr>
      <w:r>
        <w:rPr>
          <w:vertAlign w:val="superscript"/>
        </w:rPr>
        <w:t>2</w:t>
      </w:r>
      <w:r w:rsidRPr="003D11A6">
        <w:t>Department of Environmental Health Sciences, Columbia University Mailman School of Public Health, New York, NY, USA;</w:t>
      </w:r>
      <w:r>
        <w:t xml:space="preserve"> </w:t>
      </w:r>
    </w:p>
    <w:p w14:paraId="3E974131" w14:textId="77777777" w:rsidR="00564207" w:rsidRDefault="00564207" w:rsidP="00564207">
      <w:pPr>
        <w:spacing w:after="120" w:line="360" w:lineRule="auto"/>
      </w:pPr>
      <w:r>
        <w:rPr>
          <w:vertAlign w:val="superscript"/>
        </w:rPr>
        <w:t>3</w:t>
      </w:r>
      <w:r w:rsidRPr="003D11A6">
        <w:t xml:space="preserve">Department of </w:t>
      </w:r>
      <w:r>
        <w:t>Statistics</w:t>
      </w:r>
      <w:r w:rsidRPr="003D11A6">
        <w:t>, Columbia University, New York, NY, USA;</w:t>
      </w:r>
      <w:r>
        <w:t xml:space="preserve"> </w:t>
      </w:r>
    </w:p>
    <w:p w14:paraId="4BACDBD4" w14:textId="77777777" w:rsidR="00564207" w:rsidRDefault="00564207" w:rsidP="00564207">
      <w:pPr>
        <w:spacing w:after="120" w:line="360" w:lineRule="auto"/>
      </w:pPr>
    </w:p>
    <w:p w14:paraId="417A247D" w14:textId="77777777" w:rsidR="00564207" w:rsidRDefault="00564207" w:rsidP="00564207">
      <w:pPr>
        <w:spacing w:after="120" w:line="360" w:lineRule="auto"/>
      </w:pPr>
    </w:p>
    <w:p w14:paraId="05D6AC66" w14:textId="77777777" w:rsidR="00564207" w:rsidRDefault="00564207" w:rsidP="00564207">
      <w:pPr>
        <w:spacing w:after="120" w:line="360" w:lineRule="auto"/>
      </w:pPr>
    </w:p>
    <w:p w14:paraId="17A0887E" w14:textId="77777777" w:rsidR="00564207" w:rsidRDefault="00564207" w:rsidP="00564207">
      <w:pPr>
        <w:spacing w:after="120" w:line="360" w:lineRule="auto"/>
      </w:pPr>
    </w:p>
    <w:p w14:paraId="04A10F89" w14:textId="77777777" w:rsidR="00564207" w:rsidRDefault="00564207" w:rsidP="00564207">
      <w:pPr>
        <w:spacing w:after="120" w:line="360" w:lineRule="auto"/>
      </w:pPr>
    </w:p>
    <w:p w14:paraId="31DDB25E" w14:textId="77777777" w:rsidR="00564207" w:rsidRDefault="00564207" w:rsidP="00564207">
      <w:pPr>
        <w:spacing w:after="120" w:line="360" w:lineRule="auto"/>
      </w:pPr>
    </w:p>
    <w:p w14:paraId="21109173" w14:textId="77777777" w:rsidR="00564207" w:rsidRDefault="00564207" w:rsidP="00564207">
      <w:pPr>
        <w:spacing w:after="120" w:line="360" w:lineRule="auto"/>
      </w:pPr>
    </w:p>
    <w:p w14:paraId="13A89F54" w14:textId="77777777" w:rsidR="00564207" w:rsidRDefault="00564207" w:rsidP="00564207">
      <w:pPr>
        <w:spacing w:after="120" w:line="360" w:lineRule="auto"/>
      </w:pPr>
    </w:p>
    <w:p w14:paraId="46F515FC" w14:textId="77777777" w:rsidR="00564207" w:rsidRDefault="00564207" w:rsidP="00564207">
      <w:pPr>
        <w:spacing w:after="120" w:line="360" w:lineRule="auto"/>
      </w:pPr>
    </w:p>
    <w:p w14:paraId="43592E6D" w14:textId="77777777" w:rsidR="00564207" w:rsidRDefault="00564207" w:rsidP="00564207">
      <w:pPr>
        <w:sectPr w:rsidR="00564207" w:rsidSect="00C2134A">
          <w:footerReference w:type="even" r:id="rId7"/>
          <w:footerReference w:type="default" r:id="rId8"/>
          <w:pgSz w:w="12240" w:h="15840"/>
          <w:pgMar w:top="1440" w:right="1440" w:bottom="1440" w:left="1440" w:header="720" w:footer="720" w:gutter="0"/>
          <w:cols w:space="720"/>
          <w:docGrid w:linePitch="360"/>
        </w:sectPr>
      </w:pPr>
    </w:p>
    <w:p w14:paraId="4F56E92F" w14:textId="7A54A2A9" w:rsidR="00564207" w:rsidRDefault="00564207" w:rsidP="00E33AB2">
      <w:pPr>
        <w:pStyle w:val="Heading2"/>
      </w:pPr>
      <w:bookmarkStart w:id="0" w:name="_Toc44249108"/>
      <w:r>
        <w:lastRenderedPageBreak/>
        <w:t>Abstract</w:t>
      </w:r>
      <w:bookmarkEnd w:id="0"/>
      <w:r w:rsidR="00CF35EF">
        <w:t xml:space="preserve"> (word limit: 250; current: 25</w:t>
      </w:r>
      <w:r w:rsidR="00D46972">
        <w:t>9</w:t>
      </w:r>
      <w:r w:rsidR="00CF35EF">
        <w:t>)</w:t>
      </w:r>
    </w:p>
    <w:p w14:paraId="543C84E4" w14:textId="3CDD02E7" w:rsidR="00564207" w:rsidRDefault="00564207" w:rsidP="00564207">
      <w:pPr>
        <w:spacing w:line="480" w:lineRule="auto"/>
      </w:pPr>
      <w:r w:rsidRPr="005F2247">
        <w:t xml:space="preserve">Environmental </w:t>
      </w:r>
      <w:r>
        <w:t xml:space="preserve">health </w:t>
      </w:r>
      <w:r w:rsidRPr="005F2247">
        <w:t>research</w:t>
      </w:r>
      <w:r>
        <w:t xml:space="preserve"> is</w:t>
      </w:r>
      <w:r w:rsidRPr="005F2247">
        <w:t xml:space="preserve"> </w:t>
      </w:r>
      <w:r>
        <w:t>often</w:t>
      </w:r>
      <w:r w:rsidRPr="005F2247">
        <w:t xml:space="preserve"> </w:t>
      </w:r>
      <w:r>
        <w:t xml:space="preserve">challenged by environmental exposures with data </w:t>
      </w:r>
      <w:r w:rsidRPr="005F2247">
        <w:t xml:space="preserve">below </w:t>
      </w:r>
      <w:r>
        <w:t xml:space="preserve">limits of </w:t>
      </w:r>
      <w:r w:rsidRPr="005F2247">
        <w:t>detection</w:t>
      </w:r>
      <w:r>
        <w:t xml:space="preserve"> </w:t>
      </w:r>
      <w:r w:rsidRPr="005F2247">
        <w:t>(LOD</w:t>
      </w:r>
      <w:r w:rsidR="003F1A7C">
        <w:t>s</w:t>
      </w:r>
      <w:r w:rsidRPr="005F2247">
        <w:t xml:space="preserve">). </w:t>
      </w:r>
      <w:r>
        <w:t>The c</w:t>
      </w:r>
      <w:r w:rsidRPr="005F2247">
        <w:t xml:space="preserve">ommonly </w:t>
      </w:r>
      <w:r>
        <w:t>used</w:t>
      </w:r>
      <w:r w:rsidRPr="005F2247">
        <w:t xml:space="preserve"> method</w:t>
      </w:r>
      <w:r>
        <w:t xml:space="preserve"> is</w:t>
      </w:r>
      <w:r w:rsidRPr="005F2247">
        <w:t xml:space="preserve"> to </w:t>
      </w:r>
      <w:r>
        <w:t>impute the data below</w:t>
      </w:r>
      <w:r w:rsidR="003F1A7C">
        <w:t xml:space="preserve"> the</w:t>
      </w:r>
      <w:r>
        <w:t xml:space="preserve"> LOD with</w:t>
      </w:r>
      <w:r w:rsidRPr="005F2247">
        <w:t xml:space="preserve"> a constant</w:t>
      </w:r>
      <w:r>
        <w:t xml:space="preserve"> or </w:t>
      </w:r>
      <w:r w:rsidR="00474EE7">
        <w:t xml:space="preserve">with </w:t>
      </w:r>
      <w:r>
        <w:t>predictions from a</w:t>
      </w:r>
      <w:r w:rsidRPr="005F2247">
        <w:t xml:space="preserve"> linear regression model.</w:t>
      </w:r>
      <w:r>
        <w:t xml:space="preserve"> Such approaches work well when missing data are sparse, but can lead to bias in statistical inference when </w:t>
      </w:r>
      <w:r w:rsidR="00EB5C5C">
        <w:t xml:space="preserve">the </w:t>
      </w:r>
      <w:r>
        <w:t xml:space="preserve">proportion of data below </w:t>
      </w:r>
      <w:r w:rsidR="00EB5C5C">
        <w:t xml:space="preserve">the </w:t>
      </w:r>
      <w:r>
        <w:t xml:space="preserve">LOD is moderate to high. Moreover, environmental exposures often occur in </w:t>
      </w:r>
      <w:r w:rsidR="001C2F70">
        <w:t xml:space="preserve">complex </w:t>
      </w:r>
      <w:r>
        <w:t xml:space="preserve">mixtures, and thus imputation methods need to account for correlations between </w:t>
      </w:r>
      <w:r w:rsidR="0059561A">
        <w:t>co-</w:t>
      </w:r>
      <w:r>
        <w:t>exposure</w:t>
      </w:r>
      <w:r w:rsidR="005F44D9">
        <w:t>s</w:t>
      </w:r>
      <w:r>
        <w:t>.</w:t>
      </w:r>
      <w:r w:rsidRPr="005F2247">
        <w:t xml:space="preserve"> In this </w:t>
      </w:r>
      <w:r>
        <w:t>paper</w:t>
      </w:r>
      <w:r w:rsidRPr="005F2247">
        <w:t xml:space="preserve">, we </w:t>
      </w:r>
      <w:r w:rsidR="00E53977">
        <w:t xml:space="preserve">developed </w:t>
      </w:r>
      <w:r>
        <w:t>a</w:t>
      </w:r>
      <w:r w:rsidRPr="005F2247">
        <w:t xml:space="preserve"> </w:t>
      </w:r>
      <w:r>
        <w:t>Bayesian multivariate Tobit regression multiple imputation (</w:t>
      </w:r>
      <w:r w:rsidRPr="005F2247">
        <w:t>MI</w:t>
      </w:r>
      <w:r>
        <w:t>)</w:t>
      </w:r>
      <w:r w:rsidRPr="005F2247">
        <w:t xml:space="preserve"> method for </w:t>
      </w:r>
      <w:r>
        <w:t xml:space="preserve">data below </w:t>
      </w:r>
      <w:r w:rsidRPr="005F2247">
        <w:t>LOD</w:t>
      </w:r>
      <w:r w:rsidR="00F058E8">
        <w:t>s</w:t>
      </w:r>
      <w:r>
        <w:t xml:space="preserve"> in exposure mixtures, which assume</w:t>
      </w:r>
      <w:r w:rsidR="009713CA">
        <w:t>s the data</w:t>
      </w:r>
      <w:r w:rsidR="0028772F">
        <w:t xml:space="preserve"> are correlated</w:t>
      </w:r>
      <w:r w:rsidR="000B41BB">
        <w:t xml:space="preserve"> and</w:t>
      </w:r>
      <w:r>
        <w:t xml:space="preserve"> follow a multivariate normal distribution</w:t>
      </w:r>
      <w:r w:rsidR="0028772F">
        <w:t>,</w:t>
      </w:r>
      <w:r>
        <w:t xml:space="preserve"> </w:t>
      </w:r>
      <w:r w:rsidR="007A6C0E">
        <w:t>and utilizes</w:t>
      </w:r>
      <w:r w:rsidR="00EB05D2">
        <w:t xml:space="preserve"> </w:t>
      </w:r>
      <w:r w:rsidR="001728C7">
        <w:t>individual-level</w:t>
      </w:r>
      <w:r>
        <w:t xml:space="preserve"> predictors of mixture</w:t>
      </w:r>
      <w:r w:rsidR="00AF2C64">
        <w:t xml:space="preserve"> components</w:t>
      </w:r>
      <w:r w:rsidR="00E53977">
        <w:t xml:space="preserve"> to improve the imputation</w:t>
      </w:r>
      <w:r>
        <w:t xml:space="preserve">. </w:t>
      </w:r>
      <w:r w:rsidR="00DA5B54">
        <w:t>Using high-quality</w:t>
      </w:r>
      <w:r w:rsidR="00E70CD1">
        <w:t>,</w:t>
      </w:r>
      <w:r w:rsidR="000436F5">
        <w:t xml:space="preserve"> </w:t>
      </w:r>
      <w:r w:rsidR="006363C4">
        <w:t xml:space="preserve">speciated </w:t>
      </w:r>
      <w:r w:rsidR="000436F5">
        <w:t xml:space="preserve">urinary </w:t>
      </w:r>
      <w:r w:rsidR="00191859">
        <w:t xml:space="preserve">arsenic </w:t>
      </w:r>
      <w:r w:rsidR="000C2922">
        <w:t>data</w:t>
      </w:r>
      <w:r w:rsidR="000436F5">
        <w:t xml:space="preserve"> </w:t>
      </w:r>
      <w:r w:rsidR="00C11718">
        <w:t>measured</w:t>
      </w:r>
      <w:r w:rsidR="00191859">
        <w:t xml:space="preserve"> in the </w:t>
      </w:r>
      <w:r w:rsidR="00191859" w:rsidRPr="005F2247">
        <w:t>Strong Heart Family Study</w:t>
      </w:r>
      <w:r w:rsidR="001D2C55">
        <w:t xml:space="preserve"> </w:t>
      </w:r>
      <w:r w:rsidR="008E2CC3">
        <w:t>(</w:t>
      </w:r>
      <w:r w:rsidR="005D7B22">
        <w:t>inorganic arsenic</w:t>
      </w:r>
      <w:r w:rsidR="008E2CC3">
        <w:t>, monomethylarsonate, dimethylarsinate, and arsenobetaine</w:t>
      </w:r>
      <w:r w:rsidR="003A1FA1">
        <w:t>, which have very low missingness</w:t>
      </w:r>
      <w:r w:rsidR="008E2CC3">
        <w:t>)</w:t>
      </w:r>
      <w:r w:rsidR="00D92B6C">
        <w:t>,</w:t>
      </w:r>
      <w:r w:rsidR="0078428F">
        <w:t xml:space="preserve"> </w:t>
      </w:r>
      <w:r w:rsidR="00D92B6C">
        <w:t>w</w:t>
      </w:r>
      <w:r w:rsidR="00DA5B54" w:rsidRPr="005F2247">
        <w:t xml:space="preserve">e </w:t>
      </w:r>
      <w:r w:rsidR="00DA5B54">
        <w:t xml:space="preserve">conducted simulation studies </w:t>
      </w:r>
      <w:r>
        <w:t xml:space="preserve">to compare the performance of the </w:t>
      </w:r>
      <w:r w:rsidR="00E53977">
        <w:t>developed</w:t>
      </w:r>
      <w:r w:rsidR="0048024B">
        <w:t xml:space="preserve"> </w:t>
      </w:r>
      <w:r>
        <w:t>multivariate Tobit regression method with alternative methods</w:t>
      </w:r>
      <w:r>
        <w:rPr>
          <w:iCs/>
        </w:rPr>
        <w:t xml:space="preserve">. </w:t>
      </w:r>
      <w:r w:rsidR="00BD44A1">
        <w:rPr>
          <w:iCs/>
        </w:rPr>
        <w:t>S</w:t>
      </w:r>
      <w:r>
        <w:rPr>
          <w:iCs/>
        </w:rPr>
        <w:t>imulation</w:t>
      </w:r>
      <w:r w:rsidR="00BD44A1">
        <w:rPr>
          <w:iCs/>
        </w:rPr>
        <w:t>s</w:t>
      </w:r>
      <w:r>
        <w:rPr>
          <w:iCs/>
        </w:rPr>
        <w:t xml:space="preserve"> </w:t>
      </w:r>
      <w:r w:rsidR="005F6E04">
        <w:rPr>
          <w:iCs/>
        </w:rPr>
        <w:t xml:space="preserve">indicated </w:t>
      </w:r>
      <w:r>
        <w:rPr>
          <w:iCs/>
        </w:rPr>
        <w:t xml:space="preserve">that the </w:t>
      </w:r>
      <w:r w:rsidR="00851789">
        <w:rPr>
          <w:iCs/>
        </w:rPr>
        <w:t xml:space="preserve">data imputed using Bayesian </w:t>
      </w:r>
      <w:r>
        <w:rPr>
          <w:iCs/>
        </w:rPr>
        <w:t xml:space="preserve">multivariate Tobit regression yield more accurate and precise estimates </w:t>
      </w:r>
      <w:r w:rsidR="009A6479">
        <w:rPr>
          <w:iCs/>
        </w:rPr>
        <w:t xml:space="preserve">with 95% CI more likely to cover the true values </w:t>
      </w:r>
      <w:r>
        <w:rPr>
          <w:iCs/>
        </w:rPr>
        <w:t xml:space="preserve">in </w:t>
      </w:r>
      <w:r w:rsidR="000C2BC3">
        <w:rPr>
          <w:iCs/>
        </w:rPr>
        <w:t xml:space="preserve">descriptive statistics </w:t>
      </w:r>
      <w:r>
        <w:rPr>
          <w:iCs/>
        </w:rPr>
        <w:t xml:space="preserve">and regression </w:t>
      </w:r>
      <w:r w:rsidR="009A6479">
        <w:rPr>
          <w:iCs/>
        </w:rPr>
        <w:t>coefficients in linear models</w:t>
      </w:r>
      <w:r>
        <w:rPr>
          <w:iCs/>
        </w:rPr>
        <w:t>.</w:t>
      </w:r>
      <w:r w:rsidRPr="00F75A10">
        <w:rPr>
          <w:iCs/>
        </w:rPr>
        <w:t xml:space="preserve"> </w:t>
      </w:r>
      <w:r>
        <w:rPr>
          <w:iCs/>
        </w:rPr>
        <w:t xml:space="preserve">Finally, </w:t>
      </w:r>
      <w:r>
        <w:t>w</w:t>
      </w:r>
      <w:r w:rsidRPr="005F2247">
        <w:t xml:space="preserve">e </w:t>
      </w:r>
      <w:r>
        <w:t>applied the proposed method</w:t>
      </w:r>
      <w:r w:rsidRPr="005F2247">
        <w:t xml:space="preserve"> </w:t>
      </w:r>
      <w:r>
        <w:t xml:space="preserve">to </w:t>
      </w:r>
      <w:r w:rsidR="002D085D">
        <w:t xml:space="preserve">urinary arsenic species data from </w:t>
      </w:r>
      <w:r>
        <w:t>the 2013-2014</w:t>
      </w:r>
      <w:r w:rsidRPr="005F2247">
        <w:t xml:space="preserve"> National Health and Nutrition Examination Survey</w:t>
      </w:r>
      <w:r w:rsidR="009C4F54">
        <w:t>,</w:t>
      </w:r>
      <w:r w:rsidR="00946BEE">
        <w:t xml:space="preserve"> which ha</w:t>
      </w:r>
      <w:r w:rsidR="00316664">
        <w:t>ve</w:t>
      </w:r>
      <w:r w:rsidR="00946BEE">
        <w:t xml:space="preserve"> </w:t>
      </w:r>
      <w:r w:rsidR="00A077B7">
        <w:t>high</w:t>
      </w:r>
      <w:r w:rsidR="009A6479">
        <w:t>er</w:t>
      </w:r>
      <w:r w:rsidR="00A077B7">
        <w:t xml:space="preserve"> LODs and </w:t>
      </w:r>
      <w:r w:rsidR="00A4252A">
        <w:t xml:space="preserve">a </w:t>
      </w:r>
      <w:r w:rsidR="009A6479">
        <w:t xml:space="preserve">moderate </w:t>
      </w:r>
      <w:r w:rsidR="00A4252A">
        <w:t>amount of missingness</w:t>
      </w:r>
      <w:r w:rsidRPr="005F2247">
        <w:t>.</w:t>
      </w:r>
      <w:r w:rsidR="00E262CF">
        <w:t xml:space="preserve"> </w:t>
      </w:r>
      <w:r w:rsidR="009A6479">
        <w:t xml:space="preserve">MI using </w:t>
      </w:r>
      <w:r w:rsidR="00D34DD3">
        <w:t xml:space="preserve">Bayesian multivariate Tobit regression </w:t>
      </w:r>
      <w:r w:rsidR="009A6479">
        <w:t>is recommended for</w:t>
      </w:r>
      <w:r w:rsidR="00784A28">
        <w:t xml:space="preserve"> </w:t>
      </w:r>
      <w:r w:rsidR="009A6479">
        <w:t xml:space="preserve">exposure mixtures with </w:t>
      </w:r>
      <w:r w:rsidR="00D46972">
        <w:t xml:space="preserve">moderate to </w:t>
      </w:r>
      <w:r w:rsidR="009A6479">
        <w:t>high LODs in</w:t>
      </w:r>
      <w:r w:rsidR="003E2B68">
        <w:t xml:space="preserve"> </w:t>
      </w:r>
      <w:r w:rsidR="00090543">
        <w:t>environmental health research</w:t>
      </w:r>
      <w:r w:rsidR="000F7688">
        <w:t>.</w:t>
      </w:r>
    </w:p>
    <w:p w14:paraId="30C31059" w14:textId="77777777" w:rsidR="00564207" w:rsidRDefault="00564207" w:rsidP="00564207">
      <w:pPr>
        <w:spacing w:line="480" w:lineRule="auto"/>
      </w:pPr>
    </w:p>
    <w:p w14:paraId="4656E0ED" w14:textId="77777777" w:rsidR="00564207" w:rsidRPr="00E26D97" w:rsidRDefault="00564207" w:rsidP="00564207">
      <w:pPr>
        <w:spacing w:line="480" w:lineRule="auto"/>
        <w:rPr>
          <w:rFonts w:ascii="Segoe UI" w:hAnsi="Segoe UI" w:cs="Segoe UI"/>
          <w:color w:val="212121"/>
        </w:rPr>
      </w:pPr>
      <w:r>
        <w:lastRenderedPageBreak/>
        <w:t>K</w:t>
      </w:r>
      <w:r>
        <w:rPr>
          <w:rFonts w:hint="eastAsia"/>
        </w:rPr>
        <w:t>ey</w:t>
      </w:r>
      <w:r>
        <w:t>word: arsenic; Bayesian modeling; limit of detection; MICE; m</w:t>
      </w:r>
      <w:r w:rsidRPr="008B673C">
        <w:t>issing data</w:t>
      </w:r>
      <w:r>
        <w:t>;</w:t>
      </w:r>
      <w:r w:rsidRPr="008B673C">
        <w:t xml:space="preserve"> </w:t>
      </w:r>
      <w:r>
        <w:t>m</w:t>
      </w:r>
      <w:r w:rsidRPr="008B673C">
        <w:t xml:space="preserve">ultiple </w:t>
      </w:r>
      <w:r>
        <w:t>i</w:t>
      </w:r>
      <w:r w:rsidRPr="008B673C">
        <w:t>mputation</w:t>
      </w:r>
      <w:r>
        <w:t>;</w:t>
      </w:r>
      <w:r w:rsidRPr="008B673C">
        <w:t xml:space="preserve"> </w:t>
      </w:r>
      <w:r>
        <w:t>multivariate T</w:t>
      </w:r>
      <w:r w:rsidRPr="008B673C">
        <w:t xml:space="preserve">obit </w:t>
      </w:r>
      <w:r>
        <w:t>regression; Stan.</w:t>
      </w:r>
    </w:p>
    <w:p w14:paraId="0DFFBF97" w14:textId="77777777" w:rsidR="00564207" w:rsidRDefault="00564207" w:rsidP="00564207">
      <w:pPr>
        <w:shd w:val="clear" w:color="auto" w:fill="FFFFFF"/>
        <w:rPr>
          <w:rFonts w:ascii="Segoe UI" w:hAnsi="Segoe UI" w:cs="Segoe UI"/>
          <w:color w:val="212121"/>
        </w:rPr>
      </w:pPr>
    </w:p>
    <w:p w14:paraId="2765AF04" w14:textId="77777777" w:rsidR="00564207" w:rsidRPr="00B350B7" w:rsidRDefault="00564207" w:rsidP="00564207">
      <w:pPr>
        <w:spacing w:line="480" w:lineRule="auto"/>
        <w:sectPr w:rsidR="00564207" w:rsidRPr="00B350B7" w:rsidSect="00C2134A">
          <w:pgSz w:w="12240" w:h="15840"/>
          <w:pgMar w:top="1440" w:right="1440" w:bottom="1440" w:left="1440" w:header="720" w:footer="720" w:gutter="0"/>
          <w:cols w:space="720"/>
          <w:docGrid w:linePitch="360"/>
        </w:sectPr>
      </w:pPr>
    </w:p>
    <w:p w14:paraId="02F7F7E9" w14:textId="547F57AC" w:rsidR="00564207" w:rsidRPr="0009671C" w:rsidRDefault="00564207" w:rsidP="00E33AB2">
      <w:pPr>
        <w:pStyle w:val="Heading2"/>
      </w:pPr>
      <w:bookmarkStart w:id="1" w:name="_Toc44249109"/>
      <w:r w:rsidRPr="0009671C">
        <w:lastRenderedPageBreak/>
        <w:t>1. Introduction</w:t>
      </w:r>
      <w:bookmarkEnd w:id="1"/>
      <w:r w:rsidR="00CF35EF">
        <w:t xml:space="preserve"> (word limit: 5000, current: 5568)</w:t>
      </w:r>
    </w:p>
    <w:p w14:paraId="7E95FC43" w14:textId="4AF54B15" w:rsidR="00C725C5" w:rsidRDefault="00EB5F1F" w:rsidP="00564207">
      <w:pPr>
        <w:spacing w:line="480" w:lineRule="auto"/>
      </w:pPr>
      <w:r>
        <w:t>Epidemiologic analyses</w:t>
      </w:r>
      <w:r w:rsidR="00A049DC">
        <w:t xml:space="preserve"> </w:t>
      </w:r>
      <w:r w:rsidR="00E07934">
        <w:t>evaluating environmental expos</w:t>
      </w:r>
      <w:r w:rsidR="005B6188">
        <w:t>ur</w:t>
      </w:r>
      <w:r w:rsidR="00E07934">
        <w:t xml:space="preserve">es often rely on </w:t>
      </w:r>
      <w:r w:rsidR="001F6C98">
        <w:t xml:space="preserve">concentrations of </w:t>
      </w:r>
      <w:r w:rsidR="002F38F4">
        <w:t xml:space="preserve">environmental exposures </w:t>
      </w:r>
      <w:r w:rsidR="00C641DA">
        <w:t xml:space="preserve">measured </w:t>
      </w:r>
      <w:r w:rsidR="002F38F4">
        <w:t>in human biospecimens.</w:t>
      </w:r>
      <w:r>
        <w:t xml:space="preserve"> </w:t>
      </w:r>
      <w:r w:rsidR="00924BE7">
        <w:t xml:space="preserve">These </w:t>
      </w:r>
      <w:r w:rsidR="00564207">
        <w:t xml:space="preserve">data often contain chemical concentrations </w:t>
      </w:r>
      <w:r w:rsidR="00536D6D">
        <w:t>measured</w:t>
      </w:r>
      <w:r w:rsidR="00564207">
        <w:t xml:space="preserve"> below</w:t>
      </w:r>
      <w:r w:rsidR="00CB1C54">
        <w:t xml:space="preserve"> </w:t>
      </w:r>
      <w:r w:rsidR="0059033D">
        <w:t xml:space="preserve">the </w:t>
      </w:r>
      <w:r w:rsidR="00CB1C54">
        <w:t>analytical</w:t>
      </w:r>
      <w:r w:rsidR="00564207">
        <w:t xml:space="preserve"> limit of detection (LOD), which is defined as the lowest value that can be </w:t>
      </w:r>
      <w:r w:rsidR="00014DF3">
        <w:t xml:space="preserve">reliably distinguished </w:t>
      </w:r>
      <w:r w:rsidR="00564207">
        <w:t xml:space="preserve">from a </w:t>
      </w:r>
      <w:r w:rsidR="00564207" w:rsidRPr="002A54B8">
        <w:rPr>
          <w:color w:val="000000" w:themeColor="text1"/>
        </w:rPr>
        <w:t xml:space="preserve">blank </w:t>
      </w:r>
      <w:r w:rsidR="00014DF3">
        <w:rPr>
          <w:color w:val="000000" w:themeColor="text1"/>
        </w:rPr>
        <w:t>sample</w:t>
      </w:r>
      <w:r w:rsidR="00014DF3" w:rsidRPr="002A54B8">
        <w:rPr>
          <w:color w:val="000000" w:themeColor="text1"/>
        </w:rPr>
        <w:t xml:space="preserve"> </w:t>
      </w:r>
      <w:r w:rsidR="00564207">
        <w:t xml:space="preserve">with a stated confidence level. Values below </w:t>
      </w:r>
      <w:r w:rsidR="008E29AC">
        <w:t xml:space="preserve">the </w:t>
      </w:r>
      <w:r w:rsidR="00564207">
        <w:t>LOD cannot be precisely</w:t>
      </w:r>
      <w:r w:rsidR="007962AD" w:rsidRPr="007962AD">
        <w:t xml:space="preserve"> </w:t>
      </w:r>
      <w:r w:rsidR="007962AD">
        <w:t>measured</w:t>
      </w:r>
      <w:r w:rsidR="0008577C">
        <w:t>,</w:t>
      </w:r>
      <w:r w:rsidR="00564207">
        <w:t xml:space="preserve"> but </w:t>
      </w:r>
      <w:r w:rsidR="0069051D">
        <w:t>can still</w:t>
      </w:r>
      <w:r w:rsidR="0008577C">
        <w:t xml:space="preserve"> </w:t>
      </w:r>
      <w:r w:rsidR="00564207">
        <w:t xml:space="preserve">contain important information. Simply excluding </w:t>
      </w:r>
      <w:r w:rsidR="008266F3">
        <w:t xml:space="preserve">values below the LOD </w:t>
      </w:r>
      <w:r w:rsidR="00564207">
        <w:t>lead</w:t>
      </w:r>
      <w:r w:rsidR="00C7387F">
        <w:t>s</w:t>
      </w:r>
      <w:r w:rsidR="00564207">
        <w:t xml:space="preserve"> to substantially biased </w:t>
      </w:r>
      <w:r w:rsidR="002A54B8">
        <w:t>statistical inference</w:t>
      </w:r>
      <w:r w:rsidR="003842F1">
        <w:t>.</w:t>
      </w:r>
      <w:r w:rsidR="00564207">
        <w:fldChar w:fldCharType="begin"/>
      </w:r>
      <w:r w:rsidR="006A3F13">
        <w:instrText xml:space="preserve"> ADDIN ZOTERO_ITEM CSL_CITATION {"citationID":"QHofCgCv","properties":{"formattedCitation":"\\super 1\\nosupersub{}","plainCitation":"1","noteIndex":0},"citationItems":[{"id":7,"uris":["http://zotero.org/users/7675815/items/66TQLNZW"],"uri":["http://zotero.org/users/7675815/items/66TQLNZW"],"itemData":{"id":7,"type":"article-journal","container-title":"Applied Occupational and Environmental Hygiene","DOI":"10.1080/1047322X.1990.10389587","ISSN":"1047-322X, 1521-0898","issue":"1","journalAbbreviation":"Applied Occupational and Environmental Hygiene","language":"en","page":"46-51","source":"DOI.org (Crossref)","title":"Estimation of Average Concentration in the Presence of Nondetectable Values","volume":"5","author":[{"family":"Hornung","given":"Richard W."},{"family":"Reed","given":"Laurence D."}],"issued":{"date-parts":[["1990",1]]}}}],"schema":"https://github.com/citation-style-language/schema/raw/master/csl-citation.json"} </w:instrText>
      </w:r>
      <w:r w:rsidR="00564207">
        <w:fldChar w:fldCharType="separate"/>
      </w:r>
      <w:r w:rsidR="006A3F13" w:rsidRPr="006A3F13">
        <w:rPr>
          <w:vertAlign w:val="superscript"/>
        </w:rPr>
        <w:t>1</w:t>
      </w:r>
      <w:r w:rsidR="00564207">
        <w:fldChar w:fldCharType="end"/>
      </w:r>
      <w:r w:rsidR="00564207">
        <w:t xml:space="preserve"> </w:t>
      </w:r>
    </w:p>
    <w:p w14:paraId="6484E323" w14:textId="5A4FB73E" w:rsidR="00564207" w:rsidRDefault="00BD1A00" w:rsidP="009B35CB">
      <w:pPr>
        <w:spacing w:line="480" w:lineRule="auto"/>
        <w:ind w:firstLine="720"/>
      </w:pPr>
      <w:r>
        <w:t xml:space="preserve">Researchers use different methods to deal with data that is missing due to LODs. </w:t>
      </w:r>
      <w:r w:rsidR="00564207">
        <w:t xml:space="preserve">Common techniques include data substitution with a constant, direct estimation of </w:t>
      </w:r>
      <w:r w:rsidR="000C2BC3">
        <w:t>statistics</w:t>
      </w:r>
      <w:r w:rsidR="00564207">
        <w:t>,</w:t>
      </w:r>
      <w:r w:rsidR="00564207" w:rsidRPr="00B44898">
        <w:t xml:space="preserve"> </w:t>
      </w:r>
      <w:r w:rsidR="00564207">
        <w:t>and multiple imputations</w:t>
      </w:r>
      <w:r w:rsidR="003842F1">
        <w:t>.</w:t>
      </w:r>
      <w:r w:rsidR="00564207">
        <w:fldChar w:fldCharType="begin"/>
      </w:r>
      <w:r w:rsidR="006A3F13">
        <w:instrText xml:space="preserve"> ADDIN ZOTERO_ITEM CSL_CITATION {"citationID":"G2Jmwdbt","properties":{"formattedCitation":"\\super 2\\uc0\\u8211{}5\\nosupersub{}","plainCitation":"2–5","noteIndex":0},"citationItems":[{"id":"FULVJ1it/JDffgXKX","uris":["http://zotero.org/users/7675815/items/6YN5FRBM"],"uri":["http://zotero.org/users/7675815/items/6YN5FRBM"],"itemData":{"id":31,"type":"article-journal","container-title":"Environmental Science &amp; Technology","DOI":"10.1021/es071301c","ISSN":"0013-936X, 1520-5851","issue":"10","journalAbbreviation":"Environ. Sci. Technol.","language":"en","page":"3732-3738","source":"DOI.org (Crossref)","title":"Evaluation of Statistical Treatments of Left-Censored Environmental Data using Coincident Uncensored Data Sets: I. Summary Statistics","title-short":"Evaluation of Statistical Treatments of Left-Censored Environmental Data using Coincident Uncensored Data Sets","volume":"42","author":[{"family":"Antweiler","given":"Ronald C."},{"family":"Taylor","given":"Howard E."}],"issued":{"date-parts":[["2008",5]]}}},{"id":89,"uris":["http://zotero.org/users/7675815/items/K3MMVMDY"],"uri":["http://zotero.org/users/7675815/items/K3MMVMDY"],"itemData":{"id":89,"type":"article-journal","abstract":"A great many papers and one textbook have been published on the topic of how to incorporate 'nondetects', low-level values reported only as below a detection limit, into statistical analyses. This is of interest not only in occupational hygiene but also in environmental sciences and astronomy, among other fields. Here, the literature is reviewed from the earliest known publication on the topic &gt;40 years ago and recommendations contrasted. I have tried to pull some unifying conclusions out of the mix, ending with four suggestions I believe all can agree on. See if you agree with me.","container-title":"The Annals of Occupational Hygiene","DOI":"10.1093/annhyg/mep092","ISSN":"1475-3162","issue":"3","journalAbbreviation":"Ann Occup Hyg","language":"eng","note":"PMID: 20032004","page":"257-262","source":"PubMed","title":"Much ado about next to nothing: incorporating nondetects in science","title-short":"Much ado about next to nothing","volume":"54","author":[{"family":"Helsel","given":""}],"issued":{"date-parts":[["2010",4]]}}},{"id":88,"uris":["http://zotero.org/users/7675815/items/Z3HUG3H2"],"uri":["http://zotero.org/users/7675815/items/Z3HUG3H2"],"itemData":{"id":88,"type":"book","ISBN":"1-118-16276-5","publisher":"John Wiley &amp; Sons","title":"Statistics for censored environmental data using Minitab and R","volume":"77","author":[{"family":"Helsel","given":""}],"issued":{"date-parts":[["2011"]]}}},{"id":"FULVJ1it/KtCB35cB","uris":["http://zotero.org/users/local/VUHfkti5/items/9TI3T8LG"],"uri":["http://zotero.org/users/local/VUHfkti5/items/9TI3T8LG"],"itemData":{"id":32,"type":"article-journal","abstract":"Concentrations of 27 priority volatile organic compounds were measured in water samples of the North Sea and Scheldt estuary during a 3-year monitoring study. Despite the use of a sensitive analytical method, a number of data were censored. That is, some concentrations were below the decision limit or critical level deﬁned by IUPAC. To characterize the observed measurement results, an attempt was made to identify an appropriate procedure to compute summary statistics for the censored data sets. Several parametric and robust parametric approaches based on the maximum likelihood principle and probability-plot regression method were evaluated for the estimation of the mean, standard deviation, median and interquartile range using three uncensored analytes (1,1,2-trichloroethane, tetrachloroethene and o-xylene) from the monitoring survey. Performance was assessed by artiﬁcially censoring the observed concentrations and estimating moments and quantiles at each censoring level. Results showed that methods with the least distributional assumptions, such as the robust bias-corrected restricted maximum likelihood method, perform best for estimating the mean and standard deviation, while both parametric and robust parametric techniques can be used for quantiles. Hence, summary statistics could be estimated with little bias (5–10%) up to 80% of censoring for the data sets employed in this study.","container-title":"Journal of Chromatography A","DOI":"10.1016/S0021-9673(02)01327-4","ISSN":"00219673","issue":"1","journalAbbreviation":"Journal of Chromatography A","language":"en","page":"123-133","source":"DOI.org (Crossref)","title":"How to estimate moments and quantiles of environmental data sets with non-detected observations? A case study on volatile organic compounds in marine water samples","title-short":"How to estimate moments and quantiles of environmental data sets with non-detected observations?","volume":"975","author":[{"family":"Huybrechts","given":"Tom"},{"family":"Thas","given":"Olivier"},{"family":"Dewulf","given":"Jo"},{"family":"Van Langenhove","given":"Herman"}],"issued":{"date-parts":[["2002",10]]}}}],"schema":"https://github.com/citation-style-language/schema/raw/master/csl-citation.json"} </w:instrText>
      </w:r>
      <w:r w:rsidR="00564207">
        <w:fldChar w:fldCharType="separate"/>
      </w:r>
      <w:r w:rsidR="006A3F13" w:rsidRPr="006A3F13">
        <w:rPr>
          <w:vertAlign w:val="superscript"/>
        </w:rPr>
        <w:t>2–5</w:t>
      </w:r>
      <w:r w:rsidR="00564207">
        <w:fldChar w:fldCharType="end"/>
      </w:r>
      <w:r w:rsidR="00564207">
        <w:t xml:space="preserve"> </w:t>
      </w:r>
      <w:r w:rsidR="00C725C5">
        <w:t>Although simple substitution of data below the LOD with a single constant is commonly performed (e.g. LOD/</w:t>
      </w:r>
      <w:r w:rsidR="00C725C5">
        <w:sym w:font="Symbol" w:char="F0D6"/>
      </w:r>
      <w:r w:rsidR="00C725C5">
        <w:t>2 or LOD/2)</w:t>
      </w:r>
      <w:r w:rsidR="003842F1">
        <w:t>,</w:t>
      </w:r>
      <w:r w:rsidR="00C725C5">
        <w:fldChar w:fldCharType="begin"/>
      </w:r>
      <w:r w:rsidR="006A3F13">
        <w:instrText xml:space="preserve"> ADDIN ZOTERO_ITEM CSL_CITATION {"citationID":"QUBqje60","properties":{"formattedCitation":"\\super 6\\nosupersub{}","plainCitation":"6","noteIndex":0},"citationItems":[{"id":12,"uris":["http://zotero.org/users/7675815/items/F5PIBI88"],"uri":["http://zotero.org/users/7675815/items/F5PIBI88"],"itemData":{"id":12,"type":"article-journal","container-title":"Water Resources Research","DOI":"10.1029/WR024i012p01997","ISSN":"00431397","issue":"12","journalAbbreviation":"Water Resour. Res.","language":"en","page":"1997-2004","source":"DOI.org (Crossref)","title":"Estimation of descriptive statistics for multiply censored water quality data","volume":"24","author":[{"family":"Helsel","given":""},{"family":"Cohn","given":"Timothy A."}],"issued":{"date-parts":[["1988",12]]}}}],"schema":"https://github.com/citation-style-language/schema/raw/master/csl-citation.json"} </w:instrText>
      </w:r>
      <w:r w:rsidR="00C725C5">
        <w:fldChar w:fldCharType="separate"/>
      </w:r>
      <w:r w:rsidR="006A3F13" w:rsidRPr="006A3F13">
        <w:rPr>
          <w:vertAlign w:val="superscript"/>
        </w:rPr>
        <w:t>6</w:t>
      </w:r>
      <w:r w:rsidR="00C725C5">
        <w:fldChar w:fldCharType="end"/>
      </w:r>
      <w:r w:rsidR="00C725C5">
        <w:t xml:space="preserve"> this approach can result in large bias in both descriptive statistics and analytical inference</w:t>
      </w:r>
      <w:r w:rsidR="003842F1">
        <w:t>.</w:t>
      </w:r>
      <w:r w:rsidR="00202B8C">
        <w:fldChar w:fldCharType="begin"/>
      </w:r>
      <w:r w:rsidR="006A3F13">
        <w:instrText xml:space="preserve"> ADDIN ZOTERO_ITEM CSL_CITATION {"citationID":"YiUq7r3u","properties":{"formattedCitation":"\\super 3,7\\nosupersub{}","plainCitation":"3,7","noteIndex":0},"citationItems":[{"id":74,"uris":["http://zotero.org/users/7675815/items/V268CJUU"],"uri":["http://zotero.org/users/7675815/items/V268CJUU"],"itemData":{"id":74,"type":"article-journal","container-title":"Environmental Science &amp; Technology","DOI":"10.1021/es00082a001","ISSN":"0013-936X","issue":"12","journalAbbreviation":"Environ. Sci. Technol.","note":"publisher: American Chemical Society","page":"1766-1774","title":"Less than obvious - statistical treatment of data below the detection limit","volume":"24","author":[{"literal":"Helsel"}],"issued":{"date-parts":[["1990",12,1]]}}},{"id":89,"uris":["http://zotero.org/users/7675815/items/K3MMVMDY"],"uri":["http://zotero.org/users/7675815/items/K3MMVMDY"],"itemData":{"id":89,"type":"article-journal","abstract":"A great many papers and one textbook have been published on the topic of how to incorporate 'nondetects', low-level values reported only as below a detection limit, into statistical analyses. This is of interest not only in occupational hygiene but also in environmental sciences and astronomy, among other fields. Here, the literature is reviewed from the earliest known publication on the topic &gt;40 years ago and recommendations contrasted. I have tried to pull some unifying conclusions out of the mix, ending with four suggestions I believe all can agree on. See if you agree with me.","container-title":"The Annals of Occupational Hygiene","DOI":"10.1093/annhyg/mep092","ISSN":"1475-3162","issue":"3","journalAbbreviation":"Ann Occup Hyg","language":"eng","note":"PMID: 20032004","page":"257-262","source":"PubMed","title":"Much ado about next to nothing: incorporating nondetects in science","title-short":"Much ado about next to nothing","volume":"54","author":[{"family":"Helsel","given":""}],"issued":{"date-parts":[["2010",4]]}}}],"schema":"https://github.com/citation-style-language/schema/raw/master/csl-citation.json"} </w:instrText>
      </w:r>
      <w:r w:rsidR="00202B8C">
        <w:fldChar w:fldCharType="separate"/>
      </w:r>
      <w:r w:rsidR="006A3F13" w:rsidRPr="006A3F13">
        <w:rPr>
          <w:vertAlign w:val="superscript"/>
        </w:rPr>
        <w:t>3,7</w:t>
      </w:r>
      <w:r w:rsidR="00202B8C">
        <w:fldChar w:fldCharType="end"/>
      </w:r>
      <w:r w:rsidR="003842F1">
        <w:t xml:space="preserve"> </w:t>
      </w:r>
      <w:r w:rsidR="00C725C5">
        <w:t>T</w:t>
      </w:r>
      <w:r w:rsidR="00C725C5" w:rsidRPr="003B54D8">
        <w:t xml:space="preserve">he standardized data quality assessment guideline </w:t>
      </w:r>
      <w:r w:rsidR="00C725C5">
        <w:t xml:space="preserve">of </w:t>
      </w:r>
      <w:r w:rsidR="00C725C5" w:rsidRPr="003B54D8">
        <w:t>U.S. Environmental Protection Agency (EPA) recommend</w:t>
      </w:r>
      <w:r w:rsidR="00C725C5">
        <w:t>s against</w:t>
      </w:r>
      <w:r w:rsidR="00C725C5" w:rsidRPr="003B54D8">
        <w:t xml:space="preserve"> th</w:t>
      </w:r>
      <w:r w:rsidR="00C725C5">
        <w:t>is</w:t>
      </w:r>
      <w:r w:rsidR="00C725C5" w:rsidRPr="003B54D8">
        <w:t xml:space="preserve"> simple substitution method when the proportion </w:t>
      </w:r>
      <w:r w:rsidR="00C725C5">
        <w:t>of missing data due to the</w:t>
      </w:r>
      <w:r w:rsidR="00C725C5" w:rsidRPr="003B54D8">
        <w:t xml:space="preserve"> LOD is larger than 15%</w:t>
      </w:r>
      <w:r w:rsidR="003842F1">
        <w:t>.</w:t>
      </w:r>
      <w:r w:rsidR="00C725C5">
        <w:t xml:space="preserve"> </w:t>
      </w:r>
      <w:r w:rsidR="00C725C5" w:rsidRPr="00A101EC">
        <w:fldChar w:fldCharType="begin"/>
      </w:r>
      <w:r w:rsidR="006A3F13">
        <w:instrText xml:space="preserve"> ADDIN ZOTERO_ITEM CSL_CITATION {"citationID":"gMegVRvP","properties":{"formattedCitation":"\\super 8\\nosupersub{}","plainCitation":"8","noteIndex":0},"citationItems":[{"id":145,"uris":["http://zotero.org/users/7675815/items/AHYXXQAK"],"uri":["http://zotero.org/users/7675815/items/AHYXXQAK"],"itemData":{"id":145,"type":"webpage","abstract":"Demonstrates how to use data quality assessment in evaluating environmental data sets and illustrates how to apply some graphical and statistical tools for performing DQA.","container-title":"US EPA","genre":"Other Policies and Guidance","language":"en","title":"Guidance for Data Quality Assessment","URL":"https://www.epa.gov/quality/guidance-data-quality-assessment","author":[{"family":"US EPA","given":"OMS"}],"accessed":{"date-parts":[["2021",3,9]]},"issued":{"date-parts":[["2015",6,17]]}}}],"schema":"https://github.com/citation-style-language/schema/raw/master/csl-citation.json"} </w:instrText>
      </w:r>
      <w:r w:rsidR="00C725C5" w:rsidRPr="00A101EC">
        <w:fldChar w:fldCharType="separate"/>
      </w:r>
      <w:r w:rsidR="006A3F13" w:rsidRPr="006A3F13">
        <w:rPr>
          <w:vertAlign w:val="superscript"/>
        </w:rPr>
        <w:t>8</w:t>
      </w:r>
      <w:r w:rsidR="00C725C5" w:rsidRPr="00A101EC">
        <w:fldChar w:fldCharType="end"/>
      </w:r>
      <w:r w:rsidR="00C725C5" w:rsidRPr="003B54D8">
        <w:t xml:space="preserve"> </w:t>
      </w:r>
      <w:r w:rsidR="00C725C5">
        <w:t xml:space="preserve">Direct estimation of descriptive statistics by assuming </w:t>
      </w:r>
      <w:r w:rsidR="00F75EE7">
        <w:t>a certain</w:t>
      </w:r>
      <w:r w:rsidR="00C725C5">
        <w:t xml:space="preserve"> distribution is another common way to handle data below LOD</w:t>
      </w:r>
      <w:r w:rsidR="003842F1">
        <w:t>.</w:t>
      </w:r>
      <w:r w:rsidR="00B23A9E">
        <w:fldChar w:fldCharType="begin"/>
      </w:r>
      <w:r w:rsidR="006A3F13">
        <w:instrText xml:space="preserve"> ADDIN ZOTERO_ITEM CSL_CITATION {"citationID":"yFVPN89T","properties":{"formattedCitation":"\\super 4,5,9\\nosupersub{}","plainCitation":"4,5,9","noteIndex":0},"citationItems":[{"id":88,"uris":["http://zotero.org/users/7675815/items/Z3HUG3H2"],"uri":["http://zotero.org/users/7675815/items/Z3HUG3H2"],"itemData":{"id":88,"type":"book","ISBN":"1-118-16276-5","publisher":"John Wiley &amp; Sons","title":"Statistics for censored environmental data using Minitab and R","volume":"77","author":[{"family":"Helsel","given":""}],"issued":{"date-parts":[["2011"]]}}},{"id":"FULVJ1it/KtCB35cB","uris":["http://zotero.org/users/local/VUHfkti5/items/9TI3T8LG"],"uri":["http://zotero.org/users/local/VUHfkti5/items/9TI3T8LG"],"itemData":{"id":"FULVJ1it/KtCB35cB","type":"article-journal","abstract":"Concentrations of 27 priority volatile organic compounds were measured in water samples of the North Sea and Scheldt estuary during a 3-year monitoring study. Despite the use of a sensitive analytical method, a number of data were censored. That is, some concentrations were below the decision limit or critical level deﬁned by IUPAC. To characterize the observed measurement results, an attempt was made to identify an appropriate procedure to compute summary statistics for the censored data sets. Several parametric and robust parametric approaches based on the maximum likelihood principle and probability-plot regression method were evaluated for the estimation of the mean, standard deviation, median and interquartile range using three uncensored analytes (1,1,2-trichloroethane, tetrachloroethene and o-xylene) from the monitoring survey. Performance was assessed by artiﬁcially censoring the observed concentrations and estimating moments and quantiles at each censoring level. Results showed that methods with the least distributional assumptions, such as the robust bias-corrected restricted maximum likelihood method, perform best for estimating the mean and standard deviation, while both parametric and robust parametric techniques can be used for quantiles. Hence, summary statistics could be estimated with little bias (5–10%) up to 80% of censoring for the data sets employed in this study.","container-title":"Journal of Chromatography A","DOI":"10.1016/S0021-9673(02)01327-4","ISSN":"00219673","issue":"1","journalAbbreviation":"Journal of Chromatography A","language":"en","page":"123-133","source":"DOI.org (Crossref)","title":"How to estimate moments and quantiles of environmental data sets with non-detected observations? A case study on volatile organic compounds in marine water samples","title-short":"How to estimate moments and quantiles of environmental data sets with non-detected observations?","volume":"975","author":[{"family":"Huybrechts","given":"Tom"},{"family":"Thas","given":"Olivier"},{"family":"Dewulf","given":"Jo"},{"family":"Van Langenhove","given":"Herman"}],"issued":{"date-parts":[["2002",10]]}}},{"id":76,"uris":["http://zotero.org/users/7675815/items/TSWSSPY6"],"uri":["http://zotero.org/users/7675815/items/TSWSSPY6"],"itemData":{"id":76,"type":"article-journal","abstract":"BACKGROUND: Data with some values below a limit of detection (LOD) can be analyzed using methods of survival analysis for left-censored data. The reverse Kaplan-Meier (KM) estimator provides an effective method for estimating the distribution function and thus population percentiles for such data. Although developed in the 1970s and strongly advocated since then, it remains rarely used, partly due to limited software availability.\nMETHODS: In this paper, the reverse KM estimator is described and is illustrated using serum dioxin data from the University of Michigan Dioxin Exposure Study (UMDES) and the National Health and Nutrition Examination Survey (NHANES). Percentile estimates for left-censored data using the reverse KM estimator are compared with replacing values below the LOD with the LOD/2 or LOD/ radical2.\nRESULTS: When some LODs are in the upper range of the complete values, and/or the percent censored is high, the different methods can yield quite different percentile estimates. The reverse KM estimator, which is the nonparametric maximum likelihood estimator, is the preferred method. Software options are discussed: The reverse KM can be calculated using software for the KM estimator. The JMP and SAS (SAS Institute, Cary, NC) and Minitab (Minitab, Inc, State College, PA), software packages calculate the reverse KM directly using their Turnbull estimator routines.\nCONCLUSION: The reverse KM estimator is recommended for estimation of the distribution function and population percentiles in preference to commonly used methods such as substituting LOD/2 or LOD/ radical2 for values below the LOD, assuming a known parametric distribution, or using imputation to replace the left-censored values.","container-title":"Epidemiology (Cambridge, Mass.)","DOI":"10.1097/EDE.0b013e3181ce9f08","ISSN":"1531-5487","journalAbbreviation":"Epidemiology","language":"eng","note":"PMID: 20386104","page":"S64-70","source":"PubMed","title":"Estimating population distributions when some data are below a limit of detection by using a reverse Kaplan-Meier estimator","volume":"21 Suppl 4","author":[{"family":"Gillespie","given":"Brenda W."},{"family":"Chen","given":"Qixuan"},{"family":"Reichert","given":"Heidi"},{"family":"Franzblau","given":"Alfred"},{"family":"Hedgeman","given":"Elizabeth"},{"family":"Lepkowski","given":"James"},{"family":"Adriaens","given":"Peter"},{"family":"Demond","given":"Avery"},{"family":"Luksemburg","given":"William"},{"family":"Garabrant","given":"David H."}],"issued":{"date-parts":[["2010",7]]}}}],"schema":"https://github.com/citation-style-language/schema/raw/master/csl-citation.json"} </w:instrText>
      </w:r>
      <w:r w:rsidR="00B23A9E">
        <w:fldChar w:fldCharType="separate"/>
      </w:r>
      <w:r w:rsidR="006A3F13" w:rsidRPr="006A3F13">
        <w:rPr>
          <w:vertAlign w:val="superscript"/>
        </w:rPr>
        <w:t>4,5,9</w:t>
      </w:r>
      <w:r w:rsidR="00B23A9E">
        <w:fldChar w:fldCharType="end"/>
      </w:r>
      <w:r w:rsidR="003842F1">
        <w:t xml:space="preserve"> </w:t>
      </w:r>
      <w:r w:rsidR="008D4818">
        <w:t xml:space="preserve">A limitation of the direct estimation approach is that individual </w:t>
      </w:r>
      <w:r w:rsidR="009B35CB">
        <w:t xml:space="preserve">exposure values are unavailable, so more complex analyses using the complete data are not possible. </w:t>
      </w:r>
      <w:r w:rsidR="00F75EE7">
        <w:t>A</w:t>
      </w:r>
      <w:r w:rsidR="00564207">
        <w:t>lternative</w:t>
      </w:r>
      <w:r w:rsidR="00F75EE7">
        <w:t>ly,</w:t>
      </w:r>
      <w:r w:rsidR="00564207">
        <w:t xml:space="preserve"> </w:t>
      </w:r>
      <w:r w:rsidR="00F75EE7">
        <w:t>multiple imputation</w:t>
      </w:r>
      <w:r w:rsidR="00564207">
        <w:t xml:space="preserve"> </w:t>
      </w:r>
      <w:r w:rsidR="00F75EE7">
        <w:t xml:space="preserve">can be used </w:t>
      </w:r>
      <w:r w:rsidR="00564207">
        <w:t xml:space="preserve">to impute data below </w:t>
      </w:r>
      <w:r w:rsidR="00CE4ABE">
        <w:t xml:space="preserve">the </w:t>
      </w:r>
      <w:r w:rsidR="00564207">
        <w:t>LOD</w:t>
      </w:r>
      <w:r w:rsidR="003842F1">
        <w:t>.</w:t>
      </w:r>
      <w:r w:rsidR="00B23A9E">
        <w:fldChar w:fldCharType="begin"/>
      </w:r>
      <w:r w:rsidR="006A3F13">
        <w:instrText xml:space="preserve"> ADDIN ZOTERO_ITEM CSL_CITATION {"citationID":"v0aE56y1","properties":{"formattedCitation":"\\super 10\\nosupersub{}","plainCitation":"10","noteIndex":0},"citationItems":[{"id":69,"uris":["http://zotero.org/users/7675815/items/JIXIRQHV"],"uri":["http://zotero.org/users/7675815/items/JIXIRQHV"],"itemData":{"id":69,"type":"article-journal","container-title":"Biometrika","ISSN":"1464-3510","issue":"3","journalAbbreviation":"Biometrika","note":"publisher: Oxford University Press","page":"581-592","title":"Inference and missing data","volume":"63","author":[{"family":"Rubin","given":"Donald B"}],"issued":{"date-parts":[["1976"]]}}}],"schema":"https://github.com/citation-style-language/schema/raw/master/csl-citation.json"} </w:instrText>
      </w:r>
      <w:r w:rsidR="00B23A9E">
        <w:fldChar w:fldCharType="separate"/>
      </w:r>
      <w:r w:rsidR="006A3F13" w:rsidRPr="006A3F13">
        <w:rPr>
          <w:vertAlign w:val="superscript"/>
        </w:rPr>
        <w:t>10</w:t>
      </w:r>
      <w:r w:rsidR="00B23A9E">
        <w:fldChar w:fldCharType="end"/>
      </w:r>
      <w:r w:rsidR="00642F9F">
        <w:t xml:space="preserve"> </w:t>
      </w:r>
      <w:r w:rsidR="00564207">
        <w:t xml:space="preserve">The resulted completed data set can then be used for </w:t>
      </w:r>
      <w:r w:rsidR="009B35CB">
        <w:t xml:space="preserve">any </w:t>
      </w:r>
      <w:r w:rsidR="00564207">
        <w:t>analytic inference (e.g. regression) in addition to summary statistics.</w:t>
      </w:r>
    </w:p>
    <w:p w14:paraId="27A25242" w14:textId="4BF8DC34" w:rsidR="009D0501" w:rsidRDefault="00564207" w:rsidP="004D762A">
      <w:pPr>
        <w:spacing w:line="480" w:lineRule="auto"/>
        <w:ind w:firstLine="720"/>
      </w:pPr>
      <w:r>
        <w:t xml:space="preserve">Although MI methods for data below LOD have been well studied, few have considered the LOD issue in exposure mixtures. Some studied exposures to multiple environmental </w:t>
      </w:r>
      <w:r>
        <w:lastRenderedPageBreak/>
        <w:t>chemicals but only imputed one environmental exposure variable at a time, ignoring the possible correlations among the mixtures</w:t>
      </w:r>
      <w:r w:rsidR="003842F1">
        <w:t>.</w:t>
      </w:r>
      <w:r>
        <w:fldChar w:fldCharType="begin"/>
      </w:r>
      <w:r w:rsidR="006A3F13">
        <w:instrText xml:space="preserve"> ADDIN ZOTERO_ITEM CSL_CITATION {"citationID":"GIjdyFwg","properties":{"formattedCitation":"\\super 11,12\\nosupersub{}","plainCitation":"11,12","noteIndex":0},"citationItems":[{"id":37,"uris":["http://zotero.org/users/7675815/items/75UTIDBB"],"uri":["http://zotero.org/users/7675815/items/75UTIDBB"],"itemData":{"id":37,"type":"article-journal","container-title":"Journal of the American Statistical Association","DOI":"10.1198/016214504000000061","ISSN":"0162-1459, 1537-274X","issue":"465","journalAbbreviation":"Journal of the American Statistical Association","language":"en","page":"45-56","source":"DOI.org (Crossref)","title":"Analysis of Contaminant Co-Occurrence in Community Water Systems","volume":"99","author":[{"family":"Lockwood","given":"J. R"},{"family":"Schervish","given":"Mark J"},{"family":"Gurian","given":"Patrick L"},{"family":"Small","given":"Mitchell J"}],"issued":{"date-parts":[["2004",3]]}}},{"id":38,"uris":["http://zotero.org/users/7675815/items/VNSSJEHN"],"uri":["http://zotero.org/users/7675815/items/VNSSJEHN"],"itemData":{"id":38,"type":"article-journal","container-title":"Journal of Computational and Graphical Statistics","DOI":"10.1198/106186005X47967","ISSN":"1061-8600, 1537-2715","issue":"2","journalAbbreviation":"Journal of Computational and Graphical Statistics","language":"en","page":"395-414","source":"DOI.org (Crossref)","title":"MCMC Strategies for Computing Bayesian Predictive Densities for Censored Multivariate Data","volume":"14","author":[{"family":"Lockwood","given":"J. R"},{"family":"Schervish","given":"Mark J"}],"issued":{"date-parts":[["2005",6]]}}}],"schema":"https://github.com/citation-style-language/schema/raw/master/csl-citation.json"} </w:instrText>
      </w:r>
      <w:r>
        <w:fldChar w:fldCharType="separate"/>
      </w:r>
      <w:r w:rsidR="006A3F13" w:rsidRPr="006A3F13">
        <w:rPr>
          <w:vertAlign w:val="superscript"/>
        </w:rPr>
        <w:t>11,12</w:t>
      </w:r>
      <w:r>
        <w:fldChar w:fldCharType="end"/>
      </w:r>
      <w:r>
        <w:t xml:space="preserve"> Others assumed bivariate </w:t>
      </w:r>
      <w:r w:rsidR="00A41AF6">
        <w:t xml:space="preserve">or multivariate </w:t>
      </w:r>
      <w:r>
        <w:t>normal distribution, but either made the ignorable missingness assumption for data below LODs</w:t>
      </w:r>
      <w:r w:rsidR="00202B8C">
        <w:t xml:space="preserve"> </w:t>
      </w:r>
      <w:r>
        <w:t>or did not incorporate possible predictors in the imputations of data below LODs</w:t>
      </w:r>
      <w:r w:rsidR="003842F1">
        <w:t>.</w:t>
      </w:r>
      <w:r>
        <w:fldChar w:fldCharType="begin"/>
      </w:r>
      <w:r w:rsidR="006A3F13">
        <w:instrText xml:space="preserve"> ADDIN ZOTERO_ITEM CSL_CITATION {"citationID":"1nJ0IIrK","properties":{"formattedCitation":"\\super 13\\uc0\\u8211{}16\\nosupersub{}","plainCitation":"13–16","noteIndex":0},"citationItems":[{"id":65,"uris":["http://zotero.org/users/7675815/items/8DCQ7K4B"],"uri":["http://zotero.org/users/7675815/items/8DCQ7K4B"],"itemData":{"id":65,"type":"article-journal","abstract":"BACKGROUND: Environmental and biomedical researchers frequently encounter laboratory data constrained by a lower limit of detection (LOD). Commonly used methods to address these left-censored data, such as simple substitution of a constant for all values &lt; LOD, may bias parameter estimation. In contrast, multiple imputation (MI) methods yield valid and robust parameter estimates and explicit imputed values for variables that can be analyzed as outcomes or predictors.\nOBJECTIVE: In this article we expand distribution-based MI methods for left-censored data to a bivariate setting, specifically, a longitudinal study with biological measures at two points in time.\nMETHODS: We have presented the likelihood function for a bivariate normal distribution taking into account values &lt; LOD as well as missing data assumed missing at random, and we use the estimated distributional parameters to impute values &lt; LOD and to generate multiple plausible data sets for analysis by standard statistical methods. We conducted a simulation study to evaluate the sampling properties of the estimators, and we illustrate a practical application using data from the Community Participatory Approach to Measuring Farmworker Pesticide Exposure (PACE3) study to estimate associations between urinary acephate (APE) concentrations (indicating pesticide exposure) at two points in time and self-reported symptoms.\nRESULTS: Simulation study results demonstrated that imputed and observed values together were consistent with the assumed and estimated underlying distribution. Our analysis of PACE3 data using MI to impute APE values &lt; LOD showed that urinary APE concentration was significantly associated with potential pesticide poisoning symptoms. Results based on simple substitution methods were substantially different from those based on the MI method.\nCONCLUSIONS: The distribution-based MI method is a valid and feasible approach to analyze bivariate data with values &lt; LOD, especially when explicit values for the nondetections are needed. We recommend the use of this approach in environmental and biomedical research.","container-title":"Environmental Health Perspectives","DOI":"10.1289/ehp.1002124","ISSN":"1552-9924","issue":"3","journalAbbreviation":"Environ Health Perspect","language":"eng","note":"PMID: 21097385\nPMCID: PMC3059998","page":"351-356","source":"PubMed","title":"A distribution-based multiple imputation method for handling bivariate pesticide data with values below the limit of detection","volume":"119","author":[{"family":"Chen","given":"Haiying"},{"family":"Quandt","given":"Sara A."},{"family":"Grzywacz","given":"Joseph G."},{"family":"Arcury","given":"Thomas A."}],"issued":{"date-parts":[["2011",3]]}}},{"id":"FULVJ1it/peqQJ81N","uris":["http://zotero.org/users/local/VUHfkti5/items/722LBH22"],"uri":["http://zotero.org/users/local/VUHfkti5/items/722LBH22"],"itemData":{"id":39,"type":"article-journal","abstract":"Drinking water disinfection by-product (DBP) occurrence research is important in supporting risk assessment and regulatory performance assessment. Recent DBP occurrence surveys have expanded their scope to include non-regulated priority DBPs as well as regulated DBPs. This study applies a Box–Cox transformed multivariate normal model and data augmentation methods for left-censored and missing observations to US EPA Information Collection Rule (ICR) drinking water data to describe the variability in the trihalomethane (THM4), trihaloacetic acid (THAA), dihaloacetic acid (DHAA), and dihaloacetonitrile (DHAN) DBP classes, the relationship between class-sum and the occurrence of individual DBPs within these classes. Inferences about bromine incorporation in these classes are then compared to those made by Obolensky and Singer (2005). Results reported herein show that class-based and individual DBP concentrations are strongly related to bromine substitution, and that speciation and bromine substitution patterns are consistent across DBP classes. In addition, the multiple imputation approach employed reveals that uncertainties related to missing and left-censored DBPs have important implications for understanding bromine substitution in the THAA class. These concerns should be considered through alternative approaches to DBP regulation in subsequent Stage II D/DBP assessment and revisions, where appropriate.","container-title":"Water Research","DOI":"10.1016/j.watres.2009.05.008","ISSN":"00431354","issue":"14","journalAbbreviation":"Water Research","language":"en","page":"3453-3468","source":"DOI.org (Crossref)","title":"Multivariate distributions of disinfection by-products in chlorinated drinking water","volume":"43","author":[{"family":"Francis","given":"Royce A."},{"family":"Small","given":"Mitchell J."},{"family":"VanBriesen","given":"Jeanne M."}],"issued":{"date-parts":[["2009",8]]}}},{"id":40,"uris":["http://zotero.org/users/7675815/items/2P4C4EZU"],"uri":["http://zotero.org/users/7675815/items/2P4C4EZU"],"itemData":{"id":40,"type":"article-journal","abstract":"Many chemical and environmental data sets are complicated by the existence of fully missing values or censored values known to lie below detection thresholds. For example, week-long samples of airborne particulate matter were obtained at Alert, NWT, Canada, between 1980 and 1991, where some of the concentrations of 24 particulate constituents were coarsened in the sense of being either fully missing or below detection limits. To facilitate scientific analysis, it is appealing to create complete data by filling in missing values so that standard complete-data methods can be applied. We briefly review commonly used strategies for handling missing values and focus on the multiple-imputation approach, which generally leads to valid inferences when faced with missing data. Three statistical models are developed for multiply imputing the missing values of airborne particulate matter. We expect that these models are useful for creating multiple amputations in a variety of incomplete multivariate time series data sets.","container-title":"Biometrics","DOI":"10.1111/j.0006-341X.2001.00022.x","ISSN":"0006-341X, 1541-0420","issue":"1","journalAbbreviation":"Biometrics","language":"en","page":"22-33","source":"DOI.org (Crossref)","title":"Multiple Imputation for Multivariate Data with Missing and Below‐Threshold Measurements: Time‐Series Concentrations of Pollutants in the Arctic","title-short":"Multiple Imputation for Multivariate Data with Missing and Below‐Threshold Measurements","volume":"57","author":[{"family":"Hopke","given":"Philip K."},{"family":"Liu","given":"Chuanhai"},{"family":"Rubin","given":"Donald B."}],"issued":{"date-parts":[["2001",3]]}}},{"id":"FULVJ1it/ndgqFcSc","uris":["http://zotero.org/users/7675815/items/M4SDGY4C"],"uri":["http://zotero.org/users/7675815/items/M4SDGY4C"],"itemData":{"id":152,"type":"article-journal","abstract":"BackgroundArsenic exposure in drinking water disproportionately affects small communities in some U.S. regions, including American Indian communities. In U.S. adults with no seafood intake, median total urine arsenic is 3.4 μg/L.ObjectiveWe evaluated arsenic exposure and excretion patterns using urine samples collected over 10 years in a random sample of American Indians from Arizona, Oklahoma, and North and South Dakota who participated in a cohort study from 1989 to 1999.MethodsWe measured total urine arsenic and arsenic species [inorganic arsenic (arsenite and arsenate), methylarsonate (MA), dimethylarsinate (DMA), and arsenobetaine] concentrations in 60 participants (three urine samples each, for a total of 180 urine samples) using inductively coupled plasma/mass spectrometry (ICPMS) and high-performance liquid chromatography/ICPMS, respectively.ResultsMedian (10th, 90th percentiles) urine concentration for the sum of inorganic arsenic, MA, and DMA at baseline was 7.2 (3.1, 16.9) μg/g creatinine; the median was higher in Arizona (12.5 μg/g), intermediate in the Dakotas (9.1 μg/g), and lower in Oklahoma (4.4 μg/g). The mean percentage distribution of arsenic species over the sum of inorganic and methylated species was 10.6% for inorganic arsenic, 18.4% for MA, and 70.9% for DMA. The intraclass correlation coefficient for three repeated arsenic measurements over a 10-year period was 0.80 for the sum of inorganic and methylated species and 0.64, 0.80, and 0.77 for percent inorganic arsenic, percent MA, and percent DMA, respectively.ConclusionsThis study found low to moderate inorganic arsenic exposure and confirmed long-term constancy in arsenic exposure and urine excretion patterns in American Indians from three U.S. regions over a 10-year period. Our findings support the feasibility of analyzing arsenic species in large population-based studies with stored urine samples.","container-title":"Environmental Health Perspectives","DOI":"10.1289/ehp.0800509","issue":"9","journalAbbreviation":"Environmental Health Perspectives","note":"publisher: Environmental Health Perspectives","page":"1428-1433","source":"ehp.niehs.nih.gov (Atypon)","title":"Urine Arsenic Concentrations and Species Excretion Patterns in American Indian Communities Over a 10-year Period: The Strong Heart Study","title-short":"Urine Arsenic Concentrations and Species Excretion Patterns in American Indian Communities Over a 10-year Period","volume":"117","author":[{"literal":"Navas-Acien Ana"},{"literal":"Umans Jason G."},{"literal":"Howard Barbara V."},{"literal":"Goessler Walter"},{"literal":"Francesconi Kevin A."},{"literal":"Crainiceanu Ciprian M."},{"literal":"Silbergeld Ellen K."},{"literal":"Guallar Eliseo"}],"issued":{"date-parts":[["2009",9,1]]}}}],"schema":"https://github.com/citation-style-language/schema/raw/master/csl-citation.json"} </w:instrText>
      </w:r>
      <w:r>
        <w:fldChar w:fldCharType="separate"/>
      </w:r>
      <w:r w:rsidR="006A3F13" w:rsidRPr="006A3F13">
        <w:rPr>
          <w:vertAlign w:val="superscript"/>
        </w:rPr>
        <w:t>13–16</w:t>
      </w:r>
      <w:r>
        <w:fldChar w:fldCharType="end"/>
      </w:r>
      <w:r>
        <w:t xml:space="preserve"> However, the missing data caused by LODs are nonignorable, because the reason of missingness depends on the values of the exposure mixtures themselves</w:t>
      </w:r>
      <w:r w:rsidR="003842F1">
        <w:t>.</w:t>
      </w:r>
      <w:r>
        <w:fldChar w:fldCharType="begin"/>
      </w:r>
      <w:r w:rsidR="006A3F13">
        <w:instrText xml:space="preserve"> ADDIN ZOTERO_ITEM CSL_CITATION {"citationID":"YPDPoac7","properties":{"formattedCitation":"\\super 17\\nosupersub{}","plainCitation":"17","noteIndex":0},"citationItems":[{"id":73,"uris":["http://zotero.org/users/7675815/items/7GNZM2J7"],"uri":["http://zotero.org/users/7675815/items/7GNZM2J7"],"itemData":{"id":73,"type":"book","ISBN":"0-470-52679-3","publisher":"John Wiley &amp; Sons","title":"Statistical analysis with missing data","volume":"793","author":[{"family":"Little","given":"Roderick JA"},{"family":"Rubin","given":"Donald B."}],"issued":{"date-parts":[["2019"]]}}}],"schema":"https://github.com/citation-style-language/schema/raw/master/csl-citation.json"} </w:instrText>
      </w:r>
      <w:r>
        <w:fldChar w:fldCharType="separate"/>
      </w:r>
      <w:r w:rsidR="006A3F13" w:rsidRPr="006A3F13">
        <w:rPr>
          <w:vertAlign w:val="superscript"/>
        </w:rPr>
        <w:t>17</w:t>
      </w:r>
      <w:r>
        <w:fldChar w:fldCharType="end"/>
      </w:r>
      <w:r>
        <w:t xml:space="preserve"> Consequently, imputation methods that fail to account for this nonignorable missing mechanism could lead to poor imputations of data below LODs and thus biased statistical inference of the exposure mixtures. Further, including important predictors of environmental exposures can largely improve the imputations of data below LODs. </w:t>
      </w:r>
    </w:p>
    <w:p w14:paraId="2913A62A" w14:textId="0ADE6802" w:rsidR="00564207" w:rsidRPr="00B350B7" w:rsidRDefault="00564207" w:rsidP="0029785F">
      <w:pPr>
        <w:spacing w:line="480" w:lineRule="auto"/>
        <w:ind w:firstLine="720"/>
        <w:sectPr w:rsidR="00564207" w:rsidRPr="00B350B7" w:rsidSect="00C2134A">
          <w:pgSz w:w="12240" w:h="15840"/>
          <w:pgMar w:top="1440" w:right="1440" w:bottom="1440" w:left="1440" w:header="720" w:footer="720" w:gutter="0"/>
          <w:cols w:space="720"/>
          <w:docGrid w:linePitch="360"/>
        </w:sectPr>
      </w:pPr>
      <w:r>
        <w:t xml:space="preserve">In this paper, we developed a Bayesian multivariate </w:t>
      </w:r>
      <w:r w:rsidR="004C2560">
        <w:t>Tobit</w:t>
      </w:r>
      <w:r>
        <w:t xml:space="preserve"> regression imputation method for exposure mixtures</w:t>
      </w:r>
      <w:r w:rsidR="00515CAF">
        <w:t xml:space="preserve"> with </w:t>
      </w:r>
      <w:r w:rsidR="004C2560">
        <w:t>missing data</w:t>
      </w:r>
      <w:r w:rsidR="00515CAF">
        <w:t xml:space="preserve"> due to LODs</w:t>
      </w:r>
      <w:r>
        <w:t xml:space="preserve">, assuming a multivariate normal distribution for exposure mixtures. Our method accounts for nonignorable missing data mechanism via </w:t>
      </w:r>
      <w:r w:rsidR="004C2560">
        <w:t>Tobit</w:t>
      </w:r>
      <w:r>
        <w:t xml:space="preserve"> regression and models possible correlations among exposure mixtures via multivariate normal distribution. We compared the performance of the proposed model to alternative methods in estimating descriptive statistics and regression coefficients in linear regression using simulations with fully observed </w:t>
      </w:r>
      <w:r w:rsidR="00397DEB">
        <w:t xml:space="preserve">speciated urinary </w:t>
      </w:r>
      <w:r>
        <w:t>arsenic data from the Strong Heart Family Study</w:t>
      </w:r>
      <w:r w:rsidR="00437036">
        <w:t>, an epidemiologic cohort of American Indian adults</w:t>
      </w:r>
      <w:r>
        <w:t>.</w:t>
      </w:r>
      <w:r w:rsidR="005D7B22">
        <w:t xml:space="preserve"> Arsenic is a particularly interesting chemical to study, as different exposure sources (mainly water and food) contribute different inorganic and organic species, some of which undergo additional biotransformation in the body, resulting in </w:t>
      </w:r>
      <w:r w:rsidR="00574C51">
        <w:t>a complex mixture of arsenic species if urine that all contribute to total arsenic.</w:t>
      </w:r>
      <w:r w:rsidR="005D7B22">
        <w:t xml:space="preserve"> </w:t>
      </w:r>
      <w:r>
        <w:t xml:space="preserve"> We also applied the proposed method to the estimation of population means and quantiles of </w:t>
      </w:r>
      <w:r w:rsidR="00BD5B22">
        <w:t xml:space="preserve">speciated </w:t>
      </w:r>
      <w:r>
        <w:t>urin</w:t>
      </w:r>
      <w:r w:rsidR="00BD5B22">
        <w:t>ary</w:t>
      </w:r>
      <w:r>
        <w:t xml:space="preserve"> arsenic data using the 2013-2014 National Health and Nutrition Examination Survey (NHANES), where there are moderate proportions of arsenic data below </w:t>
      </w:r>
      <w:r>
        <w:lastRenderedPageBreak/>
        <w:t>LODs. We provide a user-friendly R package ‘</w:t>
      </w:r>
      <w:proofErr w:type="spellStart"/>
      <w:r>
        <w:t>mvtobit</w:t>
      </w:r>
      <w:proofErr w:type="spellEnd"/>
      <w:r>
        <w:t>’ for the easy implementation of the proposed method.</w:t>
      </w:r>
    </w:p>
    <w:p w14:paraId="71DA6B9A" w14:textId="47AF6B3C" w:rsidR="00564207" w:rsidRDefault="00564207" w:rsidP="00E33AB2">
      <w:pPr>
        <w:pStyle w:val="Heading2"/>
      </w:pPr>
      <w:bookmarkStart w:id="2" w:name="_Toc44249110"/>
      <w:r>
        <w:lastRenderedPageBreak/>
        <w:t>2</w:t>
      </w:r>
      <w:r w:rsidR="001E3F35">
        <w:t>.</w:t>
      </w:r>
      <w:r>
        <w:t xml:space="preserve"> Methods</w:t>
      </w:r>
      <w:bookmarkEnd w:id="2"/>
    </w:p>
    <w:p w14:paraId="635EE4AF" w14:textId="2C3FB5B3" w:rsidR="00564207" w:rsidRDefault="00564207" w:rsidP="001E3F35">
      <w:pPr>
        <w:widowControl w:val="0"/>
        <w:autoSpaceDE w:val="0"/>
        <w:autoSpaceDN w:val="0"/>
        <w:adjustRightInd w:val="0"/>
        <w:spacing w:line="480" w:lineRule="auto"/>
        <w:rPr>
          <w:bCs/>
          <w:iCs/>
        </w:rPr>
      </w:pPr>
      <w:r w:rsidRPr="003116F2">
        <w:rPr>
          <w:bCs/>
          <w:iCs/>
        </w:rPr>
        <w:t>2.1</w:t>
      </w:r>
      <w:r>
        <w:rPr>
          <w:bCs/>
          <w:iCs/>
        </w:rPr>
        <w:t xml:space="preserve"> </w:t>
      </w:r>
      <w:r w:rsidR="0038488D">
        <w:rPr>
          <w:bCs/>
          <w:iCs/>
        </w:rPr>
        <w:t>Study populations</w:t>
      </w:r>
    </w:p>
    <w:p w14:paraId="4A780396" w14:textId="7DF49F13" w:rsidR="00564207" w:rsidRPr="003116F2" w:rsidRDefault="00564207" w:rsidP="00564207">
      <w:pPr>
        <w:widowControl w:val="0"/>
        <w:autoSpaceDE w:val="0"/>
        <w:autoSpaceDN w:val="0"/>
        <w:adjustRightInd w:val="0"/>
        <w:spacing w:after="120" w:line="480" w:lineRule="auto"/>
      </w:pPr>
      <w:r w:rsidRPr="003116F2">
        <w:t>In this paper, we use</w:t>
      </w:r>
      <w:r>
        <w:t>d</w:t>
      </w:r>
      <w:r w:rsidRPr="003116F2">
        <w:t xml:space="preserve"> </w:t>
      </w:r>
      <w:r w:rsidR="005F6799">
        <w:t xml:space="preserve">speciated urinary arsenic </w:t>
      </w:r>
      <w:r w:rsidRPr="003116F2">
        <w:t xml:space="preserve">datasets </w:t>
      </w:r>
      <w:r w:rsidR="00163309">
        <w:t xml:space="preserve">from two epidemiologic cohorts </w:t>
      </w:r>
      <w:r w:rsidRPr="003116F2">
        <w:t xml:space="preserve">to </w:t>
      </w:r>
      <w:r w:rsidR="00C02FF0">
        <w:t>demonstrate the application of</w:t>
      </w:r>
      <w:r w:rsidR="00023469">
        <w:t xml:space="preserve"> </w:t>
      </w:r>
      <w:r w:rsidR="00804B61">
        <w:t>the</w:t>
      </w:r>
      <w:r w:rsidR="00023469">
        <w:t xml:space="preserve"> proposed imputation method and to </w:t>
      </w:r>
      <w:r>
        <w:t>compare</w:t>
      </w:r>
      <w:r w:rsidRPr="003116F2">
        <w:t xml:space="preserve"> </w:t>
      </w:r>
      <w:r>
        <w:t>various</w:t>
      </w:r>
      <w:r w:rsidRPr="003116F2">
        <w:t xml:space="preserve"> methods</w:t>
      </w:r>
      <w:r>
        <w:t xml:space="preserve"> of handling data below </w:t>
      </w:r>
      <w:r w:rsidR="00935D24">
        <w:t xml:space="preserve">the </w:t>
      </w:r>
      <w:r>
        <w:t>LOD</w:t>
      </w:r>
      <w:r w:rsidR="00023469">
        <w:t xml:space="preserve">. </w:t>
      </w:r>
      <w:r w:rsidR="00C219C9">
        <w:t xml:space="preserve">We </w:t>
      </w:r>
      <w:r w:rsidR="00B063E4">
        <w:t>used</w:t>
      </w:r>
      <w:r w:rsidR="00C219C9">
        <w:t xml:space="preserve"> speciated urinary arsenic measurements</w:t>
      </w:r>
      <w:r w:rsidR="00F02012">
        <w:t xml:space="preserve"> </w:t>
      </w:r>
      <w:r w:rsidR="00ED0D59">
        <w:t>for</w:t>
      </w:r>
      <w:r w:rsidR="00645E18">
        <w:t xml:space="preserve"> participants in the</w:t>
      </w:r>
      <w:r w:rsidR="003B76BF">
        <w:t xml:space="preserve"> </w:t>
      </w:r>
      <w:r w:rsidRPr="003116F2">
        <w:t>Strong Heart Family Study (SHFS)</w:t>
      </w:r>
      <w:r w:rsidR="00AC21D1">
        <w:t xml:space="preserve"> </w:t>
      </w:r>
      <w:r w:rsidR="004B01DB" w:rsidRPr="003116F2">
        <w:t xml:space="preserve">as the study population for </w:t>
      </w:r>
      <w:r w:rsidR="004B01DB">
        <w:t>our</w:t>
      </w:r>
      <w:r w:rsidR="008D7484">
        <w:t xml:space="preserve"> </w:t>
      </w:r>
      <w:r w:rsidR="004B01DB" w:rsidRPr="003116F2">
        <w:t>simulation</w:t>
      </w:r>
      <w:r w:rsidR="00897C77">
        <w:t xml:space="preserve">s </w:t>
      </w:r>
      <w:r w:rsidR="00AC21D1">
        <w:t>because</w:t>
      </w:r>
      <w:r w:rsidR="006D54D3">
        <w:t xml:space="preserve"> very few </w:t>
      </w:r>
      <w:proofErr w:type="spellStart"/>
      <w:r w:rsidR="006D54D3">
        <w:t>urin</w:t>
      </w:r>
      <w:r w:rsidR="000367B2">
        <w:t>ry</w:t>
      </w:r>
      <w:proofErr w:type="spellEnd"/>
      <w:r w:rsidR="006D54D3">
        <w:t xml:space="preserve"> arsenic </w:t>
      </w:r>
      <w:r w:rsidR="000367B2">
        <w:t>measurements</w:t>
      </w:r>
      <w:r w:rsidR="006D54D3">
        <w:t xml:space="preserve"> were below the LOD</w:t>
      </w:r>
      <w:r w:rsidR="00F73454">
        <w:t>s</w:t>
      </w:r>
      <w:r w:rsidRPr="003116F2">
        <w:t>. We illustrate</w:t>
      </w:r>
      <w:r>
        <w:t>d</w:t>
      </w:r>
      <w:r w:rsidRPr="003116F2">
        <w:t xml:space="preserve"> the application </w:t>
      </w:r>
      <w:r w:rsidR="003D3363">
        <w:t xml:space="preserve">of </w:t>
      </w:r>
      <w:r w:rsidR="00C02FF0">
        <w:t xml:space="preserve">the proposed method using </w:t>
      </w:r>
      <w:r w:rsidR="002F631F">
        <w:t xml:space="preserve">speciated urinary arsenic </w:t>
      </w:r>
      <w:r w:rsidR="00C02FF0">
        <w:t>measurements</w:t>
      </w:r>
      <w:r w:rsidRPr="003116F2">
        <w:t xml:space="preserve"> </w:t>
      </w:r>
      <w:r w:rsidR="00A05005">
        <w:t>for participants in</w:t>
      </w:r>
      <w:r w:rsidR="00A05005" w:rsidRPr="003116F2">
        <w:t xml:space="preserve"> </w:t>
      </w:r>
      <w:r w:rsidRPr="003116F2">
        <w:t xml:space="preserve">the </w:t>
      </w:r>
      <w:r>
        <w:t xml:space="preserve">2013-2014 </w:t>
      </w:r>
      <w:r w:rsidRPr="003116F2">
        <w:t>National Health and Nutrition Examination Survey (NHANES)</w:t>
      </w:r>
      <w:r w:rsidR="00C02FF0">
        <w:t xml:space="preserve">, which has </w:t>
      </w:r>
      <w:r w:rsidR="00D10266">
        <w:t>moderate</w:t>
      </w:r>
      <w:r>
        <w:t xml:space="preserve"> LOD</w:t>
      </w:r>
      <w:r w:rsidR="00C02FF0">
        <w:t>s</w:t>
      </w:r>
      <w:r>
        <w:t xml:space="preserve"> for </w:t>
      </w:r>
      <w:r w:rsidR="00946DBE">
        <w:t xml:space="preserve">several urinary </w:t>
      </w:r>
      <w:r>
        <w:t xml:space="preserve">arsenic </w:t>
      </w:r>
      <w:r w:rsidR="00946DBE">
        <w:t>species</w:t>
      </w:r>
      <w:r w:rsidRPr="003116F2">
        <w:t>.</w:t>
      </w:r>
    </w:p>
    <w:p w14:paraId="792E6E8D" w14:textId="77777777" w:rsidR="00564207" w:rsidRDefault="00564207" w:rsidP="001E3F35">
      <w:pPr>
        <w:widowControl w:val="0"/>
        <w:autoSpaceDE w:val="0"/>
        <w:autoSpaceDN w:val="0"/>
        <w:adjustRightInd w:val="0"/>
        <w:spacing w:line="480" w:lineRule="auto"/>
        <w:rPr>
          <w:bCs/>
          <w:i/>
        </w:rPr>
      </w:pPr>
    </w:p>
    <w:p w14:paraId="055407FE" w14:textId="67038BA2" w:rsidR="00564207" w:rsidRPr="00800DAC" w:rsidRDefault="00564207" w:rsidP="001E3F35">
      <w:pPr>
        <w:widowControl w:val="0"/>
        <w:autoSpaceDE w:val="0"/>
        <w:autoSpaceDN w:val="0"/>
        <w:adjustRightInd w:val="0"/>
        <w:spacing w:line="480" w:lineRule="auto"/>
        <w:rPr>
          <w:bCs/>
          <w:i/>
        </w:rPr>
      </w:pPr>
      <w:r>
        <w:rPr>
          <w:bCs/>
          <w:i/>
        </w:rPr>
        <w:t xml:space="preserve">2.1.1 </w:t>
      </w:r>
      <w:r w:rsidRPr="003116F2">
        <w:rPr>
          <w:bCs/>
          <w:i/>
        </w:rPr>
        <w:t xml:space="preserve">The Strong Heart </w:t>
      </w:r>
      <w:r>
        <w:rPr>
          <w:bCs/>
          <w:i/>
        </w:rPr>
        <w:t xml:space="preserve">Family </w:t>
      </w:r>
      <w:r w:rsidRPr="003116F2">
        <w:rPr>
          <w:bCs/>
          <w:i/>
        </w:rPr>
        <w:t>Study</w:t>
      </w:r>
      <w:r>
        <w:rPr>
          <w:bCs/>
          <w:i/>
        </w:rPr>
        <w:t xml:space="preserve"> (SHFS)</w:t>
      </w:r>
    </w:p>
    <w:p w14:paraId="03C35CFD" w14:textId="6A5654A2" w:rsidR="00564207" w:rsidRDefault="00564207" w:rsidP="00037699">
      <w:pPr>
        <w:widowControl w:val="0"/>
        <w:autoSpaceDE w:val="0"/>
        <w:autoSpaceDN w:val="0"/>
        <w:adjustRightInd w:val="0"/>
        <w:spacing w:after="120" w:line="480" w:lineRule="auto"/>
      </w:pPr>
      <w:r>
        <w:t>The Strong Heart Study (SHS) is a population-based prospective cohort study of</w:t>
      </w:r>
      <w:r w:rsidR="0067081F">
        <w:t xml:space="preserve"> 4,549</w:t>
      </w:r>
      <w:r>
        <w:t xml:space="preserve"> </w:t>
      </w:r>
      <w:r w:rsidR="0067081F">
        <w:t>American Indian (AI) adult</w:t>
      </w:r>
      <w:r w:rsidR="00C0504F">
        <w:t xml:space="preserve">s </w:t>
      </w:r>
      <w:r w:rsidR="00987FCF">
        <w:t xml:space="preserve">living in Arizona, Oklahoma, and North and South Dakota </w:t>
      </w:r>
      <w:r w:rsidR="000F4B29">
        <w:t xml:space="preserve">who are </w:t>
      </w:r>
      <w:r w:rsidR="0067081F">
        <w:t>followed primarily for</w:t>
      </w:r>
      <w:r w:rsidR="005355C6">
        <w:t xml:space="preserve"> the study of</w:t>
      </w:r>
      <w:r w:rsidR="0067081F">
        <w:t xml:space="preserve"> </w:t>
      </w:r>
      <w:r>
        <w:t xml:space="preserve">cardiometabolic diseases. </w:t>
      </w:r>
      <w:r w:rsidR="005A61B1">
        <w:t>All eligible adults</w:t>
      </w:r>
      <w:r w:rsidR="00E924DD">
        <w:t xml:space="preserve"> aged 45-74</w:t>
      </w:r>
      <w:r w:rsidR="005A61B1">
        <w:t xml:space="preserve"> were invited to participa</w:t>
      </w:r>
      <w:r w:rsidR="005611AB">
        <w:t>te</w:t>
      </w:r>
      <w:r w:rsidR="005A61B1">
        <w:t xml:space="preserve"> </w:t>
      </w:r>
      <w:r w:rsidR="00C5399A">
        <w:t>at</w:t>
      </w:r>
      <w:r w:rsidR="005A61B1">
        <w:t xml:space="preserve"> the SHS baseline exam (Phase I, 1989-19</w:t>
      </w:r>
      <w:r w:rsidR="006326AC">
        <w:t>91</w:t>
      </w:r>
      <w:r w:rsidR="005A61B1">
        <w:t>, median age 55 years)</w:t>
      </w:r>
      <w:r w:rsidR="00304276">
        <w:t>, and were re-examined during follow-up visits at Phase II (1993-1995) and Phase I</w:t>
      </w:r>
      <w:r w:rsidR="00696FE8">
        <w:t>I</w:t>
      </w:r>
      <w:r w:rsidR="00304276">
        <w:t>I (1998-1999)</w:t>
      </w:r>
      <w:r w:rsidR="005A61B1">
        <w:t xml:space="preserve">. </w:t>
      </w:r>
      <w:r w:rsidR="00037699" w:rsidRPr="00037699">
        <w:t>The participation rates for Arizona, Oklahoma, and North/South Dakota were 72%, 62%, and 55%, respectively, and 62% overall</w:t>
      </w:r>
      <w:r w:rsidR="003842F1">
        <w:t>.</w:t>
      </w:r>
      <w:r w:rsidR="00A41767">
        <w:fldChar w:fldCharType="begin"/>
      </w:r>
      <w:r w:rsidR="006A3F13">
        <w:instrText xml:space="preserve"> ADDIN ZOTERO_ITEM CSL_CITATION {"citationID":"kSYeTgKn","properties":{"formattedCitation":"\\super 18\\nosupersub{}","plainCitation":"18","noteIndex":0},"citationItems":[{"id":179,"uris":["http://zotero.org/users/7675815/items/GUDHMM8D"],"uri":["http://zotero.org/users/7675815/items/GUDHMM8D"],"itemData":{"id":179,"type":"article-journal","abstract":"Rapid diagnosis of leptospirosis, through culture and/or serology, can be difficult without proper expertise and is often delayed because of the length of time required to obtain results. In this study, we developed a real-time polymerase chain reaction (PCR) assay using a TaqMan probe targeting lipL32, which is present only in pathogenic Leptospira spp. Using Leptospira interrogans serovar Icterohaemorrhagiae DNA, the lower limit of detection was found to be 20 genomic equivalents/reaction with a 95% cutoff value. The assay detected pathogenic Leptospira strains, but not intermediately pathogenic or nonpathogenic strains. When testing the assay on spiked clinical specimens, whole blood and plasma were better specimens for detecting the same initial number of leptospires compared with serum from clotted and centrifuged blood. Leptospira spiked at the same concentration was better detected in centrifuged urine. This real-time PCR assay with high specificity and sensitivity may prove to be a rapid method for diagnosing acute leptospirosis.","container-title":"Diagnostic Microbiology and Infectious Disease","DOI":"10.1016/j.diagmicrobio.2009.03.014","ISSN":"1879-0070","issue":"3","journalAbbreviation":"Diagn Microbiol Infect Dis","language":"eng","note":"PMID: 19395218","page":"247-255","source":"PubMed","title":"Detection of pathogenic Leptospira spp. through TaqMan polymerase chain reaction targeting the LipL32 gene","volume":"64","author":[{"family":"Stoddard","given":"Robyn A."},{"family":"Gee","given":"Jay E."},{"family":"Wilkins","given":"Patricia P."},{"family":"McCaustland","given":"Karen"},{"family":"Hoffmaster","given":"Alex R."}],"issued":{"date-parts":[["2009",7]]}}}],"schema":"https://github.com/citation-style-language/schema/raw/master/csl-citation.json"} </w:instrText>
      </w:r>
      <w:r w:rsidR="00A41767">
        <w:fldChar w:fldCharType="separate"/>
      </w:r>
      <w:r w:rsidR="006A3F13" w:rsidRPr="006A3F13">
        <w:rPr>
          <w:vertAlign w:val="superscript"/>
        </w:rPr>
        <w:t>18</w:t>
      </w:r>
      <w:r w:rsidR="00A41767">
        <w:fldChar w:fldCharType="end"/>
      </w:r>
      <w:r w:rsidR="00037699" w:rsidRPr="00037699">
        <w:t xml:space="preserve"> </w:t>
      </w:r>
      <w:r>
        <w:t>The SHFS is a</w:t>
      </w:r>
      <w:r w:rsidR="0073792A">
        <w:t xml:space="preserve"> multigenerational</w:t>
      </w:r>
      <w:r>
        <w:t xml:space="preserve"> family-based extension of the SHS</w:t>
      </w:r>
      <w:r w:rsidR="003F0365">
        <w:t>. F</w:t>
      </w:r>
      <w:r>
        <w:t>amilies</w:t>
      </w:r>
      <w:r w:rsidR="008A7FA7">
        <w:t xml:space="preserve"> </w:t>
      </w:r>
      <w:r>
        <w:t xml:space="preserve">with </w:t>
      </w:r>
      <w:r w:rsidR="0073792A">
        <w:t xml:space="preserve">a core sibship </w:t>
      </w:r>
      <w:r w:rsidR="00AA5076">
        <w:t xml:space="preserve">consisting </w:t>
      </w:r>
      <w:r w:rsidR="0073792A">
        <w:t xml:space="preserve">of at least 3 original </w:t>
      </w:r>
      <w:r w:rsidR="008B0BE0">
        <w:t xml:space="preserve">SHS </w:t>
      </w:r>
      <w:r w:rsidR="0073792A">
        <w:t xml:space="preserve">participants and at least 5 additional living family members </w:t>
      </w:r>
      <w:r>
        <w:t>were eligible to be included in SHFS</w:t>
      </w:r>
      <w:r w:rsidR="00A0249A">
        <w:t>.</w:t>
      </w:r>
      <w:r>
        <w:fldChar w:fldCharType="begin"/>
      </w:r>
      <w:r w:rsidR="006A3F13">
        <w:instrText xml:space="preserve"> ADDIN ZOTERO_ITEM CSL_CITATION {"citationID":"q7Y9lLBp","properties":{"formattedCitation":"\\super 19,20\\nosupersub{}","plainCitation":"19,20","noteIndex":0},"citationItems":[{"id":108,"uris":["http://zotero.org/users/7675815/items/G7QLC3CH"],"uri":["http://zotero.org/users/7675815/items/G7QLC3CH"],"itemData":{"id":108,"type":"article-journal","abstract":"Available data indicate that cardiovascular disease has become the leading cause of death in American Indians. However, limited information is available on cardiovascular disease incidence, prevalence, and risk factors in this population. Reported cardiovascular disease rates vary greatly among groups in different geographic areas. These rates have been obtained from studies of varying sizes and different methodologies. The Strong Heart Study, which uses standardized methodology, is designed to estimate cardiovascular disease mortality and morbidity rates and the prevalence of known and suspected cardiovascular disease risk factors in American Indians. The study population consists of 12 tribes in three geographic areas: an area near Phoenix, Arizona, the southwestern area of Oklahoma, and the Aberdeen area of North and South Dakota. The study includes three components. The first is a mortality survey to estimate cardiovascular disease mortality rates for 1984-1988 among tribal members aged 35-74 years, and the second is a morbidity survey to estimate incidence of both first and first or recurrent hospitalized myocardial infarction and stroke (cerebrovascular disease) among tribal members aged 45-74 years in 1984-1988, and the third is a clinical examination of 4,500 tribal members aged 45-74 years in order to estimate the prevalence of cardiovascular disease and its associations with risk factors. Family history, diet, alcohol and tobacco consumption, physical activity, degree of acculturation, and socioeconomic status are assessed in personal interviews. The physical examination includes measurements of body fat, body circumferences, and blood pressure, an examination of the heart and lungs, an evaluation of peripheral vascular disease, and a 12-lead electrocardiogram. Laboratory measurements include fasting and postload glucose, insulin, fasting lipids, apoproteins, fibrinogen, and glycated hemoglobin. Also measured are serum and urine creatinine and urinary albumin. DNA from lymphocytes is isolated and stored for future genetic studies.","container-title":"American Journal of Epidemiology","DOI":"10.1093/oxfordjournals.aje.a115757","ISSN":"0002-9262","issue":"6","journalAbbreviation":"Am J Epidemiol","language":"eng","note":"PMID: 2260546","page":"1141-1155","source":"PubMed","title":"The Strong Heart Study. A study of cardiovascular disease in American Indians: design and methods","title-short":"The Strong Heart Study. A study of cardiovascular disease in American Indians","volume":"132","author":[{"family":"Lee","given":"E. T."},{"family":"Welty","given":"T. K."},{"family":"Fabsitz","given":"R."},{"family":"Cowan","given":"L. D."},{"family":"Le","given":"N. A."},{"family":"Oopik","given":"A. J."},{"family":"Cucchiara","given":"A. J."},{"family":"Savage","given":"P. J."},{"family":"Howard","given":"B. V."}],"issued":{"date-parts":[["1990",12]]}}},{"id":111,"uris":["http://zotero.org/users/7675815/items/NPM4JR7U"],"uri":["http://zotero.org/users/7675815/items/NPM4JR7U"],"itemData":{"id":111,"type":"article-journal","abstract":"OBJECTIVE: Alterations in carotid artery structure and function may represent phenotypic measures of vascular disease that contain information beyond that which can be inferred from conventional cardiovascular disease risk assessment. However, apart from their associations with cardiovascular disease risk factors and outcome, the genetic basis of variations in carotid artery structure and function is largely unknown. The purpose of this study was to examine the genetic and environmental contributions to carotid artery structure and function in 3 large groups of American Indians.\nMETHODS AND RESULTS: Approximately 950 men and women, aged &gt; or =18 years, in 32 extended families were examined between 1997 and 1999. By use of a variance component approach and the program Sequential Oligogenic Linkage Analysis Routines, heritabilities for carotid artery structure and function phenotypes were estimated. After accounting for the effects of covariates (sex, age, diabetes, impaired glucose tolerance, smoking, cholesterol, body surface area, and hypertension), we detected significant heritabilities (given as h2 values) for common carotid artery diastolic diameter (h2&lt;0.44), intimal-medial wall thickness (h2&lt;0.21), vascular mass (h2&lt;0.27), arterial stiffness (h2&lt;0.23), and the augmentation index (h2&lt;0.18).\nCONCLUSIONS: These results suggest that the additive effects of genes explain a moderate proportion of the variability of carotid artery structure and function.","container-title":"Arteriosclerosis, Thrombosis, and Vascular Biology","DOI":"10.1161/01.atv.0000032656.91352.5e","ISSN":"1524-4636","issue":"10","journalAbbreviation":"Arterioscler Thromb Vasc Biol","language":"eng","note":"PMID: 12377752","page":"1698-1703","source":"PubMed","title":"Heritability of carotid artery structure and function: the Strong Heart Family Study","title-short":"Heritability of carotid artery structure and function","volume":"22","author":[{"family":"North","given":"Kari E."},{"family":"MacCluer","given":"Jean W."},{"family":"Devereux","given":"Richard B."},{"family":"Howard","given":"Barbara V."},{"family":"Welty","given":"Thomas K."},{"family":"Best","given":"Lyle G."},{"family":"Lee","given":"Elisa T."},{"family":"Fabsitz","given":"Richard R."},{"family":"Roman","given":"Mary J."},{"literal":"Strong Heart Family Study"}],"issued":{"date-parts":[["2002",10,1]]}}}],"schema":"https://github.com/citation-style-language/schema/raw/master/csl-citation.json"} </w:instrText>
      </w:r>
      <w:r>
        <w:fldChar w:fldCharType="separate"/>
      </w:r>
      <w:r w:rsidR="006A3F13" w:rsidRPr="006A3F13">
        <w:rPr>
          <w:vertAlign w:val="superscript"/>
        </w:rPr>
        <w:t>19,20</w:t>
      </w:r>
      <w:r>
        <w:fldChar w:fldCharType="end"/>
      </w:r>
      <w:r>
        <w:t xml:space="preserve"> </w:t>
      </w:r>
      <w:r w:rsidR="003842F1" w:rsidRPr="003842F1">
        <w:t xml:space="preserve">SHS family members 15 years of age and older were recruited during the baseline SHFS examination (Phase IV, 2001-2003). We did not evaluate data for participants living in one community that later revoked </w:t>
      </w:r>
      <w:r w:rsidR="003842F1" w:rsidRPr="003842F1">
        <w:lastRenderedPageBreak/>
        <w:t xml:space="preserve">consent to participate. </w:t>
      </w:r>
      <w:r w:rsidR="007D7E5A">
        <w:t xml:space="preserve"> </w:t>
      </w:r>
      <w:r w:rsidR="003842F1" w:rsidRPr="003842F1">
        <w:t xml:space="preserve">Urinary arsenic species were measured in SHFS baseline (2001-2003) spot urine samples collected from participants who were free from diabetes and who were also re-examined at Phase V (2006-2009) (N=1,949). </w:t>
      </w:r>
      <w:r w:rsidR="00E1483F">
        <w:t>The follow arsenic species were measured in urine:</w:t>
      </w:r>
      <w:r>
        <w:t xml:space="preserve"> </w:t>
      </w:r>
      <w:r w:rsidR="00313674">
        <w:t xml:space="preserve">dimethylarsinate </w:t>
      </w:r>
      <w:r>
        <w:t>(DMA), monomethylarsonate (MMA), inorganic arsenic (iAs, sum of arsenate As</w:t>
      </w:r>
      <w:r w:rsidRPr="007C308F">
        <w:rPr>
          <w:vertAlign w:val="superscript"/>
        </w:rPr>
        <w:t>+5</w:t>
      </w:r>
      <w:r>
        <w:t xml:space="preserve"> and arsenite As</w:t>
      </w:r>
      <w:r w:rsidRPr="007C308F">
        <w:rPr>
          <w:vertAlign w:val="superscript"/>
        </w:rPr>
        <w:t>+3</w:t>
      </w:r>
      <w:r>
        <w:t>)</w:t>
      </w:r>
      <w:r w:rsidR="00373B3F">
        <w:t>, arsenobetaine (a nontoxic, seafood-derived organic arsenical)</w:t>
      </w:r>
      <w:r w:rsidR="007719DF">
        <w:t>, and total arsenic</w:t>
      </w:r>
      <w:r>
        <w:t xml:space="preserve">. </w:t>
      </w:r>
      <w:r w:rsidR="005039DB">
        <w:t xml:space="preserve">The </w:t>
      </w:r>
      <w:r w:rsidR="0057686B">
        <w:t>LOD and the percent</w:t>
      </w:r>
      <w:r w:rsidR="005039DB">
        <w:t xml:space="preserve"> of participants with values measured below the LOD were </w:t>
      </w:r>
      <w:r w:rsidR="0057686B">
        <w:t xml:space="preserve">0.1 </w:t>
      </w:r>
      <m:oMath>
        <m:r>
          <w:rPr>
            <w:rFonts w:ascii="Cambria Math" w:hAnsi="Cambria Math"/>
          </w:rPr>
          <m:t>μ</m:t>
        </m:r>
      </m:oMath>
      <w:r w:rsidR="0057686B">
        <w:t>g/L (</w:t>
      </w:r>
      <w:r w:rsidR="005039DB">
        <w:t>0%</w:t>
      </w:r>
      <w:r w:rsidR="0057686B">
        <w:t xml:space="preserve">) for </w:t>
      </w:r>
      <w:r w:rsidR="005039DB">
        <w:t xml:space="preserve">DMA, </w:t>
      </w:r>
      <w:r w:rsidR="0057686B">
        <w:t xml:space="preserve">0.1 </w:t>
      </w:r>
      <m:oMath>
        <m:r>
          <w:rPr>
            <w:rFonts w:ascii="Cambria Math" w:hAnsi="Cambria Math"/>
          </w:rPr>
          <m:t>μ</m:t>
        </m:r>
      </m:oMath>
      <w:r w:rsidR="0057686B">
        <w:t>g/L (</w:t>
      </w:r>
      <w:r w:rsidR="005039DB">
        <w:t>3.5%</w:t>
      </w:r>
      <w:r w:rsidR="0057686B">
        <w:t xml:space="preserve">) for </w:t>
      </w:r>
      <w:r w:rsidR="005039DB">
        <w:t xml:space="preserve">MMA, </w:t>
      </w:r>
      <w:r w:rsidR="0057686B">
        <w:t xml:space="preserve">0.1 </w:t>
      </w:r>
      <m:oMath>
        <m:r>
          <w:rPr>
            <w:rFonts w:ascii="Cambria Math" w:hAnsi="Cambria Math"/>
          </w:rPr>
          <m:t>μ</m:t>
        </m:r>
      </m:oMath>
      <w:r w:rsidR="0057686B">
        <w:t>g/L</w:t>
      </w:r>
      <w:r w:rsidR="0057686B" w:rsidDel="005039DB">
        <w:t xml:space="preserve"> </w:t>
      </w:r>
      <w:r w:rsidR="0057686B">
        <w:t>(</w:t>
      </w:r>
      <w:r w:rsidR="005039DB">
        <w:t>11.1%</w:t>
      </w:r>
      <w:r w:rsidR="0057686B">
        <w:t>) for</w:t>
      </w:r>
      <w:r w:rsidR="005039DB">
        <w:t xml:space="preserve"> iAs</w:t>
      </w:r>
      <w:r w:rsidR="0057686B">
        <w:t>,</w:t>
      </w:r>
      <w:r w:rsidR="005039DB">
        <w:t xml:space="preserve"> </w:t>
      </w:r>
      <w:r w:rsidR="007C308F">
        <w:t xml:space="preserve"> </w:t>
      </w:r>
      <w:r w:rsidR="0057686B">
        <w:t xml:space="preserve">0.1 </w:t>
      </w:r>
      <m:oMath>
        <m:r>
          <w:rPr>
            <w:rFonts w:ascii="Cambria Math" w:hAnsi="Cambria Math"/>
          </w:rPr>
          <m:t>μ</m:t>
        </m:r>
      </m:oMath>
      <w:r w:rsidR="0057686B">
        <w:t>g/L (</w:t>
      </w:r>
      <w:r w:rsidR="009C179F">
        <w:t>0.8</w:t>
      </w:r>
      <w:r w:rsidR="005039DB">
        <w:t>%</w:t>
      </w:r>
      <w:r w:rsidR="0057686B">
        <w:t>) for</w:t>
      </w:r>
      <w:r w:rsidR="009C179F">
        <w:t xml:space="preserve"> </w:t>
      </w:r>
      <w:r w:rsidR="005039DB">
        <w:t>arsenobetaine</w:t>
      </w:r>
      <w:r w:rsidR="00A61F5B">
        <w:t xml:space="preserve">, and 0.1 </w:t>
      </w:r>
      <m:oMath>
        <m:r>
          <w:rPr>
            <w:rFonts w:ascii="Cambria Math" w:hAnsi="Cambria Math"/>
          </w:rPr>
          <m:t>μ</m:t>
        </m:r>
      </m:oMath>
      <w:r w:rsidR="00A61F5B">
        <w:t>g/L (</w:t>
      </w:r>
      <w:r w:rsidR="007C308F">
        <w:t>0</w:t>
      </w:r>
      <w:r w:rsidR="00A61F5B">
        <w:t>%) for total arsenic</w:t>
      </w:r>
      <w:r w:rsidR="003842F1">
        <w:t>.</w:t>
      </w:r>
      <w:r w:rsidR="00A41767">
        <w:fldChar w:fldCharType="begin"/>
      </w:r>
      <w:r w:rsidR="006A3F13">
        <w:instrText xml:space="preserve"> ADDIN ZOTERO_ITEM CSL_CITATION {"citationID":"OieZk6i7","properties":{"formattedCitation":"\\super 21\\nosupersub{}","plainCitation":"21","noteIndex":0},"citationItems":[{"id":181,"uris":["http://zotero.org/users/7675815/items/Z3CEJARZ"],"uri":["http://zotero.org/users/7675815/items/Z3CEJARZ"],"itemData":{"id":181,"type":"article-journal","abstract":"Exposure to high inorganic arsenic concentrations in drinking water has been related to detrimental health effects, including cancers and possibly cardiovascular disease, in many epidemiological studies. Recent studies suggest that arsenic might elicit some of its toxic effects also at lower concentrations. The Strong Heart Study, a large epidemiological study of cardiovascular disease in American Indian communities, collected urine samples and performed medical examinations on 4,549 participants over a 10-year period beginning in 1989. We used anion-exchange HPLC/ICPMS to determine concentrations of arsenic species (methylarsonate, dimethylarsinate and arsenate) in 5,095 urine samples from the Strong Heart Study. We repeated the chromatography on a portion of the urine sample that had been oxidised, by addition of H(2)O(2), to provide additional information on the presence of As(III) species and thio-arsenicals, and by difference, of arsenobetaine and other non-retained cations. Total concentrations for As, Cd, Mo, Pb, Sb, Se, U, W, and Zn were also determined in the urine samples by ICPMS. The dataset will be used to evaluate the relationships between the concentrations of urinary arsenic species and selected metals with various cardiometabolic health endpoints. We present and discuss the analytical protocol put in place to produce this large and valuable dataset.","container-title":"Analytical Methods: Advancing Methods and Applications","DOI":"10.1039/C2AY05638K","ISSN":"1759-9660","issue":"2","journalAbbreviation":"Anal Methods","language":"eng","note":"PMID: 22685491\nPMCID: PMC3368501","page":"406-413","source":"PubMed","title":"Arsenic species and selected metals in human urine: validation of HPLC/ICPMS and ICPMS procedures for a long-term population-based epidemiological study","title-short":"Arsenic species and selected metals in human urine","volume":"4","author":[{"family":"Scheer","given":"Jürgen"},{"family":"Findenig","given":"Silvia"},{"family":"Goessler","given":"Walter"},{"family":"Francesconi","given":"Kevin A."},{"family":"Howard","given":"Barbara"},{"family":"Umans","given":"Jason G."},{"family":"Pollak","given":"Jonathan"},{"family":"Tellez-Plaza","given":"Maria"},{"family":"Silbergeld","given":"Ellen K."},{"family":"Guallar","given":"Eliseo"},{"family":"Navas-Acien","given":"Ana"}],"issued":{"date-parts":[["2012"]]}}}],"schema":"https://github.com/citation-style-language/schema/raw/master/csl-citation.json"} </w:instrText>
      </w:r>
      <w:r w:rsidR="00A41767">
        <w:fldChar w:fldCharType="separate"/>
      </w:r>
      <w:r w:rsidR="006A3F13" w:rsidRPr="006A3F13">
        <w:rPr>
          <w:vertAlign w:val="superscript"/>
        </w:rPr>
        <w:t>21</w:t>
      </w:r>
      <w:r w:rsidR="00A41767">
        <w:fldChar w:fldCharType="end"/>
      </w:r>
      <w:r w:rsidR="003842F1">
        <w:t xml:space="preserve"> </w:t>
      </w:r>
      <w:r w:rsidR="002E5997">
        <w:t xml:space="preserve">To account for </w:t>
      </w:r>
      <w:r w:rsidR="00F0363E">
        <w:t xml:space="preserve">hydration status and </w:t>
      </w:r>
      <w:r w:rsidR="002E5997">
        <w:t xml:space="preserve">urine dilution, </w:t>
      </w:r>
      <w:r w:rsidR="00393EF1">
        <w:t>creatinine</w:t>
      </w:r>
      <w:r w:rsidR="007F279A">
        <w:t xml:space="preserve"> (mg/dL) </w:t>
      </w:r>
      <w:r w:rsidR="00393EF1">
        <w:t xml:space="preserve">was also measured in spot urine samples. </w:t>
      </w:r>
      <w:r w:rsidR="00966D94">
        <w:t>During the examination, centrally trained SHS staff</w:t>
      </w:r>
      <w:r>
        <w:t xml:space="preserve"> also collected data on participants’ </w:t>
      </w:r>
      <w:r w:rsidR="00C00AB2">
        <w:t xml:space="preserve">sex </w:t>
      </w:r>
      <w:r>
        <w:t xml:space="preserve">(male vs female), age (years), </w:t>
      </w:r>
      <w:r w:rsidR="003D0E8F">
        <w:t xml:space="preserve">and </w:t>
      </w:r>
      <w:r>
        <w:t>body mass index (BMI</w:t>
      </w:r>
      <w:r w:rsidR="00654974">
        <w:t xml:space="preserve">, </w:t>
      </w:r>
      <w:r w:rsidR="00654974" w:rsidRPr="00654974">
        <w:t>kg/m</w:t>
      </w:r>
      <w:r w:rsidR="00654974" w:rsidRPr="007C308F">
        <w:rPr>
          <w:vertAlign w:val="superscript"/>
        </w:rPr>
        <w:t>2</w:t>
      </w:r>
      <w:r w:rsidR="003D0E8F">
        <w:t>).</w:t>
      </w:r>
      <w:r w:rsidR="007D6371">
        <w:t xml:space="preserve"> </w:t>
      </w:r>
      <w:r w:rsidR="00B43690">
        <w:t xml:space="preserve">Self-reported daily intakes of rice, juice, and wine/beer (grams) was derived from Block 119-item </w:t>
      </w:r>
      <w:r w:rsidR="007D6371">
        <w:t>food frequency questionnaire</w:t>
      </w:r>
      <w:r w:rsidR="003A10A7">
        <w:t>s, as previously described in detail</w:t>
      </w:r>
      <w:r w:rsidR="003842F1">
        <w:t>.</w:t>
      </w:r>
      <w:r w:rsidR="00A41767">
        <w:fldChar w:fldCharType="begin"/>
      </w:r>
      <w:r w:rsidR="006A3F13">
        <w:instrText xml:space="preserve"> ADDIN ZOTERO_ITEM CSL_CITATION {"citationID":"vT4ss5eX","properties":{"formattedCitation":"\\super 22\\nosupersub{}","plainCitation":"22","noteIndex":0},"citationItems":[{"id":185,"uris":["http://zotero.org/users/7675815/items/4RISSEH5"],"uri":["http://zotero.org/users/7675815/items/4RISSEH5"],"itemData":{"id":185,"type":"article-journal","abstract":"BACKGROUND: Chronic exposure to inorganic arsenic (iAs) in the US occurs mainly through drinking water and diet. Although American Indian (AI) populations have elevated urinary arsenic concentrations compared to the general US population, dietary sources of arsenic exposure in AI populations are not well characterized.\nMETHODS: We evaluated food frequency questionnaires to determine the major dietary sources of urinary arsenic concentrations (measured as the sum of arsenite, arsenate, monomethylarsonate, and dimethylarsinate, ΣAs) for 1727 AI participants in the Strong Heart Family Study (SHFS). We compared geometric mean ratios (GMRs) of urinary ΣAs for an interquartile range (IQR) increase in reported food group consumption. Exploratory analyses were stratified by gender and study center.\nRESULTS: In fully adjusted generalized estimating equation models, the percent increase (95% confidence interval) of urinary ΣAs per increase in reported food consumption corresponding to the IQR was 13% (5%, 21%) for organ meat, 8% (4%, 13%) for rice, 7% (2%, 13%) for processed meat, and 4% (1%, 7%) for non-alcoholic drinks. In analyses stratified by study center, the association with organ meat was only observed in North/South Dakota. Consumption of red meat [percent increase -7% (-11%, -3%)] and fries and chips [-6% (-10%, -2%)] was inversely associated with urinary ΣAs.\nCONCLUSIONS: Organ meat, processed meat, rice, and non-alcoholic drinks contribute to ΣAs exposure in the SHFS population. Organ meat is a unique source of ΣAs exposure for North and South Dakota participants and may reflect local food consumption. Further studies should comprehensively evaluate drinking water arsenic in SHFS communities and determine the relative contribution of diet and drinking water to total arsenic exposure.","container-title":"Environmental Research","DOI":"10.1016/j.envres.2019.108616","ISSN":"1096-0953","journalAbbreviation":"Environ Res","language":"eng","note":"PMID: 31442790\nPMCID: PMC6748659","page":"108616","source":"PubMed","title":"Dietary determinants of inorganic arsenic exposure in the Strong Heart Family Study","volume":"177","author":[{"family":"Nigra","given":"Anne E."},{"family":"Olmedo","given":"Pablo"},{"family":"Grau-Perez","given":"Maria"},{"family":"O'Leary","given":"Rae"},{"family":"O'Leary","given":"Marcia"},{"family":"Fretts","given":"Amanda M."},{"family":"Umans","given":"Jason G."},{"family":"Best","given":"Lyle G."},{"family":"Francesconi","given":"Kevin A."},{"family":"Goessler","given":"Walter"},{"family":"Cole","given":"Shelley A."},{"family":"Navas-Acien","given":"Ana"}],"issued":{"date-parts":[["2019",10]]}}}],"schema":"https://github.com/citation-style-language/schema/raw/master/csl-citation.json"} </w:instrText>
      </w:r>
      <w:r w:rsidR="00A41767">
        <w:fldChar w:fldCharType="separate"/>
      </w:r>
      <w:r w:rsidR="006A3F13" w:rsidRPr="006A3F13">
        <w:rPr>
          <w:vertAlign w:val="superscript"/>
        </w:rPr>
        <w:t>22</w:t>
      </w:r>
      <w:r w:rsidR="00A41767">
        <w:fldChar w:fldCharType="end"/>
      </w:r>
      <w:r w:rsidR="00B346C4">
        <w:t xml:space="preserve"> </w:t>
      </w:r>
      <w:r w:rsidR="00F9535E">
        <w:t>A</w:t>
      </w:r>
      <w:r w:rsidR="00F9535E" w:rsidRPr="003842F1">
        <w:t>rsenobetaine</w:t>
      </w:r>
      <w:r w:rsidR="00F9535E">
        <w:t xml:space="preserve"> below the LOD is </w:t>
      </w:r>
      <w:proofErr w:type="spellStart"/>
      <w:r w:rsidR="00F9535E">
        <w:t>replacted</w:t>
      </w:r>
      <w:proofErr w:type="spellEnd"/>
      <w:r w:rsidR="00F9535E">
        <w:t xml:space="preserve"> by </w:t>
      </w:r>
      <w:r w:rsidR="00F9535E" w:rsidRPr="00CC0CDF">
        <w:rPr>
          <w:iCs/>
        </w:rPr>
        <w:t>LOD/</w:t>
      </w:r>
      <m:oMath>
        <m:rad>
          <m:radPr>
            <m:degHide m:val="1"/>
            <m:ctrlPr>
              <w:rPr>
                <w:rFonts w:ascii="Cambria Math" w:hAnsi="Cambria Math"/>
                <w:i/>
                <w:iCs/>
              </w:rPr>
            </m:ctrlPr>
          </m:radPr>
          <m:deg/>
          <m:e>
            <m:r>
              <w:rPr>
                <w:rFonts w:ascii="Cambria Math" w:hAnsi="Cambria Math"/>
              </w:rPr>
              <m:t>2</m:t>
            </m:r>
          </m:e>
        </m:rad>
      </m:oMath>
      <w:r w:rsidR="00F9535E">
        <w:rPr>
          <w:iCs/>
        </w:rPr>
        <w:t xml:space="preserve">. </w:t>
      </w:r>
      <w:r w:rsidR="003842F1" w:rsidRPr="003842F1">
        <w:t>After excluding participants with MMA</w:t>
      </w:r>
      <w:r w:rsidR="00F9535E">
        <w:t xml:space="preserve">, </w:t>
      </w:r>
      <w:r w:rsidR="003842F1" w:rsidRPr="003842F1">
        <w:t>iAs below the LOD</w:t>
      </w:r>
      <w:r w:rsidR="00F9535E">
        <w:t xml:space="preserve"> </w:t>
      </w:r>
      <w:r w:rsidR="003842F1" w:rsidRPr="003842F1">
        <w:t>and those missing urine creatinine (N=</w:t>
      </w:r>
      <w:r w:rsidR="003842F1">
        <w:t>13</w:t>
      </w:r>
      <w:r w:rsidR="003842F1" w:rsidRPr="003842F1">
        <w:t>), BMI (N=</w:t>
      </w:r>
      <w:r w:rsidR="003842F1">
        <w:t>21</w:t>
      </w:r>
      <w:r w:rsidR="003842F1" w:rsidRPr="003842F1">
        <w:t>), or self-reported dietary intake variables (N=</w:t>
      </w:r>
      <w:r w:rsidR="00A0249A">
        <w:t>116</w:t>
      </w:r>
      <w:r w:rsidR="003842F1" w:rsidRPr="003842F1">
        <w:t>), our final sample size for the simulation study was 1,602 participants with complete measurements for all urinary arsenic species and covariates.</w:t>
      </w:r>
    </w:p>
    <w:p w14:paraId="78D314D9" w14:textId="77777777" w:rsidR="00564207" w:rsidRDefault="00564207" w:rsidP="001E3F35">
      <w:pPr>
        <w:widowControl w:val="0"/>
        <w:autoSpaceDE w:val="0"/>
        <w:autoSpaceDN w:val="0"/>
        <w:adjustRightInd w:val="0"/>
        <w:spacing w:line="480" w:lineRule="auto"/>
        <w:rPr>
          <w:bCs/>
          <w:i/>
        </w:rPr>
      </w:pPr>
    </w:p>
    <w:p w14:paraId="54D3B8D9" w14:textId="77777777" w:rsidR="00564207" w:rsidRDefault="00564207" w:rsidP="001E3F35">
      <w:pPr>
        <w:widowControl w:val="0"/>
        <w:autoSpaceDE w:val="0"/>
        <w:autoSpaceDN w:val="0"/>
        <w:adjustRightInd w:val="0"/>
        <w:spacing w:line="480" w:lineRule="auto"/>
        <w:rPr>
          <w:bCs/>
          <w:i/>
        </w:rPr>
      </w:pPr>
      <w:r>
        <w:rPr>
          <w:bCs/>
          <w:i/>
        </w:rPr>
        <w:t xml:space="preserve">2.1.2 </w:t>
      </w:r>
      <w:r w:rsidRPr="003116F2">
        <w:rPr>
          <w:bCs/>
          <w:i/>
        </w:rPr>
        <w:t>National Health and Nutrition Examination Survey (NHANES)</w:t>
      </w:r>
    </w:p>
    <w:p w14:paraId="59674BF3" w14:textId="00E374D7" w:rsidR="00564207" w:rsidRDefault="00E900B4" w:rsidP="00564207">
      <w:pPr>
        <w:widowControl w:val="0"/>
        <w:autoSpaceDE w:val="0"/>
        <w:autoSpaceDN w:val="0"/>
        <w:adjustRightInd w:val="0"/>
        <w:spacing w:line="480" w:lineRule="auto"/>
      </w:pPr>
      <w:r>
        <w:t xml:space="preserve">The </w:t>
      </w:r>
      <w:r w:rsidR="00564207" w:rsidRPr="003116F2">
        <w:t>National Health and Nutrition Examination Survey (NHANES) is a nationally representative survey of the non-institutionalized, general US population conducted in two-year cycles by the National Center for Health Statistics (NCHS)</w:t>
      </w:r>
      <w:r w:rsidR="00564207">
        <w:t xml:space="preserve">. </w:t>
      </w:r>
      <w:r w:rsidR="00564207" w:rsidRPr="003116F2">
        <w:t xml:space="preserve">Our study used </w:t>
      </w:r>
      <w:r w:rsidR="00564207">
        <w:t xml:space="preserve">the 2013-2014 </w:t>
      </w:r>
      <w:r w:rsidR="00021872">
        <w:t xml:space="preserve">NHANES </w:t>
      </w:r>
      <w:r w:rsidR="00564207">
        <w:t xml:space="preserve">survey with </w:t>
      </w:r>
      <w:r w:rsidR="00564207" w:rsidRPr="003116F2">
        <w:t xml:space="preserve">data collected from the demographic questionnaire, dietary recall, clinical examination, and </w:t>
      </w:r>
      <w:r w:rsidR="00564207" w:rsidRPr="003116F2">
        <w:lastRenderedPageBreak/>
        <w:t xml:space="preserve">laboratory examination. </w:t>
      </w:r>
      <w:r w:rsidR="00D32ACA">
        <w:t xml:space="preserve">Similar to the SHFS, we studied </w:t>
      </w:r>
      <w:r w:rsidR="00221117">
        <w:t>measurements of urinary arsenic species</w:t>
      </w:r>
      <w:r w:rsidR="00D32ACA">
        <w:t xml:space="preserve">. </w:t>
      </w:r>
      <w:r w:rsidR="00BE6444">
        <w:t xml:space="preserve">The LOD and the percent of participants with values measured below the LOD were 1.91 </w:t>
      </w:r>
      <m:oMath>
        <m:r>
          <w:rPr>
            <w:rFonts w:ascii="Cambria Math" w:hAnsi="Cambria Math"/>
          </w:rPr>
          <m:t>μ</m:t>
        </m:r>
      </m:oMath>
      <w:r w:rsidR="00BE6444">
        <w:t xml:space="preserve">g/L (24.1%) for DMA, 0.2 </w:t>
      </w:r>
      <m:oMath>
        <m:r>
          <w:rPr>
            <w:rFonts w:ascii="Cambria Math" w:hAnsi="Cambria Math"/>
          </w:rPr>
          <m:t>μ</m:t>
        </m:r>
      </m:oMath>
      <w:r w:rsidR="00BE6444">
        <w:t xml:space="preserve">g/L (29.7%) for MMA, 0.12 </w:t>
      </w:r>
      <m:oMath>
        <m:r>
          <w:rPr>
            <w:rFonts w:ascii="Cambria Math" w:hAnsi="Cambria Math"/>
          </w:rPr>
          <m:t>μ</m:t>
        </m:r>
      </m:oMath>
      <w:r w:rsidR="00BE6444">
        <w:t>g/L</w:t>
      </w:r>
      <w:r w:rsidR="00BE6444" w:rsidDel="005039DB">
        <w:t xml:space="preserve"> </w:t>
      </w:r>
      <w:r w:rsidR="00BE6444">
        <w:t>(27.8%) for As</w:t>
      </w:r>
      <w:r w:rsidR="00BE6444" w:rsidRPr="00BE6444">
        <w:rPr>
          <w:vertAlign w:val="superscript"/>
        </w:rPr>
        <w:t>+3</w:t>
      </w:r>
      <w:r w:rsidR="00BE6444">
        <w:t xml:space="preserve">, 0.79 </w:t>
      </w:r>
      <m:oMath>
        <m:r>
          <w:rPr>
            <w:rFonts w:ascii="Cambria Math" w:hAnsi="Cambria Math"/>
          </w:rPr>
          <m:t>μ</m:t>
        </m:r>
      </m:oMath>
      <w:r w:rsidR="00BE6444">
        <w:t>g/L</w:t>
      </w:r>
      <w:r w:rsidR="00BE6444" w:rsidDel="005039DB">
        <w:t xml:space="preserve"> </w:t>
      </w:r>
      <w:r w:rsidR="00BE6444">
        <w:t>(98.2%) for As</w:t>
      </w:r>
      <w:r w:rsidR="00BE6444" w:rsidRPr="00BE6444">
        <w:rPr>
          <w:vertAlign w:val="superscript"/>
        </w:rPr>
        <w:t>+5</w:t>
      </w:r>
      <w:r w:rsidR="00BE6444">
        <w:t xml:space="preserve">, 1.16 </w:t>
      </w:r>
      <m:oMath>
        <m:r>
          <w:rPr>
            <w:rFonts w:ascii="Cambria Math" w:hAnsi="Cambria Math"/>
          </w:rPr>
          <m:t>μ</m:t>
        </m:r>
      </m:oMath>
      <w:r w:rsidR="00BE6444">
        <w:t xml:space="preserve">g/L (56.3%) for arsenobetaine, and 0.26 </w:t>
      </w:r>
      <m:oMath>
        <m:r>
          <w:rPr>
            <w:rFonts w:ascii="Cambria Math" w:hAnsi="Cambria Math"/>
          </w:rPr>
          <m:t>μ</m:t>
        </m:r>
      </m:oMath>
      <w:r w:rsidR="00BE6444">
        <w:t>g/L (0%) for total</w:t>
      </w:r>
      <w:r w:rsidR="00FA233B">
        <w:t xml:space="preserve"> arsenic</w:t>
      </w:r>
      <w:r w:rsidR="00F9535E">
        <w:t>,</w:t>
      </w:r>
      <w:r w:rsidR="00F9535E" w:rsidDel="00F9535E">
        <w:t xml:space="preserve"> </w:t>
      </w:r>
      <w:r w:rsidR="00BF10D7">
        <w:t xml:space="preserve"> respectively</w:t>
      </w:r>
      <w:r w:rsidR="00371D41">
        <w:t>.</w:t>
      </w:r>
      <w:r w:rsidR="00F9535E">
        <w:fldChar w:fldCharType="begin"/>
      </w:r>
      <w:r w:rsidR="006A3F13">
        <w:instrText xml:space="preserve"> ADDIN ZOTERO_ITEM CSL_CITATION {"citationID":"zfJ0SCmh","properties":{"formattedCitation":"\\super 21\\nosupersub{}","plainCitation":"21","noteIndex":0},"citationItems":[{"id":181,"uris":["http://zotero.org/users/7675815/items/Z3CEJARZ"],"uri":["http://zotero.org/users/7675815/items/Z3CEJARZ"],"itemData":{"id":181,"type":"article-journal","abstract":"Exposure to high inorganic arsenic concentrations in drinking water has been related to detrimental health effects, including cancers and possibly cardiovascular disease, in many epidemiological studies. Recent studies suggest that arsenic might elicit some of its toxic effects also at lower concentrations. The Strong Heart Study, a large epidemiological study of cardiovascular disease in American Indian communities, collected urine samples and performed medical examinations on 4,549 participants over a 10-year period beginning in 1989. We used anion-exchange HPLC/ICPMS to determine concentrations of arsenic species (methylarsonate, dimethylarsinate and arsenate) in 5,095 urine samples from the Strong Heart Study. We repeated the chromatography on a portion of the urine sample that had been oxidised, by addition of H(2)O(2), to provide additional information on the presence of As(III) species and thio-arsenicals, and by difference, of arsenobetaine and other non-retained cations. Total concentrations for As, Cd, Mo, Pb, Sb, Se, U, W, and Zn were also determined in the urine samples by ICPMS. The dataset will be used to evaluate the relationships between the concentrations of urinary arsenic species and selected metals with various cardiometabolic health endpoints. We present and discuss the analytical protocol put in place to produce this large and valuable dataset.","container-title":"Analytical Methods: Advancing Methods and Applications","DOI":"10.1039/C2AY05638K","ISSN":"1759-9660","issue":"2","journalAbbreviation":"Anal Methods","language":"eng","note":"PMID: 22685491\nPMCID: PMC3368501","page":"406-413","source":"PubMed","title":"Arsenic species and selected metals in human urine: validation of HPLC/ICPMS and ICPMS procedures for a long-term population-based epidemiological study","title-short":"Arsenic species and selected metals in human urine","volume":"4","author":[{"family":"Scheer","given":"Jürgen"},{"family":"Findenig","given":"Silvia"},{"family":"Goessler","given":"Walter"},{"family":"Francesconi","given":"Kevin A."},{"family":"Howard","given":"Barbara"},{"family":"Umans","given":"Jason G."},{"family":"Pollak","given":"Jonathan"},{"family":"Tellez-Plaza","given":"Maria"},{"family":"Silbergeld","given":"Ellen K."},{"family":"Guallar","given":"Eliseo"},{"family":"Navas-Acien","given":"Ana"}],"issued":{"date-parts":[["2012"]]}}}],"schema":"https://github.com/citation-style-language/schema/raw/master/csl-citation.json"} </w:instrText>
      </w:r>
      <w:r w:rsidR="00F9535E">
        <w:fldChar w:fldCharType="separate"/>
      </w:r>
      <w:r w:rsidR="006A3F13" w:rsidRPr="006A3F13">
        <w:rPr>
          <w:vertAlign w:val="superscript"/>
        </w:rPr>
        <w:t>21</w:t>
      </w:r>
      <w:r w:rsidR="00F9535E">
        <w:fldChar w:fldCharType="end"/>
      </w:r>
      <w:r w:rsidR="00127F98">
        <w:t xml:space="preserve"> </w:t>
      </w:r>
      <w:r w:rsidR="00D164D1">
        <w:t>Urine</w:t>
      </w:r>
      <w:r w:rsidR="00130FA6">
        <w:t xml:space="preserve"> As</w:t>
      </w:r>
      <w:r w:rsidR="00130FA6" w:rsidRPr="00BB0841">
        <w:rPr>
          <w:vertAlign w:val="superscript"/>
        </w:rPr>
        <w:t>+3</w:t>
      </w:r>
      <w:r w:rsidR="00130FA6">
        <w:t xml:space="preserve"> and As</w:t>
      </w:r>
      <w:r w:rsidR="00130FA6" w:rsidRPr="00BB0841">
        <w:rPr>
          <w:vertAlign w:val="superscript"/>
        </w:rPr>
        <w:t>+5</w:t>
      </w:r>
      <w:r w:rsidR="00130FA6">
        <w:t xml:space="preserve"> </w:t>
      </w:r>
      <w:r w:rsidR="00240876">
        <w:t>were</w:t>
      </w:r>
      <w:r w:rsidR="00130FA6">
        <w:t xml:space="preserve"> measured together</w:t>
      </w:r>
      <w:r w:rsidR="00240876">
        <w:t xml:space="preserve"> in</w:t>
      </w:r>
      <w:r w:rsidR="00D365BC">
        <w:t xml:space="preserve"> urine</w:t>
      </w:r>
      <w:r w:rsidR="00240876">
        <w:t xml:space="preserve"> samples from the SHFS, but measured separately in </w:t>
      </w:r>
      <w:r w:rsidR="008E3A9D">
        <w:t>urine</w:t>
      </w:r>
      <w:r w:rsidR="00E85DB6">
        <w:t xml:space="preserve"> </w:t>
      </w:r>
      <w:r w:rsidR="00240876">
        <w:t>samples from NHANES</w:t>
      </w:r>
      <w:r w:rsidR="00130FA6">
        <w:t xml:space="preserve">. </w:t>
      </w:r>
      <w:r w:rsidR="00696FE8">
        <w:t xml:space="preserve">To account for these differences, we pre-processed the NHANES </w:t>
      </w:r>
      <w:r w:rsidR="00696FE8">
        <w:rPr>
          <w:iCs/>
        </w:rPr>
        <w:t>As</w:t>
      </w:r>
      <w:r w:rsidR="00696FE8" w:rsidRPr="00BE6444">
        <w:rPr>
          <w:iCs/>
          <w:vertAlign w:val="superscript"/>
        </w:rPr>
        <w:t>+5</w:t>
      </w:r>
      <w:r w:rsidR="00696FE8">
        <w:rPr>
          <w:iCs/>
        </w:rPr>
        <w:t xml:space="preserve"> data before analysis and summed the measured As</w:t>
      </w:r>
      <w:r w:rsidR="00696FE8" w:rsidRPr="00BE6444">
        <w:rPr>
          <w:iCs/>
          <w:vertAlign w:val="superscript"/>
        </w:rPr>
        <w:t>+3</w:t>
      </w:r>
      <w:r w:rsidR="00696FE8">
        <w:rPr>
          <w:iCs/>
        </w:rPr>
        <w:t xml:space="preserve"> and As</w:t>
      </w:r>
      <w:r w:rsidR="00696FE8" w:rsidRPr="00BE6444">
        <w:rPr>
          <w:iCs/>
          <w:vertAlign w:val="superscript"/>
        </w:rPr>
        <w:t>+5</w:t>
      </w:r>
      <w:r w:rsidR="00696FE8">
        <w:rPr>
          <w:iCs/>
        </w:rPr>
        <w:t xml:space="preserve"> measurements to generate iAs concentrations. </w:t>
      </w:r>
      <w:r w:rsidR="003D05C9">
        <w:t>Because all iAs in urine tends to be either As</w:t>
      </w:r>
      <w:r w:rsidR="003D05C9" w:rsidRPr="00BE6444">
        <w:rPr>
          <w:vertAlign w:val="superscript"/>
        </w:rPr>
        <w:t>+3</w:t>
      </w:r>
      <w:r w:rsidR="003D05C9">
        <w:t xml:space="preserve"> or As</w:t>
      </w:r>
      <w:r w:rsidR="003D05C9" w:rsidRPr="00BE6444">
        <w:rPr>
          <w:vertAlign w:val="superscript"/>
        </w:rPr>
        <w:t>+5</w:t>
      </w:r>
      <w:r w:rsidR="003D05C9">
        <w:t xml:space="preserve"> depending on pH,</w:t>
      </w:r>
      <w:r w:rsidR="00787474">
        <w:t xml:space="preserve"> participants with low</w:t>
      </w:r>
      <w:r w:rsidR="00F51978">
        <w:t>- to moderate- iAs exposure typically have either As</w:t>
      </w:r>
      <w:r w:rsidR="00F51978" w:rsidRPr="00BE6444">
        <w:rPr>
          <w:vertAlign w:val="superscript"/>
        </w:rPr>
        <w:t>+3</w:t>
      </w:r>
      <w:r w:rsidR="00F51978">
        <w:t xml:space="preserve"> or As</w:t>
      </w:r>
      <w:r w:rsidR="00F51978" w:rsidRPr="00BE6444">
        <w:rPr>
          <w:vertAlign w:val="superscript"/>
        </w:rPr>
        <w:t>+5</w:t>
      </w:r>
      <w:r w:rsidR="00F51978">
        <w:t xml:space="preserve"> present in urine</w:t>
      </w:r>
      <w:r w:rsidR="00F9535E">
        <w:t>.</w:t>
      </w:r>
      <w:r w:rsidR="00A41767">
        <w:fldChar w:fldCharType="begin"/>
      </w:r>
      <w:r w:rsidR="006A3F13">
        <w:instrText xml:space="preserve"> ADDIN ZOTERO_ITEM CSL_CITATION {"citationID":"DLQPxbGp","properties":{"formattedCitation":"\\super 16\\nosupersub{}","plainCitation":"16","noteIndex":0},"citationItems":[{"id":"FULVJ1it/ndgqFcSc","uris":["http://zotero.org/users/7675815/items/M4SDGY4C"],"uri":["http://zotero.org/users/7675815/items/M4SDGY4C"],"itemData":{"id":152,"type":"article-journal","abstract":"BackgroundArsenic exposure in drinking water disproportionately affects small communities in some U.S. regions, including American Indian communities. In U.S. adults with no seafood intake, median total urine arsenic is 3.4 μg/L.ObjectiveWe evaluated arsenic exposure and excretion patterns using urine samples collected over 10 years in a random sample of American Indians from Arizona, Oklahoma, and North and South Dakota who participated in a cohort study from 1989 to 1999.MethodsWe measured total urine arsenic and arsenic species [inorganic arsenic (arsenite and arsenate), methylarsonate (MA), dimethylarsinate (DMA), and arsenobetaine] concentrations in 60 participants (three urine samples each, for a total of 180 urine samples) using inductively coupled plasma/mass spectrometry (ICPMS) and high-performance liquid chromatography/ICPMS, respectively.ResultsMedian (10th, 90th percentiles) urine concentration for the sum of inorganic arsenic, MA, and DMA at baseline was 7.2 (3.1, 16.9) μg/g creatinine; the median was higher in Arizona (12.5 μg/g), intermediate in the Dakotas (9.1 μg/g), and lower in Oklahoma (4.4 μg/g). The mean percentage distribution of arsenic species over the sum of inorganic and methylated species was 10.6% for inorganic arsenic, 18.4% for MA, and 70.9% for DMA. The intraclass correlation coefficient for three repeated arsenic measurements over a 10-year period was 0.80 for the sum of inorganic and methylated species and 0.64, 0.80, and 0.77 for percent inorganic arsenic, percent MA, and percent DMA, respectively.ConclusionsThis study found low to moderate inorganic arsenic exposure and confirmed long-term constancy in arsenic exposure and urine excretion patterns in American Indians from three U.S. regions over a 10-year period. Our findings support the feasibility of analyzing arsenic species in large population-based studies with stored urine samples.","container-title":"Environmental Health Perspectives","DOI":"10.1289/ehp.0800509","issue":"9","journalAbbreviation":"Environmental Health Perspectives","note":"publisher: Environmental Health Perspectives","page":"1428-1433","source":"ehp.niehs.nih.gov (Atypon)","title":"Urine Arsenic Concentrations and Species Excretion Patterns in American Indian Communities Over a 10-year Period: The Strong Heart Study","title-short":"Urine Arsenic Concentrations and Species Excretion Patterns in American Indian Communities Over a 10-year Period","volume":"117","author":[{"literal":"Navas-Acien Ana"},{"literal":"Umans Jason G."},{"literal":"Howard Barbara V."},{"literal":"Goessler Walter"},{"literal":"Francesconi Kevin A."},{"literal":"Crainiceanu Ciprian M."},{"literal":"Silbergeld Ellen K."},{"literal":"Guallar Eliseo"}],"issued":{"date-parts":[["2009",9,1]]}}}],"schema":"https://github.com/citation-style-language/schema/raw/master/csl-citation.json"} </w:instrText>
      </w:r>
      <w:r w:rsidR="00A41767">
        <w:fldChar w:fldCharType="separate"/>
      </w:r>
      <w:r w:rsidR="006A3F13" w:rsidRPr="006A3F13">
        <w:rPr>
          <w:vertAlign w:val="superscript"/>
        </w:rPr>
        <w:t>16</w:t>
      </w:r>
      <w:r w:rsidR="00A41767">
        <w:fldChar w:fldCharType="end"/>
      </w:r>
      <w:r w:rsidR="003D05C9">
        <w:t xml:space="preserve"> </w:t>
      </w:r>
      <w:r w:rsidR="00564207">
        <w:rPr>
          <w:iCs/>
        </w:rPr>
        <w:t xml:space="preserve">If an individual </w:t>
      </w:r>
      <w:r w:rsidR="001E02E9">
        <w:rPr>
          <w:iCs/>
        </w:rPr>
        <w:t xml:space="preserve">had </w:t>
      </w:r>
      <w:r w:rsidR="00073283">
        <w:rPr>
          <w:iCs/>
        </w:rPr>
        <w:t>As</w:t>
      </w:r>
      <w:r w:rsidR="00564207" w:rsidRPr="00BE6444">
        <w:rPr>
          <w:iCs/>
          <w:vertAlign w:val="superscript"/>
        </w:rPr>
        <w:t>+3</w:t>
      </w:r>
      <w:r w:rsidR="00564207">
        <w:rPr>
          <w:iCs/>
        </w:rPr>
        <w:t xml:space="preserve"> </w:t>
      </w:r>
      <w:r w:rsidR="00D73C21">
        <w:rPr>
          <w:iCs/>
        </w:rPr>
        <w:t xml:space="preserve">measured above the LOD </w:t>
      </w:r>
      <w:r w:rsidR="00564207">
        <w:rPr>
          <w:iCs/>
        </w:rPr>
        <w:t>but A</w:t>
      </w:r>
      <w:r w:rsidR="00073283">
        <w:rPr>
          <w:iCs/>
        </w:rPr>
        <w:t>s</w:t>
      </w:r>
      <w:r w:rsidR="00564207" w:rsidRPr="0052653E">
        <w:rPr>
          <w:iCs/>
          <w:vertAlign w:val="superscript"/>
        </w:rPr>
        <w:t>+5</w:t>
      </w:r>
      <w:r w:rsidR="00D73C21">
        <w:rPr>
          <w:iCs/>
        </w:rPr>
        <w:t xml:space="preserve"> measured below the LOD,</w:t>
      </w:r>
      <w:r w:rsidR="00564207">
        <w:rPr>
          <w:iCs/>
        </w:rPr>
        <w:t xml:space="preserve"> we </w:t>
      </w:r>
      <w:r w:rsidR="00564207">
        <w:t>replaced</w:t>
      </w:r>
      <w:r w:rsidR="00564207">
        <w:rPr>
          <w:iCs/>
        </w:rPr>
        <w:t xml:space="preserve"> the missing </w:t>
      </w:r>
      <w:r w:rsidR="00073283">
        <w:rPr>
          <w:iCs/>
        </w:rPr>
        <w:t>As</w:t>
      </w:r>
      <w:r w:rsidR="00564207" w:rsidRPr="009A1A1D">
        <w:rPr>
          <w:iCs/>
          <w:vertAlign w:val="superscript"/>
        </w:rPr>
        <w:t>+5</w:t>
      </w:r>
      <w:r w:rsidR="00564207">
        <w:rPr>
          <w:iCs/>
        </w:rPr>
        <w:t xml:space="preserve"> with a value of 0.</w:t>
      </w:r>
      <w:r w:rsidR="00564207">
        <w:t xml:space="preserve"> </w:t>
      </w:r>
      <w:r w:rsidR="00221117">
        <w:t>We evaluated the same covariates as in the SHFS, including urinary creatinine (mg/dL), BMI (</w:t>
      </w:r>
      <w:r w:rsidR="00221117" w:rsidRPr="00654974">
        <w:t>kg/m</w:t>
      </w:r>
      <w:r w:rsidR="00221117" w:rsidRPr="004A7443">
        <w:rPr>
          <w:vertAlign w:val="superscript"/>
        </w:rPr>
        <w:t>2</w:t>
      </w:r>
      <w:r w:rsidR="00221117">
        <w:t>), and self-reported past 24-hour intake of rice, juice, and wine/beer (grams), as previously described</w:t>
      </w:r>
      <w:r w:rsidR="00F9535E">
        <w:t>.</w:t>
      </w:r>
      <w:r w:rsidR="00A41767">
        <w:fldChar w:fldCharType="begin"/>
      </w:r>
      <w:r w:rsidR="006A3F13">
        <w:instrText xml:space="preserve"> ADDIN ZOTERO_ITEM CSL_CITATION {"citationID":"PpiMdqQC","properties":{"formattedCitation":"\\super 23\\nosupersub{}","plainCitation":"23","noteIndex":0},"citationItems":[{"id":188,"uris":["http://zotero.org/users/7675815/items/4EI7VPP5"],"uri":["http://zotero.org/users/7675815/items/4EI7VPP5"],"itemData":{"id":188,"type":"article-journal","abstract":"BACKGROUND: Arsenicals (roxarsone and nitarsone) used in poultry production likely increase inorganic arsenic (iAs), monomethylarsonic acid (MMA), dimethylarsinic acid (DMA), and roxarsone or nitarsone concentrations in poultry meat. However, the association between poultry intake and exposure to these arsenic species, as reflected in elevated urinary arsenic concentrations, is unknown.\nOBJECTIVES: Our aim was to evaluate the association between 24-hr dietary recall of poultry consumption and arsenic exposure in the U.S. population. We hypothesized first, that poultry intake would be associated with higher urine arsenic concentrations and second, that the association between turkey intake and increased urine arsenic concentrations would be modified by season, reflecting seasonal use of nitarsone.\nMETHODS: We evaluated 3,329 participants ≥ 6 years old from the 2003-2010 National Health and Nutrition Examination Survey (NHANES) with urine arsenic available and undetectable urine arsenobetaine levels. Geometric mean ratios (GMR) of urine total arsenic and DMA were compared across increasing levels of poultry intake.\nRESULTS: After adjustment, participants in the highest quartile of poultry consumption had urine total arsenic 1.12 (95% CI: 1.04, 1.22) and DMA 1.13 (95% CI: 1.06, 1.20) times higher than nonconsumers. During the fall/winter, participants in the highest quartile of turkey intake had urine total arsenic and DMA 1.17 (95% CI: 0.99, 1.39; p-trend = 0.02) and 1.13 (95% CI: 0.99, 1.30; p-trend = 0.03) times higher, respectively, than nonconsumers. Consumption of turkey during the past 24 hr was not associated with total arsenic or DMA during the spring/summer.\nCONCLUSIONS: Poultry intake was associated with increased urine total arsenic and DMA in NHANES 2003-2010, reflecting arsenic exposure. Seasonally stratified analyses by poultry type provide strong suggestive evidence that the historical use of arsenic-based poultry drugs contributed to arsenic exposure in the U.S.\nCITATION: Nigra AE, Nachman KE, Love DC, Grau-Perez M, Navas-Acien A. 2017. Poultry consumption and arsenic exposure in the U.S. Environ Health Perspect 125:370-377; http://dx.doi.org/10.1289/EHP351.","container-title":"Environmental Health Perspectives","DOI":"10.1289/EHP351","ISSN":"1552-9924","issue":"3","journalAbbreviation":"Environ Health Perspect","language":"eng","note":"PMID: 27735790\nPMCID: PMC5332189","page":"370-377","source":"PubMed","title":"Poultry Consumption and Arsenic Exposure in the U.S. Population","volume":"125","author":[{"family":"Nigra","given":"Anne E."},{"family":"Nachman","given":"Keeve E."},{"family":"Love","given":"David C."},{"family":"Grau-Perez","given":"Maria"},{"family":"Navas-Acien","given":"Ana"}],"issued":{"date-parts":[["2017",3]]}}}],"schema":"https://github.com/citation-style-language/schema/raw/master/csl-citation.json"} </w:instrText>
      </w:r>
      <w:r w:rsidR="00A41767">
        <w:fldChar w:fldCharType="separate"/>
      </w:r>
      <w:r w:rsidR="006A3F13" w:rsidRPr="006A3F13">
        <w:rPr>
          <w:vertAlign w:val="superscript"/>
        </w:rPr>
        <w:t>23</w:t>
      </w:r>
      <w:r w:rsidR="00A41767">
        <w:fldChar w:fldCharType="end"/>
      </w:r>
      <w:r w:rsidR="00F9535E">
        <w:t xml:space="preserve"> </w:t>
      </w:r>
      <w:r w:rsidR="00F9535E" w:rsidRPr="00F9535E">
        <w:t xml:space="preserve">Urine total and speciated arsenic was measured in a one-third subset of NHANES 2013/2014 participants (N=2,755). We excluded participants who were missing urinary total arsenic (N=93) or urinary arsenobetaine concentrations (N=21), who were pregnant (N=20), who were missing body mass index (N=26), urinary creatinine (N=1), or education (N=21), or who had an unreliable dietary recall as determined by NHANES (N=447). The final sample included 2,126 participants from NHANES 2013-2014 cycles. We replaced data below LOD in the arsenobetaine with LOD/ </w:t>
      </w:r>
      <m:oMath>
        <m:rad>
          <m:radPr>
            <m:degHide m:val="1"/>
            <m:ctrlPr>
              <w:rPr>
                <w:rFonts w:ascii="Cambria Math" w:hAnsi="Cambria Math"/>
                <w:i/>
                <w:iCs/>
              </w:rPr>
            </m:ctrlPr>
          </m:radPr>
          <m:deg/>
          <m:e>
            <m:r>
              <w:rPr>
                <w:rFonts w:ascii="Cambria Math" w:hAnsi="Cambria Math"/>
              </w:rPr>
              <m:t>2</m:t>
            </m:r>
          </m:e>
        </m:rad>
      </m:oMath>
      <w:r w:rsidR="00F9535E" w:rsidRPr="00F9535E">
        <w:t xml:space="preserve"> (56.3%). The final sample included 2,126 participants from NHANES 2013-2014 cycles.</w:t>
      </w:r>
    </w:p>
    <w:p w14:paraId="6AD9916D" w14:textId="77777777" w:rsidR="00564207" w:rsidRDefault="00564207" w:rsidP="00564207">
      <w:pPr>
        <w:widowControl w:val="0"/>
        <w:autoSpaceDE w:val="0"/>
        <w:autoSpaceDN w:val="0"/>
        <w:adjustRightInd w:val="0"/>
        <w:spacing w:line="480" w:lineRule="auto"/>
      </w:pPr>
    </w:p>
    <w:p w14:paraId="37ACEEDF" w14:textId="50961B27" w:rsidR="00564207" w:rsidRPr="004237FD" w:rsidRDefault="00564207" w:rsidP="001E3F35">
      <w:pPr>
        <w:widowControl w:val="0"/>
        <w:autoSpaceDE w:val="0"/>
        <w:autoSpaceDN w:val="0"/>
        <w:adjustRightInd w:val="0"/>
        <w:spacing w:line="480" w:lineRule="auto"/>
        <w:rPr>
          <w:bCs/>
        </w:rPr>
      </w:pPr>
      <w:r w:rsidRPr="004237FD">
        <w:rPr>
          <w:bCs/>
        </w:rPr>
        <w:t xml:space="preserve">2.2 Multiple Imputation (MI) for </w:t>
      </w:r>
      <w:r w:rsidR="004237FD" w:rsidRPr="004237FD">
        <w:rPr>
          <w:bCs/>
        </w:rPr>
        <w:t>D</w:t>
      </w:r>
      <w:r w:rsidRPr="004237FD">
        <w:rPr>
          <w:bCs/>
        </w:rPr>
        <w:t xml:space="preserve">ata </w:t>
      </w:r>
      <w:r w:rsidR="004237FD" w:rsidRPr="004237FD">
        <w:rPr>
          <w:bCs/>
        </w:rPr>
        <w:t>B</w:t>
      </w:r>
      <w:r w:rsidRPr="004237FD">
        <w:rPr>
          <w:bCs/>
        </w:rPr>
        <w:t>elow LOD</w:t>
      </w:r>
    </w:p>
    <w:p w14:paraId="0054A6A0" w14:textId="13FCC8E8" w:rsidR="00564207" w:rsidRDefault="00564207" w:rsidP="00564207">
      <w:pPr>
        <w:widowControl w:val="0"/>
        <w:autoSpaceDE w:val="0"/>
        <w:autoSpaceDN w:val="0"/>
        <w:adjustRightInd w:val="0"/>
        <w:spacing w:line="480" w:lineRule="auto"/>
      </w:pPr>
      <w:r>
        <w:lastRenderedPageBreak/>
        <w:t>MI</w:t>
      </w:r>
      <w:r w:rsidR="00A32AB1">
        <w:t xml:space="preserve"> </w:t>
      </w:r>
      <w:r w:rsidR="00110D60">
        <w:t xml:space="preserve">can be used to handle </w:t>
      </w:r>
      <w:r w:rsidR="00EB2C11">
        <w:t xml:space="preserve">data below </w:t>
      </w:r>
      <w:r w:rsidR="00110D60">
        <w:t>the LODs</w:t>
      </w:r>
      <w:r>
        <w:t>.</w:t>
      </w:r>
      <w:r w:rsidR="00A32AB1">
        <w:fldChar w:fldCharType="begin"/>
      </w:r>
      <w:r w:rsidR="006A3F13">
        <w:instrText xml:space="preserve"> ADDIN ZOTERO_ITEM CSL_CITATION {"citationID":"9fX9N5zO","properties":{"formattedCitation":"\\super 24\\nosupersub{}","plainCitation":"24","noteIndex":0},"citationItems":[{"id":164,"uris":["http://zotero.org/users/7675815/items/T6W7UNQL"],"uri":["http://zotero.org/users/7675815/items/T6W7UNQL"],"itemData":{"id":164,"type":"paper-conference","container-title":"Proceedings of the survey research methods section of the American Statistical Association","page":"20-34","publisher":"American Statistical Association","title":"Multiple imputations in sample surveys-a phenomenological Bayesian approach to nonresponse","volume":"1","author":[{"family":"Rubin","given":"Donald B."}],"issued":{"date-parts":[["1978"]]}}}],"schema":"https://github.com/citation-style-language/schema/raw/master/csl-citation.json"} </w:instrText>
      </w:r>
      <w:r w:rsidR="00A32AB1">
        <w:fldChar w:fldCharType="separate"/>
      </w:r>
      <w:r w:rsidR="006A3F13" w:rsidRPr="006A3F13">
        <w:rPr>
          <w:vertAlign w:val="superscript"/>
        </w:rPr>
        <w:t>24</w:t>
      </w:r>
      <w:r w:rsidR="00A32AB1">
        <w:fldChar w:fldCharType="end"/>
      </w:r>
      <w:r>
        <w:t xml:space="preserve"> Different from single imputation, MI accounts for imputation uncertainty and yields valid statistical inference. Because </w:t>
      </w:r>
      <w:r w:rsidR="008769AA">
        <w:t>of the right censoring</w:t>
      </w:r>
      <w:r>
        <w:t xml:space="preserve">, </w:t>
      </w:r>
      <w:r w:rsidR="008769AA">
        <w:t xml:space="preserve">imputation models using </w:t>
      </w:r>
      <w:r>
        <w:t xml:space="preserve">ordinary least squares </w:t>
      </w:r>
      <w:r w:rsidR="00EB2C11">
        <w:t xml:space="preserve">(OLS) </w:t>
      </w:r>
      <w:r>
        <w:t xml:space="preserve">regression can </w:t>
      </w:r>
      <w:r w:rsidR="008769AA">
        <w:t xml:space="preserve">lead to </w:t>
      </w:r>
      <w:r>
        <w:t>biased</w:t>
      </w:r>
      <w:r w:rsidR="008769AA">
        <w:t xml:space="preserve"> statistical inference</w:t>
      </w:r>
      <w:r>
        <w:t xml:space="preserve">. Instead, censored regression </w:t>
      </w:r>
      <w:r w:rsidR="00776B72">
        <w:t xml:space="preserve">that account for observations both above and below LODs </w:t>
      </w:r>
      <w:r>
        <w:t xml:space="preserve">can be used. </w:t>
      </w:r>
      <w:r w:rsidR="001E2A40">
        <w:t xml:space="preserve">In this section, we </w:t>
      </w:r>
      <w:r w:rsidR="007A7A80">
        <w:t>conside</w:t>
      </w:r>
      <w:r w:rsidR="008769AA">
        <w:t xml:space="preserve">r MI using </w:t>
      </w:r>
      <w:r w:rsidR="007A7A80">
        <w:t>censored regression</w:t>
      </w:r>
      <w:r w:rsidR="001E2A40">
        <w:t xml:space="preserve"> </w:t>
      </w:r>
      <w:r w:rsidR="008769AA">
        <w:t>with</w:t>
      </w:r>
      <w:r w:rsidR="001E2A40">
        <w:t xml:space="preserve"> Tobit </w:t>
      </w:r>
      <w:r w:rsidR="007A7A80">
        <w:t>models</w:t>
      </w:r>
      <w:r w:rsidR="001E2A40">
        <w:t xml:space="preserve">.  </w:t>
      </w:r>
    </w:p>
    <w:p w14:paraId="4A88F1C9" w14:textId="77777777" w:rsidR="00564207" w:rsidRDefault="00564207" w:rsidP="00564207">
      <w:pPr>
        <w:widowControl w:val="0"/>
        <w:autoSpaceDE w:val="0"/>
        <w:autoSpaceDN w:val="0"/>
        <w:adjustRightInd w:val="0"/>
        <w:spacing w:line="480" w:lineRule="auto"/>
      </w:pPr>
    </w:p>
    <w:p w14:paraId="02B08590" w14:textId="3F7190D6" w:rsidR="00564207" w:rsidRPr="004237FD" w:rsidRDefault="00564207" w:rsidP="00564207">
      <w:pPr>
        <w:widowControl w:val="0"/>
        <w:autoSpaceDE w:val="0"/>
        <w:autoSpaceDN w:val="0"/>
        <w:adjustRightInd w:val="0"/>
        <w:spacing w:line="480" w:lineRule="auto"/>
        <w:rPr>
          <w:i/>
        </w:rPr>
      </w:pPr>
      <w:r w:rsidRPr="004237FD">
        <w:rPr>
          <w:i/>
        </w:rPr>
        <w:t xml:space="preserve">2.2.1 Univariate Tobit Regression </w:t>
      </w:r>
      <w:r w:rsidR="001E3F35">
        <w:rPr>
          <w:i/>
        </w:rPr>
        <w:t>(UTR)</w:t>
      </w:r>
    </w:p>
    <w:p w14:paraId="4900A97F" w14:textId="38A7C7EE" w:rsidR="00564207" w:rsidRDefault="003E752F" w:rsidP="00564207">
      <w:pPr>
        <w:spacing w:line="480" w:lineRule="auto"/>
      </w:pPr>
      <w:r>
        <w:t xml:space="preserve">The </w:t>
      </w:r>
      <w:r w:rsidR="00564207">
        <w:t>Tobit model was first introduced by Arthur Goldberger in reference to James Tobin (1958). Defining</w:t>
      </w:r>
      <m:oMath>
        <m:sSub>
          <m:sSubPr>
            <m:ctrlPr>
              <w:rPr>
                <w:rFonts w:ascii="Cambria Math" w:hAnsi="Cambria Math"/>
                <w:i/>
              </w:rPr>
            </m:ctrlPr>
          </m:sSubPr>
          <m:e>
            <m:r>
              <w:rPr>
                <w:rFonts w:ascii="Cambria Math" w:hAnsi="Cambria Math"/>
              </w:rPr>
              <m:t xml:space="preserve"> y</m:t>
            </m:r>
          </m:e>
          <m:sub>
            <m:r>
              <w:rPr>
                <w:rFonts w:ascii="Cambria Math" w:hAnsi="Cambria Math"/>
              </w:rPr>
              <m:t>i</m:t>
            </m:r>
          </m:sub>
        </m:sSub>
      </m:oMath>
      <w:r w:rsidR="00564207">
        <w:t xml:space="preserve"> to be the </w:t>
      </w:r>
      <m:oMath>
        <m:r>
          <w:rPr>
            <w:rFonts w:ascii="Cambria Math" w:hAnsi="Cambria Math"/>
          </w:rPr>
          <m:t>i</m:t>
        </m:r>
      </m:oMath>
      <w:r w:rsidR="00564207">
        <w:rPr>
          <w:vertAlign w:val="superscript"/>
        </w:rPr>
        <w:t>th</w:t>
      </w:r>
      <w:r w:rsidR="00564207">
        <w:t xml:space="preserve"> observation of an environmental exposure,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oMath>
      <w:r w:rsidR="00564207">
        <w:t xml:space="preserve"> to be its corresponding </w:t>
      </w:r>
      <w:r w:rsidR="00564207">
        <w:rPr>
          <w:rFonts w:hint="eastAsia"/>
        </w:rPr>
        <w:t>tr</w:t>
      </w:r>
      <w:r w:rsidR="00564207">
        <w:t xml:space="preserve">ue value, and </w:t>
      </w:r>
      <m:oMath>
        <m:r>
          <w:rPr>
            <w:rFonts w:ascii="Cambria Math" w:hAnsi="Cambria Math"/>
          </w:rPr>
          <m:t>c</m:t>
        </m:r>
      </m:oMath>
      <w:r w:rsidR="00564207">
        <w:t xml:space="preserve"> to be the censoring point (i.e. the LOD value), the univariate Tobit model can be written as:</w:t>
      </w:r>
      <w:r w:rsidR="00A32AB1">
        <w:fldChar w:fldCharType="begin"/>
      </w:r>
      <w:r w:rsidR="006A3F13">
        <w:instrText xml:space="preserve"> ADDIN ZOTERO_ITEM CSL_CITATION {"citationID":"GxFXPRuf","properties":{"formattedCitation":"\\super 25\\nosupersub{}","plainCitation":"25","noteIndex":0},"citationItems":[{"id":44,"uris":["http://zotero.org/users/7675815/items/BQWFXPBY"],"uri":["http://zotero.org/users/7675815/items/BQWFXPBY"],"itemData":{"id":44,"type":"article-journal","container-title":"Journal of Econometrics","DOI":"10.1016/0304-4076(87)90072-8","ISSN":"03044076","issue":"1-2","journalAbbreviation":"Journal of Econometrics","language":"en","page":"179-200","source":"DOI.org (Crossref)","title":"Bivariate alternatives to the Tobit model","volume":"34","author":[{"family":"Blundell","given":"Richard"},{"family":"Meghir","given":"Costas"}],"issued":{"date-parts":[["1987",1]]}}}],"schema":"https://github.com/citation-style-language/schema/raw/master/csl-citation.json"} </w:instrText>
      </w:r>
      <w:r w:rsidR="00A32AB1">
        <w:fldChar w:fldCharType="separate"/>
      </w:r>
      <w:r w:rsidR="006A3F13" w:rsidRPr="006A3F13">
        <w:rPr>
          <w:vertAlign w:val="superscript"/>
        </w:rPr>
        <w:t>25</w:t>
      </w:r>
      <w:r w:rsidR="00A32AB1">
        <w:fldChar w:fldCharType="end"/>
      </w:r>
      <w:r w:rsidR="00A32AB1">
        <w:t xml:space="preserve"> </w:t>
      </w:r>
    </w:p>
    <w:p w14:paraId="39735238" w14:textId="71303BA5" w:rsidR="00564207" w:rsidRDefault="001F7E91" w:rsidP="00564207">
      <w:pPr>
        <w:spacing w:line="480" w:lineRule="auto"/>
        <w:jc w:val="center"/>
      </w:pPr>
      <m:oMath>
        <m:sSub>
          <m:sSubPr>
            <m:ctrlPr>
              <w:rPr>
                <w:rFonts w:ascii="Cambria Math" w:hAnsi="Cambria Math"/>
                <w:i/>
              </w:rPr>
            </m:ctrlPr>
          </m:sSubPr>
          <m:e>
            <m:r>
              <w:rPr>
                <w:rFonts w:ascii="Cambria Math" w:hAnsi="Cambria Math"/>
              </w:rPr>
              <m:t xml:space="preserve"> y</m:t>
            </m:r>
          </m:e>
          <m:sub>
            <m:r>
              <w:rPr>
                <w:rFonts w:ascii="Cambria Math" w:hAnsi="Cambria Math"/>
              </w:rPr>
              <m:t>i</m:t>
            </m:r>
          </m:sub>
        </m:sSub>
        <m:r>
          <m:rPr>
            <m:sty m:val="p"/>
          </m:rPr>
          <w:rPr>
            <w:rFonts w:ascii="Cambria Math" w:hAnsi="Cambria Math"/>
          </w:rPr>
          <m:t xml:space="preserve"> </m:t>
        </m:r>
        <m:r>
          <m:rPr>
            <m:sty m:val="p"/>
          </m:rPr>
          <w:rPr>
            <w:rFonts w:asci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m:rPr>
                    <m:sty m:val="p"/>
                  </m:rPr>
                  <w:rPr>
                    <w:rFonts w:ascii="Cambria Math" w:hAnsi="Cambria Math"/>
                  </w:rPr>
                  <m:t xml:space="preserve"> </m:t>
                </m:r>
                <m:r>
                  <m:rPr>
                    <m:sty m:val="p"/>
                  </m:rPr>
                  <w:rPr>
                    <w:rFonts w:ascii="Cambria Math"/>
                  </w:rPr>
                  <m:t xml:space="preserve">,  if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m:rPr>
                    <m:sty m:val="p"/>
                  </m:rPr>
                  <w:rPr>
                    <w:rFonts w:ascii="Cambria Math" w:hAnsi="Cambria Math"/>
                  </w:rPr>
                  <m:t xml:space="preserve"> ≥</m:t>
                </m:r>
                <m:r>
                  <m:rPr>
                    <m:sty m:val="p"/>
                  </m:rPr>
                  <w:rPr>
                    <w:rFonts w:ascii="Cambria Math"/>
                  </w:rPr>
                  <m:t xml:space="preserve"> c</m:t>
                </m:r>
              </m:e>
              <m:e>
                <m:r>
                  <w:rPr>
                    <w:rFonts w:ascii="Cambria Math" w:hAnsi="Cambria Math"/>
                  </w:rPr>
                  <m:t>c,  otherwise</m:t>
                </m:r>
              </m:e>
            </m:eqArr>
          </m:e>
        </m:d>
      </m:oMath>
      <w:r w:rsidR="00564207">
        <w:t xml:space="preserve">,      </w:t>
      </w:r>
      <m:oMath>
        <m:r>
          <w:rPr>
            <w:rFonts w:ascii="Cambria Math" w:hAnsi="Cambria Math"/>
          </w:rPr>
          <m:t>i=1, …, n</m:t>
        </m:r>
      </m:oMath>
      <w:r w:rsidR="00564207">
        <w:t>,</w:t>
      </w:r>
    </w:p>
    <w:p w14:paraId="1825FA19" w14:textId="77777777" w:rsidR="00564207" w:rsidRDefault="00564207" w:rsidP="00564207">
      <w:pPr>
        <w:spacing w:line="480" w:lineRule="auto"/>
      </w:pPr>
      <w:r>
        <w:t xml:space="preserve">where </w:t>
      </w:r>
      <m:oMath>
        <m:r>
          <w:rPr>
            <w:rFonts w:ascii="Cambria Math" w:hAnsi="Cambria Math"/>
          </w:rPr>
          <m:t>n</m:t>
        </m:r>
      </m:oMath>
      <w:r>
        <w:t xml:space="preserve"> is the number of </w:t>
      </w:r>
      <w:proofErr w:type="gramStart"/>
      <w:r>
        <w:t>observations.</w:t>
      </w:r>
      <w:proofErr w:type="gramEnd"/>
      <w:r>
        <w:t xml:space="preserve"> The corresponding true value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oMath>
      <w:r>
        <w:t xml:space="preserve"> is then modeled as </w:t>
      </w:r>
    </w:p>
    <w:p w14:paraId="03F85D10" w14:textId="77777777" w:rsidR="00564207" w:rsidRDefault="001F7E91" w:rsidP="00564207">
      <w:pPr>
        <w:spacing w:line="480" w:lineRule="auto"/>
        <w:ind w:left="2160" w:firstLine="720"/>
      </w:p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 xml:space="preserve"> =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 xml:space="preserve">' </m:t>
        </m:r>
        <m:r>
          <m:rPr>
            <m:sty m:val="bi"/>
          </m:rPr>
          <w:rPr>
            <w:rFonts w:ascii="Cambria Math" w:hAnsi="Cambria Math"/>
          </w:rPr>
          <m:t>β</m:t>
        </m:r>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i</m:t>
            </m:r>
          </m:sub>
        </m:sSub>
      </m:oMath>
      <w:r w:rsidR="00564207">
        <w:t xml:space="preserve"> , with </w:t>
      </w:r>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 xml:space="preserve"> ~ N(0,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564207">
        <w:t>,</w:t>
      </w:r>
    </w:p>
    <w:p w14:paraId="6A16E954" w14:textId="77777777" w:rsidR="00564207" w:rsidRDefault="00564207" w:rsidP="00564207">
      <w:pPr>
        <w:spacing w:line="480" w:lineRule="auto"/>
      </w:pPr>
      <w:r>
        <w:t xml:space="preserve">where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Pr>
          <w:b/>
          <w:bCs/>
        </w:rPr>
        <w:t xml:space="preserve"> </w:t>
      </w:r>
      <w:r>
        <w:t xml:space="preserve">is the </w:t>
      </w:r>
      <m:oMath>
        <m:r>
          <w:rPr>
            <w:rFonts w:ascii="Cambria Math" w:hAnsi="Cambria Math"/>
          </w:rPr>
          <m:t xml:space="preserve">k ×1 </m:t>
        </m:r>
      </m:oMath>
      <w:r>
        <w:t xml:space="preserve">vector of covariates,  </w:t>
      </w:r>
      <m:oMath>
        <m:r>
          <m:rPr>
            <m:sty m:val="bi"/>
          </m:rPr>
          <w:rPr>
            <w:rFonts w:ascii="Cambria Math" w:hAnsi="Cambria Math"/>
          </w:rPr>
          <m:t>β</m:t>
        </m:r>
      </m:oMath>
      <w:r>
        <w:t xml:space="preserve"> is the </w:t>
      </w:r>
      <m:oMath>
        <m:r>
          <w:rPr>
            <w:rFonts w:ascii="Cambria Math" w:hAnsi="Cambria Math"/>
          </w:rPr>
          <m:t xml:space="preserve">k ×1 </m:t>
        </m:r>
      </m:oMath>
      <w:r>
        <w:t xml:space="preserve">vector of regression coefficients, and </w:t>
      </w:r>
      <m:oMath>
        <m:sSub>
          <m:sSubPr>
            <m:ctrlPr>
              <w:rPr>
                <w:rFonts w:ascii="Cambria Math" w:hAnsi="Cambria Math"/>
                <w:i/>
              </w:rPr>
            </m:ctrlPr>
          </m:sSubPr>
          <m:e>
            <m:r>
              <w:rPr>
                <w:rFonts w:ascii="Cambria Math" w:hAnsi="Cambria Math"/>
              </w:rPr>
              <m:t>ε</m:t>
            </m:r>
          </m:e>
          <m:sub>
            <m:r>
              <w:rPr>
                <w:rFonts w:ascii="Cambria Math" w:hAnsi="Cambria Math"/>
              </w:rPr>
              <m:t xml:space="preserve">i </m:t>
            </m:r>
          </m:sub>
        </m:sSub>
      </m:oMath>
      <w:r>
        <w:t xml:space="preserve">is the normally distributed error term. </w:t>
      </w:r>
    </w:p>
    <w:p w14:paraId="4BEDBCB3" w14:textId="77777777" w:rsidR="00564207" w:rsidRDefault="00564207" w:rsidP="006876A8">
      <w:pPr>
        <w:spacing w:line="480" w:lineRule="auto"/>
        <w:ind w:firstLine="720"/>
      </w:pPr>
      <w:r>
        <w:t xml:space="preserve">The probability density function of </w:t>
      </w:r>
      <m:oMath>
        <m:sSup>
          <m:sSupPr>
            <m:ctrlPr>
              <w:rPr>
                <w:rFonts w:ascii="Cambria Math" w:hAnsi="Cambria Math"/>
                <w:i/>
              </w:rPr>
            </m:ctrlPr>
          </m:sSupPr>
          <m:e>
            <m:r>
              <w:rPr>
                <w:rFonts w:ascii="Cambria Math" w:hAnsi="Cambria Math"/>
              </w:rPr>
              <m:t>Y</m:t>
            </m:r>
          </m:e>
          <m:sup>
            <m:r>
              <w:rPr>
                <w:rFonts w:ascii="Cambria Math" w:hAnsi="Cambria Math"/>
              </w:rPr>
              <m:t>*</m:t>
            </m:r>
          </m:sup>
        </m:sSup>
      </m:oMath>
      <w:r>
        <w:t>has a form:</w:t>
      </w:r>
    </w:p>
    <w:p w14:paraId="7A6CEA1A" w14:textId="77777777" w:rsidR="00564207" w:rsidRDefault="001F7E91" w:rsidP="00564207">
      <w:pPr>
        <w:spacing w:line="480" w:lineRule="auto"/>
        <w:jc w:val="center"/>
      </w:pPr>
      <m:oMath>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Y</m:t>
                </m:r>
              </m:e>
              <m:sup>
                <m:r>
                  <w:rPr>
                    <w:rFonts w:ascii="Cambria Math" w:hAnsi="Cambria Math"/>
                  </w:rPr>
                  <m:t>*</m:t>
                </m:r>
              </m:sup>
            </m:sSup>
          </m:sub>
        </m:sSub>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r>
          <m:rPr>
            <m:sty m:val="p"/>
          </m:rPr>
          <w:rPr>
            <w:rFonts w:ascii="Cambria Math" w:hAnsi="Cambria Math"/>
          </w:rPr>
          <m:t>exp⁡</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 xml:space="preserve">' </m:t>
                </m:r>
                <m:r>
                  <m:rPr>
                    <m:sty m:val="bi"/>
                  </m:rPr>
                  <w:rPr>
                    <w:rFonts w:ascii="Cambria Math" w:hAnsi="Cambria Math"/>
                  </w:rPr>
                  <m:t>β</m:t>
                </m:r>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oMath>
      <w:r w:rsidR="00564207">
        <w:t>.</w:t>
      </w:r>
    </w:p>
    <w:p w14:paraId="3F5DE7CC" w14:textId="797FD540" w:rsidR="00564207" w:rsidRDefault="00564207" w:rsidP="00564207">
      <w:pPr>
        <w:spacing w:line="480" w:lineRule="auto"/>
      </w:pPr>
      <w:r>
        <w:t xml:space="preserve">For uncensored observations, the contribution to the likelihood is </w:t>
      </w:r>
      <m:oMath>
        <m:sSup>
          <m:sSupPr>
            <m:ctrlPr>
              <w:rPr>
                <w:rFonts w:ascii="Cambria Math" w:hAnsi="Cambria Math"/>
                <w:i/>
              </w:rPr>
            </m:ctrlPr>
          </m:sSupPr>
          <m:e>
            <m:r>
              <w:rPr>
                <w:rFonts w:ascii="Cambria Math" w:hAnsi="Cambria Math"/>
              </w:rPr>
              <m:t>L</m:t>
            </m:r>
          </m:e>
          <m:sup>
            <m:r>
              <w:rPr>
                <w:rFonts w:ascii="Cambria Math" w:hAnsi="Cambria Math"/>
              </w:rPr>
              <m:t>O</m:t>
            </m:r>
          </m:sup>
        </m:sSup>
        <m:r>
          <w:rPr>
            <w:rFonts w:ascii="Cambria Math" w:hAnsi="Cambria Math"/>
          </w:rPr>
          <m:t>=</m:t>
        </m:r>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Y</m:t>
                </m:r>
              </m:e>
              <m:sup>
                <m:r>
                  <w:rPr>
                    <w:rFonts w:ascii="Cambria Math" w:hAnsi="Cambria Math"/>
                  </w:rPr>
                  <m:t>*</m:t>
                </m:r>
              </m:sup>
            </m:sSup>
          </m:sub>
        </m:sSub>
        <m:d>
          <m:dPr>
            <m:ctrlPr>
              <w:rPr>
                <w:rFonts w:ascii="Cambria Math" w:hAnsi="Cambria Math"/>
                <w:i/>
              </w:rPr>
            </m:ctrlPr>
          </m:dPr>
          <m:e>
            <m:r>
              <w:rPr>
                <w:rFonts w:ascii="Cambria Math" w:hAnsi="Cambria Math"/>
              </w:rPr>
              <m:t>y</m:t>
            </m:r>
          </m:e>
        </m:d>
      </m:oMath>
      <w:r>
        <w:t xml:space="preserve">, while the contribution of censored observations is </w:t>
      </w:r>
      <m:oMath>
        <m:sSup>
          <m:sSupPr>
            <m:ctrlPr>
              <w:rPr>
                <w:rFonts w:ascii="Cambria Math" w:hAnsi="Cambria Math"/>
                <w:i/>
              </w:rPr>
            </m:ctrlPr>
          </m:sSupPr>
          <m:e>
            <m:r>
              <w:rPr>
                <w:rFonts w:ascii="Cambria Math" w:hAnsi="Cambria Math"/>
              </w:rPr>
              <m:t>L</m:t>
            </m:r>
          </m:e>
          <m:sup>
            <m:r>
              <w:rPr>
                <w:rFonts w:ascii="Cambria Math" w:hAnsi="Cambria Math"/>
              </w:rPr>
              <m:t>C</m:t>
            </m:r>
          </m:sup>
        </m:sSup>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c</m:t>
            </m:r>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Y</m:t>
                    </m:r>
                  </m:e>
                  <m:sup>
                    <m:r>
                      <w:rPr>
                        <w:rFonts w:ascii="Cambria Math" w:hAnsi="Cambria Math"/>
                      </w:rPr>
                      <m:t>*</m:t>
                    </m:r>
                  </m:sup>
                </m:sSup>
              </m:sub>
            </m:sSub>
            <m:d>
              <m:dPr>
                <m:ctrlPr>
                  <w:rPr>
                    <w:rFonts w:ascii="Cambria Math" w:hAnsi="Cambria Math"/>
                    <w:i/>
                  </w:rPr>
                </m:ctrlPr>
              </m:dPr>
              <m:e>
                <m:r>
                  <w:rPr>
                    <w:rFonts w:ascii="Cambria Math" w:hAnsi="Cambria Math"/>
                  </w:rPr>
                  <m:t>z</m:t>
                </m:r>
              </m:e>
            </m:d>
            <m:r>
              <w:rPr>
                <w:rFonts w:ascii="Cambria Math" w:hAnsi="Cambria Math"/>
              </w:rPr>
              <m:t>dz</m:t>
            </m:r>
          </m:e>
        </m:nary>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z-</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 xml:space="preserve">' </m:t>
            </m:r>
            <m:r>
              <m:rPr>
                <m:sty m:val="bi"/>
              </m:rPr>
              <w:rPr>
                <w:rFonts w:ascii="Cambria Math" w:hAnsi="Cambria Math"/>
              </w:rPr>
              <m:t>β</m:t>
            </m:r>
          </m:num>
          <m:den>
            <m:r>
              <w:rPr>
                <w:rFonts w:ascii="Cambria Math" w:hAnsi="Cambria Math"/>
              </w:rPr>
              <m:t>σ</m:t>
            </m:r>
          </m:den>
        </m:f>
        <m:r>
          <w:rPr>
            <w:rFonts w:ascii="Cambria Math" w:hAnsi="Cambria Math"/>
          </w:rPr>
          <m:t>)</m:t>
        </m:r>
      </m:oMath>
      <w:r w:rsidR="00DF384C">
        <w:t xml:space="preserve">, where </w:t>
      </w:r>
      <m:oMath>
        <m:r>
          <m:rPr>
            <m:sty m:val="p"/>
          </m:rPr>
          <w:rPr>
            <w:rFonts w:ascii="Cambria Math" w:hAnsi="Cambria Math"/>
          </w:rPr>
          <m:t>Φ</m:t>
        </m:r>
      </m:oMath>
      <w:r w:rsidR="00DF384C">
        <w:t xml:space="preserve"> is the cumulative distribution function of a standard normal distribution</w:t>
      </w:r>
      <w:r>
        <w:t xml:space="preserve">. Thus, we can write the likelihood function for the univariate Tobit model as: </w:t>
      </w:r>
    </w:p>
    <w:p w14:paraId="10925CCC" w14:textId="31741AA9" w:rsidR="00564207" w:rsidRDefault="00756F2B" w:rsidP="00B53FB1">
      <w:pPr>
        <w:spacing w:line="480" w:lineRule="auto"/>
        <w:jc w:val="center"/>
      </w:pPr>
      <m:oMath>
        <m:r>
          <w:rPr>
            <w:rFonts w:ascii="Cambria Math" w:hAnsi="Cambria Math"/>
          </w:rPr>
          <w:lastRenderedPageBreak/>
          <m:t>L</m:t>
        </m:r>
        <m:d>
          <m:dPr>
            <m:ctrlPr>
              <w:rPr>
                <w:rFonts w:ascii="Cambria Math" w:hAnsi="Cambria Math"/>
                <w:i/>
              </w:rPr>
            </m:ctrlPr>
          </m:dPr>
          <m:e>
            <m:r>
              <m:rPr>
                <m:sty m:val="bi"/>
              </m:rPr>
              <w:rPr>
                <w:rFonts w:ascii="Cambria Math" w:hAnsi="Cambria Math"/>
              </w:rPr>
              <m:t>β,</m:t>
            </m:r>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m:t>
            </m:r>
          </m:sub>
          <m:sup/>
          <m:e>
            <m:sSup>
              <m:sSupPr>
                <m:ctrlPr>
                  <w:rPr>
                    <w:rFonts w:ascii="Cambria Math" w:hAnsi="Cambria Math"/>
                    <w:i/>
                  </w:rPr>
                </m:ctrlPr>
              </m:sSupPr>
              <m:e>
                <m:r>
                  <w:rPr>
                    <w:rFonts w:ascii="Cambria Math" w:hAnsi="Cambria Math"/>
                  </w:rPr>
                  <m:t>L</m:t>
                </m:r>
              </m:e>
              <m:sup>
                <m:r>
                  <w:rPr>
                    <w:rFonts w:ascii="Cambria Math" w:hAnsi="Cambria Math"/>
                  </w:rPr>
                  <m:t>O</m:t>
                </m:r>
              </m:sup>
            </m:sSup>
          </m:e>
        </m:nary>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&lt;c</m:t>
            </m:r>
          </m:sub>
          <m:sup/>
          <m:e>
            <m:sSup>
              <m:sSupPr>
                <m:ctrlPr>
                  <w:rPr>
                    <w:rFonts w:ascii="Cambria Math" w:hAnsi="Cambria Math"/>
                    <w:i/>
                  </w:rPr>
                </m:ctrlPr>
              </m:sSupPr>
              <m:e>
                <m:r>
                  <w:rPr>
                    <w:rFonts w:ascii="Cambria Math" w:hAnsi="Cambria Math"/>
                  </w:rPr>
                  <m:t>L</m:t>
                </m:r>
              </m:e>
              <m:sup>
                <m:r>
                  <w:rPr>
                    <w:rFonts w:ascii="Cambria Math" w:hAnsi="Cambria Math"/>
                  </w:rPr>
                  <m:t>C</m:t>
                </m:r>
              </m:sup>
            </m:sSup>
          </m:e>
        </m:nary>
      </m:oMath>
      <w:r w:rsidR="00B53FB1">
        <w:t>.</w:t>
      </w:r>
    </w:p>
    <w:p w14:paraId="59FEAFDC" w14:textId="2F071BE7" w:rsidR="00564207" w:rsidRDefault="00564207" w:rsidP="00564207">
      <w:pPr>
        <w:spacing w:line="480" w:lineRule="auto"/>
      </w:pPr>
      <w:r>
        <w:t xml:space="preserve">The likelihood function of the Tobit model reflects both observed and censored data and thus accounts for the non-ignorable missingness mechanism. </w:t>
      </w:r>
      <w:r w:rsidR="00DF384C">
        <w:t>The parameters (</w:t>
      </w:r>
      <m:oMath>
        <m:r>
          <m:rPr>
            <m:sty m:val="bi"/>
          </m:rP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DF384C">
        <w:rPr>
          <w:b/>
        </w:rPr>
        <w:t xml:space="preserve"> </w:t>
      </w:r>
      <w:r w:rsidR="00DF384C">
        <w:t xml:space="preserve">can be obtained by maximizing the likelihood function or using Bayesian statistics by specifying some prior distributions for the parameters. </w:t>
      </w:r>
      <w:r w:rsidR="00DF384C">
        <w:rPr>
          <w:b/>
        </w:rPr>
        <w:t xml:space="preserve"> </w:t>
      </w:r>
      <w:r w:rsidR="00DF384C">
        <w:t>Once we obtained the estimated parameters (</w:t>
      </w:r>
      <m:oMath>
        <m:acc>
          <m:accPr>
            <m:ctrlPr>
              <w:rPr>
                <w:rFonts w:ascii="Cambria Math" w:hAnsi="Cambria Math"/>
                <w:b/>
                <w:i/>
              </w:rPr>
            </m:ctrlPr>
          </m:accPr>
          <m:e>
            <m:r>
              <m:rPr>
                <m:sty m:val="bi"/>
              </m:rPr>
              <w:rPr>
                <w:rFonts w:ascii="Cambria Math" w:hAnsi="Cambria Math"/>
              </w:rPr>
              <m:t>β</m:t>
            </m:r>
          </m:e>
        </m:acc>
        <m:r>
          <m:rPr>
            <m:sty m:val="bi"/>
          </m:rP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r>
          <w:rPr>
            <w:rFonts w:ascii="Cambria Math" w:hAnsi="Cambria Math"/>
          </w:rPr>
          <m:t>)</m:t>
        </m:r>
      </m:oMath>
      <w:r w:rsidR="00DF384C">
        <w:t>, t</w:t>
      </w:r>
      <w:r>
        <w:t xml:space="preserve">he imputation of the unobserved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oMath>
      <w:r>
        <w:t xml:space="preserve"> for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m:rPr>
            <m:sty m:val="p"/>
          </m:rPr>
          <w:rPr>
            <w:rFonts w:ascii="Cambria Math" w:hAnsi="Cambria Math"/>
          </w:rPr>
          <m:t>&lt;</m:t>
        </m:r>
        <m:r>
          <m:rPr>
            <m:sty m:val="p"/>
          </m:rPr>
          <w:rPr>
            <w:rFonts w:ascii="Cambria Math"/>
          </w:rPr>
          <m:t xml:space="preserve"> </m:t>
        </m:r>
        <m:r>
          <w:rPr>
            <w:rFonts w:ascii="Cambria Math" w:hAnsi="Cambria Math"/>
          </w:rPr>
          <m:t>c</m:t>
        </m:r>
      </m:oMath>
      <w:r>
        <w:t xml:space="preserve"> can be </w:t>
      </w:r>
      <w:r w:rsidR="00DF384C">
        <w:t>simulated</w:t>
      </w:r>
      <w:r>
        <w:t xml:space="preserve"> from a truncated normal distribution with mean </w:t>
      </w:r>
      <m:oMath>
        <m:sSubSup>
          <m:sSubSupPr>
            <m:ctrlPr>
              <w:rPr>
                <w:rFonts w:ascii="Cambria Math" w:hAnsi="Cambria Math"/>
                <w:i/>
              </w:rPr>
            </m:ctrlPr>
          </m:sSubSupPr>
          <m:e>
            <m:r>
              <m:rPr>
                <m:sty m:val="bi"/>
              </m:rPr>
              <w:rPr>
                <w:rFonts w:ascii="Cambria Math" w:hAnsi="Cambria Math"/>
              </w:rPr>
              <m:t>x</m:t>
            </m:r>
            <m:ctrlPr>
              <w:rPr>
                <w:rFonts w:ascii="Cambria Math" w:hAnsi="Cambria Math"/>
                <w:b/>
                <w:i/>
              </w:rPr>
            </m:ctrlPr>
          </m:e>
          <m:sub>
            <m:r>
              <m:rPr>
                <m:sty m:val="bi"/>
              </m:rPr>
              <w:rPr>
                <w:rFonts w:ascii="Cambria Math" w:hAnsi="Cambria Math"/>
              </w:rPr>
              <m:t>i</m:t>
            </m:r>
            <m:ctrlPr>
              <w:rPr>
                <w:rFonts w:ascii="Cambria Math" w:hAnsi="Cambria Math"/>
                <w:b/>
                <w:i/>
              </w:rPr>
            </m:ctrlPr>
          </m:sub>
          <m:sup>
            <m:r>
              <w:rPr>
                <w:rFonts w:ascii="Cambria Math" w:hAnsi="Cambria Math"/>
              </w:rPr>
              <m:t>'</m:t>
            </m:r>
          </m:sup>
        </m:sSubSup>
        <m:acc>
          <m:accPr>
            <m:ctrlPr>
              <w:rPr>
                <w:rFonts w:ascii="Cambria Math" w:hAnsi="Cambria Math"/>
                <w:b/>
                <w:i/>
              </w:rPr>
            </m:ctrlPr>
          </m:accPr>
          <m:e>
            <m:r>
              <m:rPr>
                <m:sty m:val="bi"/>
              </m:rPr>
              <w:rPr>
                <w:rFonts w:ascii="Cambria Math" w:hAnsi="Cambria Math"/>
              </w:rPr>
              <m:t>β</m:t>
            </m:r>
          </m:e>
        </m:acc>
      </m:oMath>
      <w:r w:rsidR="00DF384C" w:rsidRPr="00B53FB1">
        <w:t>,</w:t>
      </w:r>
      <w:r w:rsidR="00DF384C">
        <w:rPr>
          <w:b/>
        </w:rPr>
        <w:t xml:space="preserve"> </w:t>
      </w:r>
      <w:r>
        <w:t xml:space="preserve">variance </w:t>
      </w:r>
      <m:oMath>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oMath>
      <w:r w:rsidR="00B53FB1">
        <w:t>,</w:t>
      </w:r>
      <w:r w:rsidR="00DF384C">
        <w:t xml:space="preserve"> and left-truncation at </w:t>
      </w:r>
      <m:oMath>
        <m:r>
          <w:rPr>
            <w:rFonts w:ascii="Cambria Math" w:hAnsi="Cambria Math"/>
          </w:rPr>
          <m:t>c</m:t>
        </m:r>
      </m:oMath>
      <w:r w:rsidR="00DF384C">
        <w:t>.</w:t>
      </w:r>
    </w:p>
    <w:p w14:paraId="0C80362A" w14:textId="368001C7" w:rsidR="00564207" w:rsidRDefault="00564207" w:rsidP="006876A8">
      <w:pPr>
        <w:widowControl w:val="0"/>
        <w:autoSpaceDE w:val="0"/>
        <w:autoSpaceDN w:val="0"/>
        <w:adjustRightInd w:val="0"/>
        <w:spacing w:after="120" w:line="480" w:lineRule="auto"/>
        <w:ind w:firstLine="720"/>
      </w:pPr>
      <w:r>
        <w:t>In the presence of exposure mixtures with multiple censored variables, the univariate Tobit regression can be used together with the Multiple Imputation by Chained Equations (MICE) algorithm.</w:t>
      </w:r>
      <w:r w:rsidR="00A32AB1">
        <w:fldChar w:fldCharType="begin"/>
      </w:r>
      <w:r w:rsidR="006A3F13">
        <w:instrText xml:space="preserve"> ADDIN ZOTERO_ITEM CSL_CITATION {"citationID":"O4SNcjyO","properties":{"formattedCitation":"\\super 26\\nosupersub{}","plainCitation":"26","noteIndex":0},"citationItems":[{"id":134,"uris":["http://zotero.org/users/7675815/items/KBMR5WCZ"],"uri":["http://zotero.org/users/7675815/items/KBMR5WCZ"],"itemData":{"id":134,"type":"article-journal","container-title":"Journal of Statistical Software","DOI":"10.18637/jss.v045.i03","ISSN":"1548-7660","issue":"1","language":"en","note":"number: 1","page":"1-67","source":"www.jstatsoft.org","title":"mice: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00A32AB1">
        <w:fldChar w:fldCharType="separate"/>
      </w:r>
      <w:r w:rsidR="006A3F13" w:rsidRPr="006A3F13">
        <w:rPr>
          <w:vertAlign w:val="superscript"/>
        </w:rPr>
        <w:t>26</w:t>
      </w:r>
      <w:r w:rsidR="00A32AB1">
        <w:fldChar w:fldCharType="end"/>
      </w:r>
      <w:r>
        <w:t xml:space="preserve"> MICE is also called “fully conditional specification” or “sequential regression multiple imputation”. It imputes one variable at a time conditioning on all the other variables. We can apply univariate Tobit regression to impute one exposure at a time conditioning on all the other exposures and other predictors. Once an exposure is imputed, it is used as a predictor in the imputation of other exposures. The imputation continues until all data below </w:t>
      </w:r>
      <w:r w:rsidR="00081F57">
        <w:t xml:space="preserve">the </w:t>
      </w:r>
      <w:r>
        <w:t xml:space="preserve">LOD are imputed. This procedure is repeated several cycles. Through each cycle, the imputation is updated taking into </w:t>
      </w:r>
      <w:r w:rsidR="00327A4C">
        <w:t>consideration</w:t>
      </w:r>
      <w:r w:rsidR="00C8056A">
        <w:t xml:space="preserve"> </w:t>
      </w:r>
      <w:r>
        <w:t>the former cycle's information. The final imputed dataset is the set of imputation at the end of the cycles. The entire imputation process is repeated M times to obtain M complete datasets each from the cycles of the chained equation process. The Tobit regression is not available in any existing statistical software implementing the MICE algorithm, but the “mice” package in R allows users to select and write their own imputation model</w:t>
      </w:r>
      <w:r w:rsidR="0006353B">
        <w:t xml:space="preserve">. </w:t>
      </w:r>
      <w:r>
        <w:t xml:space="preserve"> We wrote a new “</w:t>
      </w:r>
      <w:proofErr w:type="spellStart"/>
      <w:r>
        <w:t>tobit</w:t>
      </w:r>
      <w:proofErr w:type="spellEnd"/>
      <w:r>
        <w:t xml:space="preserve">” function, which can </w:t>
      </w:r>
      <w:r w:rsidR="00327A4C">
        <w:t xml:space="preserve">be </w:t>
      </w:r>
      <w:r>
        <w:t xml:space="preserve">used within the “mice” package. </w:t>
      </w:r>
      <w:r w:rsidR="00327A4C">
        <w:t>The “</w:t>
      </w:r>
      <w:proofErr w:type="spellStart"/>
      <w:r w:rsidR="00327A4C">
        <w:t>tobit</w:t>
      </w:r>
      <w:proofErr w:type="spellEnd"/>
      <w:r w:rsidR="00327A4C">
        <w:t>” function and a sample code to call “</w:t>
      </w:r>
      <w:proofErr w:type="spellStart"/>
      <w:r w:rsidR="00327A4C">
        <w:t>tobit</w:t>
      </w:r>
      <w:proofErr w:type="spellEnd"/>
      <w:r w:rsidR="00327A4C">
        <w:t>” function from the “mice” package in R is in Appendix A.</w:t>
      </w:r>
    </w:p>
    <w:p w14:paraId="2DAAAEDE" w14:textId="77777777" w:rsidR="00564207" w:rsidRDefault="00564207" w:rsidP="00564207">
      <w:pPr>
        <w:widowControl w:val="0"/>
        <w:autoSpaceDE w:val="0"/>
        <w:autoSpaceDN w:val="0"/>
        <w:adjustRightInd w:val="0"/>
        <w:spacing w:after="120" w:line="480" w:lineRule="auto"/>
      </w:pPr>
    </w:p>
    <w:p w14:paraId="08034AAD" w14:textId="7B372B8F" w:rsidR="00564207" w:rsidRDefault="00564207" w:rsidP="00564207">
      <w:pPr>
        <w:widowControl w:val="0"/>
        <w:autoSpaceDE w:val="0"/>
        <w:autoSpaceDN w:val="0"/>
        <w:adjustRightInd w:val="0"/>
        <w:spacing w:after="120" w:line="480" w:lineRule="auto"/>
        <w:rPr>
          <w:i/>
        </w:rPr>
      </w:pPr>
      <w:r w:rsidRPr="006A3BCB">
        <w:rPr>
          <w:i/>
        </w:rPr>
        <w:t>2.2.</w:t>
      </w:r>
      <w:r>
        <w:rPr>
          <w:i/>
        </w:rPr>
        <w:t>2</w:t>
      </w:r>
      <w:r w:rsidRPr="006A3BCB">
        <w:rPr>
          <w:i/>
        </w:rPr>
        <w:t xml:space="preserve"> </w:t>
      </w:r>
      <w:r>
        <w:rPr>
          <w:i/>
        </w:rPr>
        <w:t>Multivariate Tobit Regression</w:t>
      </w:r>
      <w:r w:rsidR="001E3F35">
        <w:rPr>
          <w:i/>
        </w:rPr>
        <w:t xml:space="preserve"> (</w:t>
      </w:r>
      <w:r w:rsidR="00AE7BFC">
        <w:rPr>
          <w:i/>
        </w:rPr>
        <w:t>B</w:t>
      </w:r>
      <w:r w:rsidR="001E3F35">
        <w:rPr>
          <w:i/>
        </w:rPr>
        <w:t>MTR)</w:t>
      </w:r>
    </w:p>
    <w:p w14:paraId="67397F7A" w14:textId="4BCEF35B" w:rsidR="00564207" w:rsidRPr="009D5ACB" w:rsidRDefault="00564207" w:rsidP="009D5ACB">
      <w:pPr>
        <w:widowControl w:val="0"/>
        <w:autoSpaceDE w:val="0"/>
        <w:autoSpaceDN w:val="0"/>
        <w:adjustRightInd w:val="0"/>
        <w:spacing w:after="120" w:line="480" w:lineRule="auto"/>
        <w:rPr>
          <w:iCs/>
        </w:rPr>
      </w:pPr>
      <w:r w:rsidRPr="00825025">
        <w:rPr>
          <w:iCs/>
        </w:rPr>
        <w:t>Multiple imputation using joint modeling is another approach to impute multivariate censored data.  We conside</w:t>
      </w:r>
      <w:r w:rsidR="00776B72">
        <w:rPr>
          <w:iCs/>
        </w:rPr>
        <w:t>r</w:t>
      </w:r>
      <w:r w:rsidRPr="00825025">
        <w:rPr>
          <w:iCs/>
        </w:rPr>
        <w:t xml:space="preserve"> </w:t>
      </w:r>
      <w:r>
        <w:rPr>
          <w:iCs/>
        </w:rPr>
        <w:t>m</w:t>
      </w:r>
      <w:r w:rsidRPr="004F617F">
        <w:rPr>
          <w:iCs/>
        </w:rPr>
        <w:t>ultivariate</w:t>
      </w:r>
      <w:r>
        <w:rPr>
          <w:iCs/>
        </w:rPr>
        <w:t xml:space="preserve"> Tobit regression, which allows </w:t>
      </w:r>
      <w:r>
        <w:t>non-ignorable missingness mechanism</w:t>
      </w:r>
      <w:r>
        <w:rPr>
          <w:iCs/>
        </w:rPr>
        <w:t xml:space="preserve"> while accounting for the correlations among mixtures </w:t>
      </w:r>
      <w:r>
        <w:t xml:space="preserve">and </w:t>
      </w:r>
      <w:r w:rsidR="0049509B">
        <w:t>associations</w:t>
      </w:r>
      <w:r>
        <w:t xml:space="preserve"> between mixtures and possible predictors via regression. Defining</w:t>
      </w:r>
      <m:oMath>
        <m:sSub>
          <m:sSubPr>
            <m:ctrlPr>
              <w:rPr>
                <w:rFonts w:ascii="Cambria Math" w:hAnsi="Cambria Math"/>
                <w:i/>
              </w:rPr>
            </m:ctrlPr>
          </m:sSubPr>
          <m:e>
            <m:r>
              <w:rPr>
                <w:rFonts w:ascii="Cambria Math" w:hAnsi="Cambria Math"/>
              </w:rPr>
              <m:t xml:space="preserve"> y</m:t>
            </m:r>
          </m:e>
          <m:sub>
            <m:r>
              <w:rPr>
                <w:rFonts w:ascii="Cambria Math" w:hAnsi="Cambria Math"/>
              </w:rPr>
              <m:t>i</m:t>
            </m:r>
            <m:r>
              <w:rPr>
                <w:rFonts w:ascii="Cambria Math" w:hAnsi="Cambria Math" w:hint="eastAsia"/>
              </w:rPr>
              <m:t>j</m:t>
            </m:r>
          </m:sub>
        </m:sSub>
      </m:oMath>
      <w:r>
        <w:t xml:space="preserve"> to be the </w:t>
      </w:r>
      <m:oMath>
        <m:r>
          <w:rPr>
            <w:rFonts w:ascii="Cambria Math" w:hAnsi="Cambria Math"/>
          </w:rPr>
          <m:t>i</m:t>
        </m:r>
      </m:oMath>
      <w:r>
        <w:rPr>
          <w:vertAlign w:val="superscript"/>
        </w:rPr>
        <w:t>th</w:t>
      </w:r>
      <w:r>
        <w:t xml:space="preserve"> observation on the </w:t>
      </w:r>
      <m:oMath>
        <m:r>
          <w:rPr>
            <w:rFonts w:ascii="Cambria Math" w:hAnsi="Cambria Math"/>
          </w:rPr>
          <m:t>j</m:t>
        </m:r>
      </m:oMath>
      <w:r>
        <w:rPr>
          <w:vertAlign w:val="superscript"/>
        </w:rPr>
        <w:t>th</w:t>
      </w:r>
      <w:r>
        <w:t xml:space="preserve"> environmental exposure, </w:t>
      </w:r>
      <m:oMath>
        <m:sSubSup>
          <m:sSubSupPr>
            <m:ctrlPr>
              <w:rPr>
                <w:rFonts w:ascii="Cambria Math" w:hAnsi="Cambria Math"/>
                <w:i/>
              </w:rPr>
            </m:ctrlPr>
          </m:sSubSupPr>
          <m:e>
            <m:r>
              <w:rPr>
                <w:rFonts w:ascii="Cambria Math" w:hAnsi="Cambria Math"/>
              </w:rPr>
              <m:t>y</m:t>
            </m:r>
          </m:e>
          <m:sub>
            <m:r>
              <w:rPr>
                <w:rFonts w:ascii="Cambria Math" w:hAnsi="Cambria Math"/>
              </w:rPr>
              <m:t>ij</m:t>
            </m:r>
          </m:sub>
          <m:sup>
            <m:r>
              <w:rPr>
                <w:rFonts w:ascii="Cambria Math" w:hAnsi="Cambria Math"/>
              </w:rPr>
              <m:t>*</m:t>
            </m:r>
          </m:sup>
        </m:sSubSup>
      </m:oMath>
      <w:r>
        <w:t xml:space="preserve"> to be its corresponding true value, and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to be the censoring point (LOD) of the </w:t>
      </w:r>
      <m:oMath>
        <m:r>
          <w:rPr>
            <w:rFonts w:ascii="Cambria Math" w:hAnsi="Cambria Math"/>
          </w:rPr>
          <m:t>j</m:t>
        </m:r>
      </m:oMath>
      <w:r>
        <w:rPr>
          <w:vertAlign w:val="superscript"/>
        </w:rPr>
        <w:t>th</w:t>
      </w:r>
      <w:r>
        <w:t xml:space="preserve"> environmental exposure, </w:t>
      </w:r>
      <m:oMath>
        <m:r>
          <w:rPr>
            <w:rFonts w:ascii="Cambria Math" w:hAnsi="Cambria Math"/>
          </w:rPr>
          <m:t>j=1,…,J</m:t>
        </m:r>
      </m:oMath>
      <w:r>
        <w:t xml:space="preserve">. To simplify the explanation, here we use </w:t>
      </w:r>
      <m:oMath>
        <m:r>
          <w:rPr>
            <w:rFonts w:ascii="Cambria Math" w:hAnsi="Cambria Math"/>
          </w:rPr>
          <m:t>J=3</m:t>
        </m:r>
      </m:oMath>
      <w:r>
        <w:t xml:space="preserve"> as an example.  The multivariate Tobit model with three dependent variables can be written as:</w:t>
      </w:r>
    </w:p>
    <w:p w14:paraId="23DC69EA" w14:textId="4466808C" w:rsidR="00564207" w:rsidRDefault="001F7E91" w:rsidP="00564207">
      <w:pPr>
        <w:spacing w:line="480" w:lineRule="auto"/>
        <w:ind w:left="1440" w:firstLine="720"/>
      </w:pPr>
      <m:oMath>
        <m:sSub>
          <m:sSubPr>
            <m:ctrlPr>
              <w:rPr>
                <w:rFonts w:ascii="Cambria Math" w:hAnsi="Cambria Math"/>
                <w:i/>
              </w:rPr>
            </m:ctrlPr>
          </m:sSubPr>
          <m:e>
            <m:r>
              <w:rPr>
                <w:rFonts w:ascii="Cambria Math" w:hAnsi="Cambria Math"/>
              </w:rPr>
              <m:t xml:space="preserve"> y</m:t>
            </m:r>
          </m:e>
          <m:sub>
            <m:r>
              <w:rPr>
                <w:rFonts w:ascii="Cambria Math" w:hAnsi="Cambria Math"/>
              </w:rPr>
              <m:t>ij</m:t>
            </m:r>
          </m:sub>
        </m:sSub>
        <m:r>
          <m:rPr>
            <m:sty m:val="p"/>
          </m:rPr>
          <w:rPr>
            <w:rFonts w:ascii="Cambria Math" w:hAnsi="Cambria Math"/>
          </w:rPr>
          <m:t xml:space="preserve"> </m:t>
        </m:r>
        <m:r>
          <m:rPr>
            <m:sty m:val="p"/>
          </m:rPr>
          <w:rPr>
            <w:rFonts w:asci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ij</m:t>
                    </m:r>
                  </m:sub>
                  <m:sup>
                    <m:r>
                      <w:rPr>
                        <w:rFonts w:ascii="Cambria Math" w:hAnsi="Cambria Math"/>
                      </w:rPr>
                      <m:t>*</m:t>
                    </m:r>
                  </m:sup>
                </m:sSubSup>
                <m:r>
                  <m:rPr>
                    <m:sty m:val="p"/>
                  </m:rPr>
                  <w:rPr>
                    <w:rFonts w:ascii="Cambria Math" w:hAnsi="Cambria Math"/>
                  </w:rPr>
                  <m:t xml:space="preserve"> </m:t>
                </m:r>
                <m:r>
                  <m:rPr>
                    <m:sty m:val="p"/>
                  </m:rPr>
                  <w:rPr>
                    <w:rFonts w:ascii="Cambria Math"/>
                  </w:rPr>
                  <m:t xml:space="preserve">,  if </m:t>
                </m:r>
                <m:sSubSup>
                  <m:sSubSupPr>
                    <m:ctrlPr>
                      <w:rPr>
                        <w:rFonts w:ascii="Cambria Math" w:hAnsi="Cambria Math"/>
                        <w:i/>
                      </w:rPr>
                    </m:ctrlPr>
                  </m:sSubSupPr>
                  <m:e>
                    <m:r>
                      <w:rPr>
                        <w:rFonts w:ascii="Cambria Math" w:hAnsi="Cambria Math"/>
                      </w:rPr>
                      <m:t>y</m:t>
                    </m:r>
                  </m:e>
                  <m:sub>
                    <m:r>
                      <w:rPr>
                        <w:rFonts w:ascii="Cambria Math" w:hAnsi="Cambria Math"/>
                      </w:rPr>
                      <m:t>ij</m:t>
                    </m:r>
                  </m:sub>
                  <m:sup>
                    <m:r>
                      <w:rPr>
                        <w:rFonts w:ascii="Cambria Math" w:hAnsi="Cambria Math"/>
                      </w:rPr>
                      <m:t>*</m:t>
                    </m:r>
                  </m:sup>
                </m:sSubSup>
                <m:r>
                  <m:rPr>
                    <m:sty m:val="p"/>
                  </m:rPr>
                  <w:rPr>
                    <w:rFonts w:ascii="Cambria Math" w:hAnsi="Cambria Math"/>
                  </w:rPr>
                  <m:t xml:space="preserve"> </m:t>
                </m:r>
                <m:r>
                  <m:rPr>
                    <m:sty m:val="p"/>
                  </m:rPr>
                  <w:rPr>
                    <w:rFonts w:ascii="Cambria Math"/>
                  </w:rPr>
                  <m:t xml:space="preserve">&gt; </m:t>
                </m:r>
                <m:sSub>
                  <m:sSubPr>
                    <m:ctrlPr>
                      <w:rPr>
                        <w:rFonts w:ascii="Cambria Math" w:hAnsi="Cambria Math"/>
                        <w:i/>
                      </w:rPr>
                    </m:ctrlPr>
                  </m:sSubPr>
                  <m:e>
                    <m:r>
                      <w:rPr>
                        <w:rFonts w:ascii="Cambria Math" w:hAnsi="Cambria Math"/>
                      </w:rPr>
                      <m:t>c</m:t>
                    </m:r>
                  </m:e>
                  <m:sub>
                    <m:r>
                      <w:rPr>
                        <w:rFonts w:ascii="Cambria Math" w:hAnsi="Cambria Math"/>
                      </w:rPr>
                      <m:t>j</m:t>
                    </m:r>
                  </m:sub>
                </m:sSub>
              </m:e>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  otherwise</m:t>
                </m:r>
              </m:e>
            </m:eqArr>
          </m:e>
        </m:d>
      </m:oMath>
      <w:r w:rsidR="00564207">
        <w:t xml:space="preserve">,   </w:t>
      </w:r>
      <m:oMath>
        <m:r>
          <w:rPr>
            <w:rFonts w:ascii="Cambria Math" w:hAnsi="Cambria Math"/>
          </w:rPr>
          <m:t>i = 1, ...,n,   j = 1, 2, 3</m:t>
        </m:r>
      </m:oMath>
      <w:r w:rsidR="00B90F6A">
        <w:t>,</w:t>
      </w:r>
    </w:p>
    <w:p w14:paraId="59D7F818" w14:textId="543CCECD" w:rsidR="00564207" w:rsidRDefault="001F7E91" w:rsidP="009D5ACB">
      <w:pPr>
        <w:spacing w:line="480" w:lineRule="auto"/>
        <w:jc w:val="right"/>
      </w:pPr>
      <m:oMath>
        <m:sSubSup>
          <m:sSubSupPr>
            <m:ctrlPr>
              <w:rPr>
                <w:rFonts w:ascii="Cambria Math" w:hAnsi="Cambria Math"/>
                <w:i/>
              </w:rPr>
            </m:ctrlPr>
          </m:sSubSupPr>
          <m:e>
            <m:r>
              <m:rPr>
                <m:sty m:val="bi"/>
              </m:rP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i1</m:t>
                      </m:r>
                    </m:sub>
                    <m:sup>
                      <m:r>
                        <w:rPr>
                          <w:rFonts w:ascii="Cambria Math" w:hAnsi="Cambria Math"/>
                        </w:rPr>
                        <m:t>*</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i2</m:t>
                      </m:r>
                    </m:sub>
                    <m:sup>
                      <m:r>
                        <w:rPr>
                          <w:rFonts w:ascii="Cambria Math" w:hAnsi="Cambria Math"/>
                        </w:rPr>
                        <m:t>*</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i3</m:t>
                      </m:r>
                    </m:sub>
                    <m:sup>
                      <m:r>
                        <w:rPr>
                          <w:rFonts w:ascii="Cambria Math" w:hAnsi="Cambria Math"/>
                        </w:rPr>
                        <m:t>*</m:t>
                      </m:r>
                    </m:sup>
                  </m:sSubSup>
                </m:e>
              </m:mr>
            </m:m>
          </m:e>
        </m:d>
        <m:r>
          <w:rPr>
            <w:rFonts w:ascii="Cambria Math" w:hAnsi="Cambria Math"/>
          </w:rPr>
          <m:t xml:space="preserve"> ~ </m:t>
        </m:r>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3</m:t>
            </m:r>
          </m:sub>
        </m:sSub>
        <m:d>
          <m:dPr>
            <m:begChr m:val="["/>
            <m:endChr m:val="]"/>
            <m:ctrlPr>
              <w:rPr>
                <w:rFonts w:ascii="Cambria Math" w:hAnsi="Cambria Math"/>
                <w:b/>
                <w:i/>
              </w:rPr>
            </m:ctrlPr>
          </m:dPr>
          <m:e>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β</m:t>
                          </m:r>
                        </m:e>
                        <m:sub>
                          <m:r>
                            <w:rPr>
                              <w:rFonts w:ascii="Cambria Math" w:hAnsi="Cambria Math"/>
                            </w:rPr>
                            <m:t>1</m:t>
                          </m:r>
                        </m:sub>
                        <m:sup>
                          <m:r>
                            <w:rPr>
                              <w:rFonts w:ascii="Cambria Math" w:hAnsi="Cambria Math"/>
                            </w:rPr>
                            <m:t>T</m:t>
                          </m:r>
                        </m:sup>
                      </m:sSubSup>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mr>
                  <m:mr>
                    <m:e>
                      <m:sSubSup>
                        <m:sSubSupPr>
                          <m:ctrlPr>
                            <w:rPr>
                              <w:rFonts w:ascii="Cambria Math" w:hAnsi="Cambria Math"/>
                              <w:i/>
                            </w:rPr>
                          </m:ctrlPr>
                        </m:sSubSupPr>
                        <m:e>
                          <m:r>
                            <m:rPr>
                              <m:sty m:val="bi"/>
                            </m:rPr>
                            <w:rPr>
                              <w:rFonts w:ascii="Cambria Math" w:hAnsi="Cambria Math"/>
                            </w:rPr>
                            <m:t>β</m:t>
                          </m:r>
                        </m:e>
                        <m:sub>
                          <m:r>
                            <w:rPr>
                              <w:rFonts w:ascii="Cambria Math" w:hAnsi="Cambria Math"/>
                            </w:rPr>
                            <m:t>2</m:t>
                          </m:r>
                        </m:sub>
                        <m:sup>
                          <m:r>
                            <w:rPr>
                              <w:rFonts w:ascii="Cambria Math" w:hAnsi="Cambria Math"/>
                            </w:rPr>
                            <m:t>T</m:t>
                          </m:r>
                        </m:sup>
                      </m:sSubSup>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mr>
                  <m:mr>
                    <m:e>
                      <m:sSubSup>
                        <m:sSubSupPr>
                          <m:ctrlPr>
                            <w:rPr>
                              <w:rFonts w:ascii="Cambria Math" w:hAnsi="Cambria Math"/>
                              <w:i/>
                            </w:rPr>
                          </m:ctrlPr>
                        </m:sSubSupPr>
                        <m:e>
                          <m:r>
                            <m:rPr>
                              <m:sty m:val="bi"/>
                            </m:rPr>
                            <w:rPr>
                              <w:rFonts w:ascii="Cambria Math" w:hAnsi="Cambria Math"/>
                            </w:rPr>
                            <m:t>β</m:t>
                          </m:r>
                        </m:e>
                        <m:sub>
                          <m:r>
                            <w:rPr>
                              <w:rFonts w:ascii="Cambria Math" w:hAnsi="Cambria Math"/>
                            </w:rPr>
                            <m:t>3</m:t>
                          </m:r>
                        </m:sub>
                        <m:sup>
                          <m:r>
                            <w:rPr>
                              <w:rFonts w:ascii="Cambria Math" w:hAnsi="Cambria Math"/>
                            </w:rPr>
                            <m:t>T</m:t>
                          </m:r>
                        </m:sup>
                      </m:sSubSup>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mr>
                </m:m>
              </m:e>
            </m:d>
            <m:r>
              <w:rPr>
                <w:rFonts w:ascii="Cambria Math" w:hAnsi="Cambria Math"/>
              </w:rPr>
              <m:t xml:space="preserve">, </m:t>
            </m:r>
            <m:r>
              <m:rPr>
                <m:sty m:val="p"/>
              </m:rPr>
              <w:rPr>
                <w:rFonts w:ascii="Cambria Math" w:hAnsi="Cambria Math"/>
              </w:rPr>
              <m:t>Σ</m:t>
            </m:r>
          </m:e>
        </m:d>
      </m:oMath>
      <w:r w:rsidR="00564207">
        <w:t>, with</w:t>
      </w:r>
      <w:r w:rsidR="00564207">
        <w:rPr>
          <w:rFonts w:ascii="Cambria Math" w:hAnsi="Cambria Math"/>
        </w:rPr>
        <w:t xml:space="preserve"> </w:t>
      </w:r>
      <m:oMath>
        <m:r>
          <m:rPr>
            <m:sty m:val="b"/>
          </m:rPr>
          <w:rPr>
            <w:rFonts w:ascii="Cambria Math" w:hAnsi="Cambria Math"/>
          </w:rPr>
          <m:t>Σ</m:t>
        </m:r>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e>
                <m:e>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σ</m:t>
                      </m:r>
                    </m:e>
                    <m:sub>
                      <m:r>
                        <w:rPr>
                          <w:rFonts w:ascii="Cambria Math" w:hAnsi="Cambria Math"/>
                        </w:rPr>
                        <m:t>1</m:t>
                      </m:r>
                    </m:sub>
                  </m:sSub>
                  <m:sSub>
                    <m:sSubPr>
                      <m:ctrlPr>
                        <w:rPr>
                          <w:rFonts w:ascii="Cambria Math" w:hAnsi="Cambria Math"/>
                          <w:i/>
                        </w:rPr>
                      </m:ctrlPr>
                    </m:sSubPr>
                    <m:e>
                      <m:r>
                        <w:rPr>
                          <w:rFonts w:ascii="Cambria Math" w:hAnsi="Cambria Math"/>
                        </w:rPr>
                        <m:t>σ</m:t>
                      </m:r>
                    </m:e>
                    <m:sub>
                      <m:r>
                        <w:rPr>
                          <w:rFonts w:ascii="Cambria Math" w:hAnsi="Cambria Math"/>
                        </w:rPr>
                        <m:t>2</m:t>
                      </m:r>
                    </m:sub>
                  </m:sSub>
                </m:e>
                <m:e>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13</m:t>
                          </m:r>
                        </m:sub>
                      </m:sSub>
                      <m:r>
                        <w:rPr>
                          <w:rFonts w:ascii="Cambria Math" w:hAnsi="Cambria Math"/>
                        </w:rPr>
                        <m:t>σ</m:t>
                      </m:r>
                    </m:e>
                    <m:sub>
                      <m:r>
                        <w:rPr>
                          <w:rFonts w:ascii="Cambria Math" w:hAnsi="Cambria Math"/>
                        </w:rPr>
                        <m:t>1</m:t>
                      </m:r>
                    </m:sub>
                  </m:sSub>
                  <m:sSub>
                    <m:sSubPr>
                      <m:ctrlPr>
                        <w:rPr>
                          <w:rFonts w:ascii="Cambria Math" w:hAnsi="Cambria Math"/>
                          <w:i/>
                        </w:rPr>
                      </m:ctrlPr>
                    </m:sSubPr>
                    <m:e>
                      <m:r>
                        <w:rPr>
                          <w:rFonts w:ascii="Cambria Math" w:hAnsi="Cambria Math"/>
                        </w:rPr>
                        <m:t>σ</m:t>
                      </m:r>
                    </m:e>
                    <m:sub>
                      <m:r>
                        <w:rPr>
                          <w:rFonts w:ascii="Cambria Math" w:hAnsi="Cambria Math"/>
                        </w:rPr>
                        <m:t>3</m:t>
                      </m:r>
                    </m:sub>
                  </m:sSub>
                </m:e>
              </m:mr>
              <m:mr>
                <m:e>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σ</m:t>
                      </m:r>
                    </m:e>
                    <m:sub>
                      <m:r>
                        <w:rPr>
                          <w:rFonts w:ascii="Cambria Math" w:hAnsi="Cambria Math"/>
                        </w:rPr>
                        <m:t>1</m:t>
                      </m:r>
                    </m:sub>
                  </m:sSub>
                  <m:sSub>
                    <m:sSubPr>
                      <m:ctrlPr>
                        <w:rPr>
                          <w:rFonts w:ascii="Cambria Math" w:hAnsi="Cambria Math"/>
                          <w:i/>
                        </w:rPr>
                      </m:ctrlPr>
                    </m:sSubPr>
                    <m:e>
                      <m:r>
                        <w:rPr>
                          <w:rFonts w:ascii="Cambria Math" w:hAnsi="Cambria Math"/>
                        </w:rPr>
                        <m:t>σ</m:t>
                      </m:r>
                    </m:e>
                    <m:sub>
                      <m:r>
                        <w:rPr>
                          <w:rFonts w:ascii="Cambria Math" w:hAnsi="Cambria Math"/>
                        </w:rPr>
                        <m:t>2</m:t>
                      </m:r>
                    </m:sub>
                  </m:sSub>
                </m:e>
                <m:e>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e>
                <m:e>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23</m:t>
                          </m:r>
                        </m:sub>
                      </m:sSub>
                      <m:r>
                        <w:rPr>
                          <w:rFonts w:ascii="Cambria Math" w:hAnsi="Cambria Math"/>
                        </w:rPr>
                        <m:t>σ</m:t>
                      </m:r>
                    </m:e>
                    <m:sub>
                      <m:r>
                        <w:rPr>
                          <w:rFonts w:ascii="Cambria Math" w:hAnsi="Cambria Math"/>
                        </w:rPr>
                        <m:t>2</m:t>
                      </m:r>
                    </m:sub>
                  </m:sSub>
                  <m:sSub>
                    <m:sSubPr>
                      <m:ctrlPr>
                        <w:rPr>
                          <w:rFonts w:ascii="Cambria Math" w:hAnsi="Cambria Math"/>
                          <w:i/>
                        </w:rPr>
                      </m:ctrlPr>
                    </m:sSubPr>
                    <m:e>
                      <m:r>
                        <w:rPr>
                          <w:rFonts w:ascii="Cambria Math" w:hAnsi="Cambria Math"/>
                        </w:rPr>
                        <m:t>σ</m:t>
                      </m:r>
                    </m:e>
                    <m:sub>
                      <m:r>
                        <w:rPr>
                          <w:rFonts w:ascii="Cambria Math" w:hAnsi="Cambria Math"/>
                        </w:rPr>
                        <m:t>3</m:t>
                      </m:r>
                    </m:sub>
                  </m:sSub>
                </m:e>
              </m:mr>
              <m:mr>
                <m:e>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13</m:t>
                          </m:r>
                        </m:sub>
                      </m:sSub>
                      <m:r>
                        <w:rPr>
                          <w:rFonts w:ascii="Cambria Math" w:hAnsi="Cambria Math"/>
                        </w:rPr>
                        <m:t>σ</m:t>
                      </m:r>
                    </m:e>
                    <m:sub>
                      <m:r>
                        <w:rPr>
                          <w:rFonts w:ascii="Cambria Math" w:hAnsi="Cambria Math"/>
                        </w:rPr>
                        <m:t>1</m:t>
                      </m:r>
                    </m:sub>
                  </m:sSub>
                  <m:sSub>
                    <m:sSubPr>
                      <m:ctrlPr>
                        <w:rPr>
                          <w:rFonts w:ascii="Cambria Math" w:hAnsi="Cambria Math"/>
                          <w:i/>
                        </w:rPr>
                      </m:ctrlPr>
                    </m:sSubPr>
                    <m:e>
                      <m:r>
                        <w:rPr>
                          <w:rFonts w:ascii="Cambria Math" w:hAnsi="Cambria Math"/>
                        </w:rPr>
                        <m:t>σ</m:t>
                      </m:r>
                    </m:e>
                    <m:sub>
                      <m:r>
                        <w:rPr>
                          <w:rFonts w:ascii="Cambria Math" w:hAnsi="Cambria Math"/>
                        </w:rPr>
                        <m:t>3</m:t>
                      </m:r>
                    </m:sub>
                  </m:sSub>
                </m:e>
                <m:e>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23</m:t>
                          </m:r>
                        </m:sub>
                      </m:sSub>
                      <m:r>
                        <w:rPr>
                          <w:rFonts w:ascii="Cambria Math" w:hAnsi="Cambria Math"/>
                        </w:rPr>
                        <m:t>σ</m:t>
                      </m:r>
                    </m:e>
                    <m:sub>
                      <m:r>
                        <w:rPr>
                          <w:rFonts w:ascii="Cambria Math" w:hAnsi="Cambria Math"/>
                        </w:rPr>
                        <m:t>2</m:t>
                      </m:r>
                    </m:sub>
                  </m:sSub>
                  <m:sSub>
                    <m:sSubPr>
                      <m:ctrlPr>
                        <w:rPr>
                          <w:rFonts w:ascii="Cambria Math" w:hAnsi="Cambria Math"/>
                          <w:i/>
                        </w:rPr>
                      </m:ctrlPr>
                    </m:sSubPr>
                    <m:e>
                      <m:r>
                        <w:rPr>
                          <w:rFonts w:ascii="Cambria Math" w:hAnsi="Cambria Math"/>
                        </w:rPr>
                        <m:t>σ</m:t>
                      </m:r>
                    </m:e>
                    <m:sub>
                      <m:r>
                        <w:rPr>
                          <w:rFonts w:ascii="Cambria Math" w:hAnsi="Cambria Math"/>
                        </w:rPr>
                        <m:t>3</m:t>
                      </m:r>
                    </m:sub>
                  </m:sSub>
                </m:e>
                <m:e>
                  <m:sSubSup>
                    <m:sSubSupPr>
                      <m:ctrlPr>
                        <w:rPr>
                          <w:rFonts w:ascii="Cambria Math" w:hAnsi="Cambria Math"/>
                          <w:i/>
                        </w:rPr>
                      </m:ctrlPr>
                    </m:sSubSupPr>
                    <m:e>
                      <m:r>
                        <w:rPr>
                          <w:rFonts w:ascii="Cambria Math" w:hAnsi="Cambria Math"/>
                        </w:rPr>
                        <m:t>σ</m:t>
                      </m:r>
                    </m:e>
                    <m:sub>
                      <m:r>
                        <w:rPr>
                          <w:rFonts w:ascii="Cambria Math" w:hAnsi="Cambria Math"/>
                        </w:rPr>
                        <m:t>3</m:t>
                      </m:r>
                    </m:sub>
                    <m:sup>
                      <m:r>
                        <w:rPr>
                          <w:rFonts w:ascii="Cambria Math" w:hAnsi="Cambria Math"/>
                        </w:rPr>
                        <m:t>2</m:t>
                      </m:r>
                    </m:sup>
                  </m:sSubSup>
                </m:e>
              </m:mr>
            </m:m>
          </m:e>
        </m:d>
      </m:oMath>
      <w:r w:rsidR="004417EA">
        <w:t>,</w:t>
      </w:r>
      <w:r w:rsidR="009D5ACB">
        <w:t xml:space="preserve">                (1)</w:t>
      </w:r>
    </w:p>
    <w:p w14:paraId="2ACEE4EC" w14:textId="74E4C357" w:rsidR="00F852F4" w:rsidRDefault="004417EA" w:rsidP="00564207">
      <w:pPr>
        <w:spacing w:line="480" w:lineRule="auto"/>
        <w:rPr>
          <w:b/>
        </w:rPr>
      </w:pPr>
      <w:r>
        <w:t>w</w:t>
      </w:r>
      <w:r w:rsidR="00F852F4">
        <w:t>here</w:t>
      </w:r>
      <w:r w:rsidR="00B90F6A">
        <w:t xml:space="preserve"> </w:t>
      </w:r>
      <m:oMath>
        <m:r>
          <m:rPr>
            <m:sty m:val="b"/>
          </m:rPr>
          <w:rPr>
            <w:rFonts w:ascii="Cambria Math" w:hAnsi="Cambria Math"/>
          </w:rPr>
          <m:t>Σ</m:t>
        </m:r>
      </m:oMath>
      <w:r w:rsidR="00B90F6A">
        <w:rPr>
          <w:b/>
        </w:rPr>
        <w:t xml:space="preserve"> </w:t>
      </w:r>
      <w:r w:rsidR="00B90F6A" w:rsidRPr="00B90F6A">
        <w:t>is th</w:t>
      </w:r>
      <w:r w:rsidR="00B90F6A">
        <w:t>e variance-covariance matrix with</w:t>
      </w:r>
      <m:oMath>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3</m:t>
            </m:r>
          </m:sub>
          <m:sup>
            <m:r>
              <w:rPr>
                <w:rFonts w:ascii="Cambria Math" w:hAnsi="Cambria Math"/>
              </w:rPr>
              <m:t>2</m:t>
            </m:r>
          </m:sup>
        </m:sSubSup>
        <m:r>
          <w:rPr>
            <w:rFonts w:ascii="Cambria Math" w:hAnsi="Cambria Math"/>
          </w:rPr>
          <m:t>)</m:t>
        </m:r>
      </m:oMath>
      <w:r w:rsidR="00F852F4">
        <w:t xml:space="preserve"> </w:t>
      </w:r>
      <w:r w:rsidR="00B90F6A">
        <w:t>being</w:t>
      </w:r>
      <w:r w:rsidR="00F852F4">
        <w:t xml:space="preserve"> residual variances and </w:t>
      </w:r>
      <m:oMath>
        <m:sSub>
          <m:sSubPr>
            <m:ctrlPr>
              <w:rPr>
                <w:rFonts w:ascii="Cambria Math" w:hAnsi="Cambria Math"/>
                <w:i/>
              </w:rPr>
            </m:ctrlPr>
          </m:sSubPr>
          <m:e>
            <m:r>
              <w:rPr>
                <w:rFonts w:ascii="Cambria Math" w:hAnsi="Cambria Math"/>
              </w:rPr>
              <m:t>(ρ</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23</m:t>
            </m:r>
          </m:sub>
        </m:sSub>
        <m:r>
          <w:rPr>
            <w:rFonts w:ascii="Cambria Math" w:hAnsi="Cambria Math"/>
          </w:rPr>
          <m:t>)</m:t>
        </m:r>
      </m:oMath>
      <w:r w:rsidR="00F852F4">
        <w:t xml:space="preserve"> </w:t>
      </w:r>
      <w:r w:rsidR="00B90F6A">
        <w:t>being</w:t>
      </w:r>
      <w:r w:rsidR="00F852F4">
        <w:t xml:space="preserve"> correlations between any two </w:t>
      </w:r>
      <w:proofErr w:type="gramStart"/>
      <w:r w:rsidR="00F852F4">
        <w:t>exposures.</w:t>
      </w:r>
      <w:proofErr w:type="gramEnd"/>
      <w:r w:rsidR="00F852F4">
        <w:t xml:space="preserve"> The variance-covariance matrix </w:t>
      </w:r>
      <m:oMath>
        <m:r>
          <m:rPr>
            <m:sty m:val="b"/>
          </m:rPr>
          <w:rPr>
            <w:rFonts w:ascii="Cambria Math" w:hAnsi="Cambria Math"/>
          </w:rPr>
          <m:t>Σ</m:t>
        </m:r>
      </m:oMath>
      <w:r w:rsidR="00E652F6">
        <w:rPr>
          <w:b/>
        </w:rPr>
        <w:t xml:space="preserve"> </w:t>
      </w:r>
      <w:r w:rsidR="00E652F6" w:rsidRPr="00E652F6">
        <w:t>can also be re-written as</w:t>
      </w:r>
      <w:r w:rsidR="00E652F6">
        <w:rPr>
          <w:b/>
        </w:rPr>
        <w:t xml:space="preserve"> </w:t>
      </w:r>
    </w:p>
    <w:p w14:paraId="05A3A50D" w14:textId="2F5927A3" w:rsidR="00E652F6" w:rsidRDefault="00E652F6" w:rsidP="00761422">
      <w:pPr>
        <w:spacing w:line="480" w:lineRule="auto"/>
        <w:jc w:val="center"/>
      </w:pPr>
      <m:oMath>
        <m:r>
          <m:rPr>
            <m:sty m:val="b"/>
          </m:rPr>
          <w:rPr>
            <w:rFonts w:ascii="Cambria Math" w:hAnsi="Cambria Math"/>
          </w:rPr>
          <m:t>Σ</m:t>
        </m:r>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1</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σ</m:t>
                      </m:r>
                    </m:e>
                    <m:sub>
                      <m:r>
                        <w:rPr>
                          <w:rFonts w:ascii="Cambria Math" w:hAnsi="Cambria Math"/>
                        </w:rPr>
                        <m:t>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σ</m:t>
                      </m:r>
                    </m:e>
                    <m:sub>
                      <m:r>
                        <w:rPr>
                          <w:rFonts w:ascii="Cambria Math" w:hAnsi="Cambria Math"/>
                        </w:rPr>
                        <m:t>3</m:t>
                      </m:r>
                    </m:sub>
                  </m:sSub>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rPr>
                        <m:t>ρ</m:t>
                      </m:r>
                    </m:e>
                    <m:sub>
                      <m:r>
                        <w:rPr>
                          <w:rFonts w:ascii="Cambria Math" w:hAnsi="Cambria Math"/>
                        </w:rPr>
                        <m:t>12</m:t>
                      </m:r>
                    </m:sub>
                  </m:sSub>
                </m:e>
                <m:e>
                  <m:sSub>
                    <m:sSubPr>
                      <m:ctrlPr>
                        <w:rPr>
                          <w:rFonts w:ascii="Cambria Math" w:hAnsi="Cambria Math"/>
                          <w:i/>
                        </w:rPr>
                      </m:ctrlPr>
                    </m:sSubPr>
                    <m:e>
                      <m:r>
                        <w:rPr>
                          <w:rFonts w:ascii="Cambria Math" w:hAnsi="Cambria Math"/>
                        </w:rPr>
                        <m:t>ρ</m:t>
                      </m:r>
                    </m:e>
                    <m:sub>
                      <m:r>
                        <w:rPr>
                          <w:rFonts w:ascii="Cambria Math" w:hAnsi="Cambria Math"/>
                        </w:rPr>
                        <m:t>13</m:t>
                      </m:r>
                    </m:sub>
                  </m:sSub>
                </m:e>
              </m:mr>
              <m:mr>
                <m:e>
                  <m:sSub>
                    <m:sSubPr>
                      <m:ctrlPr>
                        <w:rPr>
                          <w:rFonts w:ascii="Cambria Math" w:hAnsi="Cambria Math"/>
                          <w:i/>
                        </w:rPr>
                      </m:ctrlPr>
                    </m:sSubPr>
                    <m:e>
                      <m:r>
                        <w:rPr>
                          <w:rFonts w:ascii="Cambria Math" w:hAnsi="Cambria Math"/>
                        </w:rPr>
                        <m:t>ρ</m:t>
                      </m:r>
                    </m:e>
                    <m:sub>
                      <m:r>
                        <w:rPr>
                          <w:rFonts w:ascii="Cambria Math" w:hAnsi="Cambria Math"/>
                        </w:rPr>
                        <m:t>12</m:t>
                      </m:r>
                    </m:sub>
                  </m:sSub>
                </m:e>
                <m:e>
                  <m:r>
                    <w:rPr>
                      <w:rFonts w:ascii="Cambria Math" w:hAnsi="Cambria Math"/>
                    </w:rPr>
                    <m:t>1</m:t>
                  </m:r>
                </m:e>
                <m:e>
                  <m:sSub>
                    <m:sSubPr>
                      <m:ctrlPr>
                        <w:rPr>
                          <w:rFonts w:ascii="Cambria Math" w:hAnsi="Cambria Math"/>
                          <w:i/>
                        </w:rPr>
                      </m:ctrlPr>
                    </m:sSubPr>
                    <m:e>
                      <m:r>
                        <w:rPr>
                          <w:rFonts w:ascii="Cambria Math" w:hAnsi="Cambria Math"/>
                        </w:rPr>
                        <m:t>ρ</m:t>
                      </m:r>
                    </m:e>
                    <m:sub>
                      <m:r>
                        <w:rPr>
                          <w:rFonts w:ascii="Cambria Math" w:hAnsi="Cambria Math"/>
                        </w:rPr>
                        <m:t>23</m:t>
                      </m:r>
                    </m:sub>
                  </m:sSub>
                </m:e>
              </m:mr>
              <m:mr>
                <m:e>
                  <m:sSub>
                    <m:sSubPr>
                      <m:ctrlPr>
                        <w:rPr>
                          <w:rFonts w:ascii="Cambria Math" w:hAnsi="Cambria Math"/>
                          <w:i/>
                        </w:rPr>
                      </m:ctrlPr>
                    </m:sSubPr>
                    <m:e>
                      <m:r>
                        <w:rPr>
                          <w:rFonts w:ascii="Cambria Math" w:hAnsi="Cambria Math"/>
                        </w:rPr>
                        <m:t>ρ</m:t>
                      </m:r>
                    </m:e>
                    <m:sub>
                      <m:r>
                        <w:rPr>
                          <w:rFonts w:ascii="Cambria Math" w:hAnsi="Cambria Math"/>
                        </w:rPr>
                        <m:t>13</m:t>
                      </m:r>
                    </m:sub>
                  </m:sSub>
                </m:e>
                <m:e>
                  <m:sSub>
                    <m:sSubPr>
                      <m:ctrlPr>
                        <w:rPr>
                          <w:rFonts w:ascii="Cambria Math" w:hAnsi="Cambria Math"/>
                          <w:i/>
                        </w:rPr>
                      </m:ctrlPr>
                    </m:sSubPr>
                    <m:e>
                      <m:r>
                        <w:rPr>
                          <w:rFonts w:ascii="Cambria Math" w:hAnsi="Cambria Math"/>
                        </w:rPr>
                        <m:t>ρ</m:t>
                      </m:r>
                    </m:e>
                    <m:sub>
                      <m:r>
                        <w:rPr>
                          <w:rFonts w:ascii="Cambria Math" w:hAnsi="Cambria Math"/>
                        </w:rPr>
                        <m:t>23</m:t>
                      </m:r>
                    </m:sub>
                  </m:sSub>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σ</m:t>
                      </m:r>
                    </m:e>
                    <m:sub>
                      <m:r>
                        <w:rPr>
                          <w:rFonts w:ascii="Cambria Math" w:hAnsi="Cambria Math"/>
                        </w:rPr>
                        <m:t>1</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σ</m:t>
                      </m:r>
                    </m:e>
                    <m:sub>
                      <m:r>
                        <w:rPr>
                          <w:rFonts w:ascii="Cambria Math" w:hAnsi="Cambria Math"/>
                        </w:rPr>
                        <m:t>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σ</m:t>
                      </m:r>
                    </m:e>
                    <m:sub>
                      <m:r>
                        <w:rPr>
                          <w:rFonts w:ascii="Cambria Math" w:hAnsi="Cambria Math"/>
                        </w:rPr>
                        <m:t>3</m:t>
                      </m:r>
                    </m:sub>
                  </m:sSub>
                </m:e>
              </m:mr>
            </m:m>
          </m:e>
        </m:d>
      </m:oMath>
      <w:r w:rsidR="00761422">
        <w:t>.</w:t>
      </w:r>
    </w:p>
    <w:p w14:paraId="4D559280" w14:textId="57763DA6" w:rsidR="00564207" w:rsidRDefault="00564207" w:rsidP="00564207">
      <w:pPr>
        <w:spacing w:line="480" w:lineRule="auto"/>
      </w:pPr>
      <w:r>
        <w:t>The probability density function</w:t>
      </w:r>
      <w:r w:rsidR="004F162B">
        <w:t xml:space="preserve"> of </w:t>
      </w:r>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m:t>
        </m:r>
      </m:oMath>
      <w:r>
        <w:t xml:space="preserve"> is</w:t>
      </w:r>
    </w:p>
    <w:p w14:paraId="66E213E9" w14:textId="69389297" w:rsidR="00564207" w:rsidRDefault="001F7E91" w:rsidP="00564207">
      <w:pPr>
        <w:spacing w:line="480" w:lineRule="auto"/>
        <w:jc w:val="center"/>
      </w:pPr>
      <m:oMath>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m:rPr>
                    <m:sty m:val="bi"/>
                  </m:rPr>
                  <w:rPr>
                    <w:rFonts w:ascii="Cambria Math" w:hAnsi="Cambria Math"/>
                  </w:rPr>
                  <m:t>Y</m:t>
                </m:r>
              </m:e>
              <m:sup>
                <m:r>
                  <w:rPr>
                    <w:rFonts w:ascii="Cambria Math" w:hAnsi="Cambria Math"/>
                  </w:rPr>
                  <m:t>*</m:t>
                </m:r>
              </m:sup>
            </m:sSup>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3</m:t>
                    </m:r>
                  </m:sup>
                </m:sSup>
                <m:d>
                  <m:dPr>
                    <m:begChr m:val="|"/>
                    <m:endChr m:val="|"/>
                    <m:ctrlPr>
                      <w:rPr>
                        <w:rFonts w:ascii="Cambria Math" w:hAnsi="Cambria Math"/>
                        <w:i/>
                      </w:rPr>
                    </m:ctrlPr>
                  </m:dPr>
                  <m:e>
                    <m:r>
                      <m:rPr>
                        <m:sty m:val="b"/>
                      </m:rPr>
                      <w:rPr>
                        <w:rFonts w:ascii="Cambria Math" w:hAnsi="Cambria Math"/>
                      </w:rPr>
                      <m:t>Σ</m:t>
                    </m:r>
                  </m:e>
                </m:d>
              </m:e>
            </m:rad>
          </m:den>
        </m:f>
        <m:r>
          <m:rPr>
            <m:sty m:val="p"/>
          </m:rPr>
          <w:rPr>
            <w:rFonts w:ascii="Cambria Math" w:hAnsi="Cambria Math"/>
          </w:rPr>
          <m:t>exp⁡</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w:rPr>
                    <w:rFonts w:ascii="Cambria Math" w:hAnsi="Cambria Math"/>
                  </w:rPr>
                  <m:t xml:space="preserve"> </m:t>
                </m:r>
                <m:r>
                  <m:rPr>
                    <m:sty m:val="bi"/>
                  </m:rPr>
                  <w:rPr>
                    <w:rFonts w:ascii="Cambria Math" w:hAnsi="Cambria Math"/>
                  </w:rPr>
                  <m:t>β</m:t>
                </m:r>
              </m:e>
            </m:d>
          </m:e>
          <m:sup>
            <m:r>
              <w:rPr>
                <w:rFonts w:ascii="Cambria Math" w:hAnsi="Cambria Math"/>
              </w:rPr>
              <m:t>T</m:t>
            </m:r>
          </m:sup>
        </m:sSup>
        <m:sSup>
          <m:sSupPr>
            <m:ctrlPr>
              <w:rPr>
                <w:rFonts w:ascii="Cambria Math" w:hAnsi="Cambria Math"/>
                <w:i/>
              </w:rPr>
            </m:ctrlPr>
          </m:sSupPr>
          <m:e>
            <m:r>
              <m:rPr>
                <m:sty m:val="b"/>
              </m:rPr>
              <w:rPr>
                <w:rFonts w:ascii="Cambria Math" w:hAnsi="Cambria Math"/>
              </w:rPr>
              <m:t>Σ</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w:rPr>
                <w:rFonts w:ascii="Cambria Math" w:hAnsi="Cambria Math"/>
              </w:rPr>
              <m:t xml:space="preserve"> </m:t>
            </m:r>
            <m:r>
              <m:rPr>
                <m:sty m:val="bi"/>
              </m:rPr>
              <w:rPr>
                <w:rFonts w:ascii="Cambria Math" w:hAnsi="Cambria Math"/>
              </w:rPr>
              <m:t>β</m:t>
            </m:r>
          </m:e>
        </m:d>
        <m:r>
          <w:rPr>
            <w:rFonts w:ascii="Cambria Math" w:hAnsi="Cambria Math"/>
          </w:rPr>
          <m:t>)</m:t>
        </m:r>
      </m:oMath>
      <w:r w:rsidR="00564207">
        <w:t>,</w:t>
      </w:r>
    </w:p>
    <w:p w14:paraId="4B7A07CA" w14:textId="77777777" w:rsidR="00CF7B48" w:rsidRDefault="00564207" w:rsidP="00564207">
      <w:pPr>
        <w:spacing w:line="480" w:lineRule="auto"/>
      </w:pPr>
      <w:r>
        <w:lastRenderedPageBreak/>
        <w:t>w</w:t>
      </w:r>
      <w:r w:rsidRPr="00825025">
        <w:t>here</w:t>
      </w:r>
      <w:r>
        <w:rPr>
          <w:b/>
        </w:rPr>
        <w:t xml:space="preserve"> </w:t>
      </w:r>
      <m:oMath>
        <m:r>
          <m:rPr>
            <m:sty m:val="bi"/>
          </m:rPr>
          <w:rPr>
            <w:rFonts w:ascii="Cambria Math" w:hAnsi="Cambria Math"/>
          </w:rPr>
          <m:t>β</m:t>
        </m:r>
      </m:oMath>
      <w:r>
        <w:t xml:space="preserve">  = </w:t>
      </w:r>
      <m:oMath>
        <m:r>
          <w:rPr>
            <w:rFonts w:ascii="Cambria Math" w:hAnsi="Cambria Math"/>
          </w:rPr>
          <m:t>(</m:t>
        </m:r>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1</m:t>
            </m:r>
          </m:sub>
        </m:sSub>
        <m:r>
          <w:rPr>
            <w:rFonts w:ascii="Cambria Math" w:hAnsi="Cambria Math"/>
          </w:rPr>
          <m:t xml:space="preserve">, </m:t>
        </m:r>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2</m:t>
            </m:r>
          </m:sub>
        </m:sSub>
        <m:r>
          <w:rPr>
            <w:rFonts w:ascii="Cambria Math" w:hAnsi="Cambria Math"/>
          </w:rPr>
          <m:t>,</m:t>
        </m:r>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3</m:t>
            </m:r>
          </m:sub>
        </m:sSub>
        <m:r>
          <w:rPr>
            <w:rFonts w:ascii="Cambria Math" w:hAnsi="Cambria Math"/>
          </w:rPr>
          <m:t>)</m:t>
        </m:r>
      </m:oMath>
      <w:r>
        <w:t xml:space="preserve"> with </w:t>
      </w:r>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j</m:t>
            </m:r>
          </m:sub>
        </m:sSub>
      </m:oMath>
      <w:r>
        <w:t xml:space="preserve"> being a </w:t>
      </w:r>
      <m:oMath>
        <m:r>
          <w:rPr>
            <w:rFonts w:ascii="Cambria Math" w:hAnsi="Cambria Math"/>
          </w:rPr>
          <m:t xml:space="preserve">k ×1 </m:t>
        </m:r>
      </m:oMath>
      <w:r>
        <w:t xml:space="preserve">vector of regression coefficients for exposure </w:t>
      </w:r>
      <m:oMath>
        <m:r>
          <w:rPr>
            <w:rFonts w:ascii="Cambria Math" w:hAnsi="Cambria Math"/>
          </w:rPr>
          <m:t>j</m:t>
        </m:r>
      </m:oMath>
      <w:r>
        <w:t xml:space="preserve">, and </w:t>
      </w:r>
      <m:oMath>
        <m:r>
          <m:rPr>
            <m:sty m:val="bi"/>
          </m:rPr>
          <w:rPr>
            <w:rFonts w:ascii="Cambria Math" w:hAnsi="Cambria Math"/>
          </w:rPr>
          <m:t>x</m:t>
        </m:r>
      </m:oMath>
      <w:r>
        <w:t xml:space="preserve">  = </w:t>
      </w:r>
      <m:oMath>
        <m: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 xml:space="preserve">, </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n</m:t>
            </m:r>
          </m:sub>
        </m:sSub>
        <m:r>
          <w:rPr>
            <w:rFonts w:ascii="Cambria Math" w:hAnsi="Cambria Math"/>
          </w:rPr>
          <m:t>)</m:t>
        </m:r>
      </m:oMath>
      <w:r>
        <w:t xml:space="preserve"> with </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oMath>
      <w:r>
        <w:t xml:space="preserve"> being a </w:t>
      </w:r>
      <m:oMath>
        <m:r>
          <w:rPr>
            <w:rFonts w:ascii="Cambria Math" w:hAnsi="Cambria Math"/>
          </w:rPr>
          <m:t xml:space="preserve">k ×1 </m:t>
        </m:r>
      </m:oMath>
      <w:r>
        <w:t xml:space="preserve">vector of covariates for subject </w:t>
      </w:r>
      <m:oMath>
        <m:r>
          <w:rPr>
            <w:rFonts w:ascii="Cambria Math" w:hAnsi="Cambria Math"/>
          </w:rPr>
          <m:t>i</m:t>
        </m:r>
      </m:oMath>
      <w:r>
        <w:t xml:space="preserve">. </w:t>
      </w:r>
    </w:p>
    <w:p w14:paraId="0A22C291" w14:textId="7C7B5735" w:rsidR="00564207" w:rsidRDefault="00564207" w:rsidP="006876A8">
      <w:pPr>
        <w:spacing w:line="480" w:lineRule="auto"/>
        <w:ind w:firstLine="720"/>
      </w:pPr>
      <w:r>
        <w:t xml:space="preserve">The </w:t>
      </w:r>
      <w:r w:rsidRPr="00B718A2">
        <w:t xml:space="preserve">likelihood function depends on eight possible data patterns determined by </w:t>
      </w:r>
      <w:r>
        <w:t>LOD conditions</w:t>
      </w:r>
      <w:r w:rsidRPr="00B718A2">
        <w:t xml:space="preserve"> of </w:t>
      </w:r>
      <w:r w:rsidR="00595E94">
        <w:t xml:space="preserve">the </w:t>
      </w:r>
      <w:r w:rsidRPr="00B718A2">
        <w:t xml:space="preserve">three </w:t>
      </w:r>
      <w:r>
        <w:t xml:space="preserve">exposures. </w:t>
      </w:r>
      <w:r w:rsidR="00CF7B48">
        <w:t>Observed data contribute to the likelihood with their probability density function</w:t>
      </w:r>
      <w:r w:rsidR="00B90F6A">
        <w:t>s</w:t>
      </w:r>
      <w:r w:rsidR="00CF7B48">
        <w:t xml:space="preserve"> but censored data contribute with cumulative distribution function</w:t>
      </w:r>
      <w:r w:rsidR="00B90F6A">
        <w:t>s</w:t>
      </w:r>
      <w:r w:rsidR="00CF7B48">
        <w:t>. Specifically, the</w:t>
      </w:r>
      <w:r>
        <w:t xml:space="preserve"> contribution</w:t>
      </w:r>
      <w:r w:rsidR="00CF7B48">
        <w:t xml:space="preserve"> of each observation from the eight possible data patterns</w:t>
      </w:r>
      <w:r>
        <w:t xml:space="preserve"> </w:t>
      </w:r>
      <w:r w:rsidR="00CF7B48">
        <w:t>is</w:t>
      </w:r>
      <w:r>
        <w:t xml:space="preserve"> as follows,</w:t>
      </w:r>
    </w:p>
    <w:p w14:paraId="728EDDE2" w14:textId="77777777" w:rsidR="00564207" w:rsidRDefault="00564207" w:rsidP="00564207">
      <w:pPr>
        <w:pStyle w:val="ListParagraph"/>
        <w:numPr>
          <w:ilvl w:val="0"/>
          <w:numId w:val="10"/>
        </w:numPr>
        <w:spacing w:line="480" w:lineRule="auto"/>
        <w:ind w:left="720"/>
      </w:pPr>
      <w:r>
        <w:t xml:space="preserve">All three exposures are observed: </w:t>
      </w:r>
      <m:oMath>
        <m:sSup>
          <m:sSupPr>
            <m:ctrlPr>
              <w:rPr>
                <w:rFonts w:ascii="Cambria Math" w:hAnsi="Cambria Math"/>
                <w:i/>
              </w:rPr>
            </m:ctrlPr>
          </m:sSupPr>
          <m:e>
            <m:r>
              <w:rPr>
                <w:rFonts w:ascii="Cambria Math" w:hAnsi="Cambria Math"/>
              </w:rPr>
              <m:t>L</m:t>
            </m:r>
          </m:e>
          <m:sup>
            <m:r>
              <w:rPr>
                <w:rFonts w:ascii="Cambria Math" w:hAnsi="Cambria Math"/>
              </w:rPr>
              <m:t>OOO</m:t>
            </m:r>
          </m:sup>
        </m:sSup>
        <m:r>
          <w:rPr>
            <w:rFonts w:ascii="Cambria Math" w:hAnsi="Cambria Math"/>
          </w:rPr>
          <m:t>=</m:t>
        </m:r>
        <m:sSub>
          <m:sSubPr>
            <m:ctrlPr>
              <w:rPr>
                <w:rFonts w:ascii="Cambria Math" w:hAnsi="Cambria Math"/>
                <w:i/>
              </w:rPr>
            </m:ctrlPr>
          </m:sSubPr>
          <m:e>
            <m:r>
              <w:rPr>
                <w:rFonts w:ascii="Cambria Math" w:hAnsi="Cambria Math"/>
              </w:rPr>
              <m:t>f</m:t>
            </m:r>
          </m:e>
          <m:sub>
            <m:sSup>
              <m:sSupPr>
                <m:ctrlPr>
                  <w:rPr>
                    <w:rFonts w:ascii="Cambria Math" w:hAnsi="Cambria Math"/>
                    <w:b/>
                    <w:i/>
                  </w:rPr>
                </m:ctrlPr>
              </m:sSupPr>
              <m:e>
                <m:r>
                  <m:rPr>
                    <m:sty m:val="bi"/>
                  </m:rPr>
                  <w:rPr>
                    <w:rFonts w:ascii="Cambria Math" w:hAnsi="Cambria Math"/>
                  </w:rPr>
                  <m:t>Y</m:t>
                </m:r>
              </m:e>
              <m:sup>
                <m:r>
                  <m:rPr>
                    <m:sty m:val="bi"/>
                  </m:rPr>
                  <w:rPr>
                    <w:rFonts w:ascii="Cambria Math" w:hAnsi="Cambria Math"/>
                  </w:rPr>
                  <m:t>*</m:t>
                </m:r>
              </m:sup>
            </m:sSup>
          </m:sub>
        </m:sSub>
        <m:d>
          <m:dPr>
            <m:ctrlPr>
              <w:rPr>
                <w:rFonts w:ascii="Cambria Math" w:hAnsi="Cambria Math"/>
                <w:i/>
              </w:rPr>
            </m:ctrlPr>
          </m:dPr>
          <m:e>
            <m:r>
              <m:rPr>
                <m:sty m:val="bi"/>
              </m:rPr>
              <w:rPr>
                <w:rFonts w:ascii="Cambria Math" w:hAnsi="Cambria Math"/>
              </w:rPr>
              <m:t>y</m:t>
            </m:r>
          </m:e>
        </m:d>
      </m:oMath>
    </w:p>
    <w:p w14:paraId="6DE3238E" w14:textId="1907816E" w:rsidR="00564207" w:rsidRDefault="001F7E91" w:rsidP="00564207">
      <w:pPr>
        <w:pStyle w:val="ListParagraph"/>
        <w:numPr>
          <w:ilvl w:val="0"/>
          <w:numId w:val="10"/>
        </w:numPr>
        <w:spacing w:line="480" w:lineRule="auto"/>
        <w:ind w:left="720"/>
      </w:pP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rsidR="00564207">
        <w:t xml:space="preserve"> and </w:t>
      </w: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564207">
        <w:t xml:space="preserve"> are observed</w:t>
      </w:r>
      <w:r w:rsidR="00C2134A">
        <w:t>,</w:t>
      </w:r>
      <w:r w:rsidR="00564207">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rsidR="00564207">
        <w:t xml:space="preserve"> is censored: </w:t>
      </w:r>
      <m:oMath>
        <m:sSup>
          <m:sSupPr>
            <m:ctrlPr>
              <w:rPr>
                <w:rFonts w:ascii="Cambria Math" w:hAnsi="Cambria Math"/>
                <w:i/>
              </w:rPr>
            </m:ctrlPr>
          </m:sSupPr>
          <m:e>
            <m:r>
              <w:rPr>
                <w:rFonts w:ascii="Cambria Math" w:hAnsi="Cambria Math"/>
              </w:rPr>
              <m:t>L</m:t>
            </m:r>
          </m:e>
          <m:sup>
            <m:r>
              <w:rPr>
                <w:rFonts w:ascii="Cambria Math" w:hAnsi="Cambria Math"/>
              </w:rPr>
              <m:t>OOC</m:t>
            </m:r>
          </m:sup>
        </m:sSup>
        <m:r>
          <w:rPr>
            <w:rFonts w:ascii="Cambria Math" w:hAnsi="Cambria Math"/>
          </w:rPr>
          <m:t>=</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3</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sub>
            </m:sSub>
            <m:d>
              <m:dPr>
                <m:ctrlPr>
                  <w:rPr>
                    <w:rFonts w:ascii="Cambria Math" w:hAnsi="Cambria Math"/>
                    <w:i/>
                  </w:rPr>
                </m:ctrlPr>
              </m:dPr>
              <m:e>
                <m:r>
                  <w:rPr>
                    <w:rFonts w:ascii="Cambria Math" w:hAnsi="Cambria Math"/>
                  </w:rPr>
                  <m:t>z</m:t>
                </m:r>
              </m:e>
            </m:d>
            <m:r>
              <w:rPr>
                <w:rFonts w:ascii="Cambria Math" w:hAnsi="Cambria Math"/>
              </w:rPr>
              <m:t>dz</m:t>
            </m:r>
          </m:e>
        </m:nary>
      </m:oMath>
    </w:p>
    <w:p w14:paraId="3DD7F38D" w14:textId="3A431151" w:rsidR="00564207" w:rsidRDefault="001F7E91" w:rsidP="00564207">
      <w:pPr>
        <w:pStyle w:val="ListParagraph"/>
        <w:numPr>
          <w:ilvl w:val="0"/>
          <w:numId w:val="10"/>
        </w:numPr>
        <w:spacing w:line="480" w:lineRule="auto"/>
        <w:ind w:left="720"/>
      </w:pP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rsidR="00564207">
        <w:t xml:space="preserve"> and </w:t>
      </w: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rsidR="00564207">
        <w:t xml:space="preserve"> are observe</w:t>
      </w:r>
      <w:r w:rsidR="00C2134A">
        <w:t>d,</w:t>
      </w:r>
      <w:r w:rsidR="00564207">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564207">
        <w:t xml:space="preserve"> is censored: </w:t>
      </w:r>
      <m:oMath>
        <m:sSup>
          <m:sSupPr>
            <m:ctrlPr>
              <w:rPr>
                <w:rFonts w:ascii="Cambria Math" w:hAnsi="Cambria Math"/>
                <w:i/>
              </w:rPr>
            </m:ctrlPr>
          </m:sSupPr>
          <m:e>
            <m:r>
              <w:rPr>
                <w:rFonts w:ascii="Cambria Math" w:hAnsi="Cambria Math"/>
              </w:rPr>
              <m:t>L</m:t>
            </m:r>
          </m:e>
          <m:sup>
            <m:r>
              <w:rPr>
                <w:rFonts w:ascii="Cambria Math" w:hAnsi="Cambria Math"/>
              </w:rPr>
              <m:t>OCO</m:t>
            </m:r>
          </m:sup>
        </m:sSup>
        <m:r>
          <w:rPr>
            <w:rFonts w:ascii="Cambria Math" w:hAnsi="Cambria Math"/>
          </w:rPr>
          <m:t>=</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2</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r>
                  <w:rPr>
                    <w:rFonts w:ascii="Cambria Math" w:hAnsi="Cambria Math"/>
                  </w:rPr>
                  <m:t>z</m:t>
                </m:r>
              </m:e>
            </m:d>
            <m:r>
              <w:rPr>
                <w:rFonts w:ascii="Cambria Math" w:hAnsi="Cambria Math"/>
              </w:rPr>
              <m:t>dz</m:t>
            </m:r>
          </m:e>
        </m:nary>
      </m:oMath>
    </w:p>
    <w:p w14:paraId="123F8D29" w14:textId="39FC228C" w:rsidR="00564207" w:rsidRDefault="001F7E91" w:rsidP="00564207">
      <w:pPr>
        <w:pStyle w:val="ListParagraph"/>
        <w:numPr>
          <w:ilvl w:val="0"/>
          <w:numId w:val="10"/>
        </w:numPr>
        <w:spacing w:line="480" w:lineRule="auto"/>
        <w:ind w:left="720"/>
      </w:pP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564207">
        <w:t xml:space="preserve"> and </w:t>
      </w: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rsidR="00564207">
        <w:t xml:space="preserve"> are observed</w:t>
      </w:r>
      <w:r w:rsidR="00C2134A">
        <w:t>,</w:t>
      </w:r>
      <w:r w:rsidR="00564207">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rsidR="00564207">
        <w:t xml:space="preserve"> is censored: </w:t>
      </w:r>
      <m:oMath>
        <m:sSup>
          <m:sSupPr>
            <m:ctrlPr>
              <w:rPr>
                <w:rFonts w:ascii="Cambria Math" w:hAnsi="Cambria Math"/>
                <w:i/>
              </w:rPr>
            </m:ctrlPr>
          </m:sSupPr>
          <m:e>
            <m:r>
              <w:rPr>
                <w:rFonts w:ascii="Cambria Math" w:hAnsi="Cambria Math"/>
              </w:rPr>
              <m:t>L</m:t>
            </m:r>
          </m:e>
          <m:sup>
            <m:r>
              <w:rPr>
                <w:rFonts w:ascii="Cambria Math" w:hAnsi="Cambria Math"/>
              </w:rPr>
              <m:t>COO</m:t>
            </m:r>
          </m:sup>
        </m:sSup>
        <m:r>
          <w:rPr>
            <w:rFonts w:ascii="Cambria Math" w:hAnsi="Cambria Math"/>
          </w:rPr>
          <m:t>=</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1</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r>
                  <w:rPr>
                    <w:rFonts w:ascii="Cambria Math" w:hAnsi="Cambria Math"/>
                  </w:rPr>
                  <m:t>z</m:t>
                </m:r>
              </m:e>
            </m:d>
            <m:r>
              <w:rPr>
                <w:rFonts w:ascii="Cambria Math" w:hAnsi="Cambria Math"/>
              </w:rPr>
              <m:t>dz</m:t>
            </m:r>
          </m:e>
        </m:nary>
      </m:oMath>
    </w:p>
    <w:p w14:paraId="0EF17290" w14:textId="4FFD0F5C" w:rsidR="00564207" w:rsidRDefault="001F7E91" w:rsidP="00564207">
      <w:pPr>
        <w:pStyle w:val="ListParagraph"/>
        <w:numPr>
          <w:ilvl w:val="0"/>
          <w:numId w:val="10"/>
        </w:numPr>
        <w:spacing w:line="480" w:lineRule="auto"/>
        <w:ind w:left="720"/>
      </w:pP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rsidR="00564207">
        <w:t xml:space="preserve"> </w:t>
      </w:r>
      <w:r w:rsidR="005614AB">
        <w:t>is observed</w:t>
      </w:r>
      <w:r w:rsidR="00C2134A">
        <w:t>,</w:t>
      </w:r>
      <w:r w:rsidR="005614AB">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564207">
        <w:t xml:space="preserve"> </w:t>
      </w:r>
      <w:r w:rsidR="005614AB">
        <w:t>and</w:t>
      </w:r>
      <w:r w:rsidR="00564207">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rsidR="00564207">
        <w:t xml:space="preserve"> </w:t>
      </w:r>
      <w:r w:rsidR="005614AB">
        <w:t>are</w:t>
      </w:r>
      <w:r w:rsidR="00564207">
        <w:t xml:space="preserve"> censored: </w:t>
      </w:r>
      <m:oMath>
        <m:sSup>
          <m:sSupPr>
            <m:ctrlPr>
              <w:rPr>
                <w:rFonts w:ascii="Cambria Math" w:hAnsi="Cambria Math"/>
                <w:i/>
              </w:rPr>
            </m:ctrlPr>
          </m:sSupPr>
          <m:e>
            <m:r>
              <w:rPr>
                <w:rFonts w:ascii="Cambria Math" w:hAnsi="Cambria Math"/>
              </w:rPr>
              <m:t>L</m:t>
            </m:r>
          </m:e>
          <m:sup>
            <m:r>
              <w:rPr>
                <w:rFonts w:ascii="Cambria Math" w:hAnsi="Cambria Math"/>
              </w:rPr>
              <m:t>OCC</m:t>
            </m:r>
          </m:sup>
        </m:sSup>
        <m:r>
          <w:rPr>
            <w:rFonts w:ascii="Cambria Math" w:hAnsi="Cambria Math"/>
          </w:rPr>
          <m:t>=</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e>
        </m:d>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2</m:t>
                </m:r>
              </m:sub>
            </m:sSub>
          </m:sup>
          <m:e>
            <m:nary>
              <m:naryPr>
                <m:limLoc m:val="subSup"/>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3</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3</m:t>
                    </m:r>
                  </m:sub>
                </m:sSub>
              </m:e>
            </m:nary>
          </m:e>
        </m:nary>
      </m:oMath>
    </w:p>
    <w:p w14:paraId="54477FC9" w14:textId="18C631B3" w:rsidR="00C2134A" w:rsidRDefault="001F7E91" w:rsidP="00C2134A">
      <w:pPr>
        <w:pStyle w:val="ListParagraph"/>
        <w:numPr>
          <w:ilvl w:val="0"/>
          <w:numId w:val="10"/>
        </w:numPr>
        <w:spacing w:line="480" w:lineRule="auto"/>
        <w:ind w:left="720"/>
      </w:pP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C2134A">
        <w:t xml:space="preserve"> is observed, </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rsidR="00C2134A">
        <w:t xml:space="preserve"> and </w:t>
      </w: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rsidR="00C2134A">
        <w:t xml:space="preserve"> are censored: </w:t>
      </w:r>
      <m:oMath>
        <m:sSup>
          <m:sSupPr>
            <m:ctrlPr>
              <w:rPr>
                <w:rFonts w:ascii="Cambria Math" w:hAnsi="Cambria Math"/>
                <w:i/>
              </w:rPr>
            </m:ctrlPr>
          </m:sSupPr>
          <m:e>
            <m:r>
              <w:rPr>
                <w:rFonts w:ascii="Cambria Math" w:hAnsi="Cambria Math"/>
              </w:rPr>
              <m:t>L</m:t>
            </m:r>
          </m:e>
          <m:sup>
            <m:r>
              <w:rPr>
                <w:rFonts w:ascii="Cambria Math" w:hAnsi="Cambria Math"/>
              </w:rPr>
              <m:t>COC</m:t>
            </m:r>
          </m:sup>
        </m:sSup>
        <m:r>
          <w:rPr>
            <w:rFonts w:ascii="Cambria Math" w:hAnsi="Cambria Math"/>
          </w:rPr>
          <m:t>=</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e>
        </m:d>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1</m:t>
                </m:r>
              </m:sub>
            </m:sSub>
          </m:sup>
          <m:e>
            <m:nary>
              <m:naryPr>
                <m:limLoc m:val="subSup"/>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3</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3</m:t>
                    </m:r>
                  </m:sub>
                </m:sSub>
              </m:e>
            </m:nary>
          </m:e>
        </m:nary>
      </m:oMath>
    </w:p>
    <w:p w14:paraId="55FE2DC5" w14:textId="41CEBF0C" w:rsidR="00C2134A" w:rsidRDefault="001F7E91" w:rsidP="00C2134A">
      <w:pPr>
        <w:pStyle w:val="ListParagraph"/>
        <w:numPr>
          <w:ilvl w:val="0"/>
          <w:numId w:val="10"/>
        </w:numPr>
        <w:spacing w:line="480" w:lineRule="auto"/>
        <w:ind w:left="720"/>
      </w:pP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rsidR="00C2134A">
        <w:t xml:space="preserve"> is observed, </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rsidR="00C2134A">
        <w:t xml:space="preserve"> and </w:t>
      </w: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C2134A">
        <w:t xml:space="preserve"> are censored: </w:t>
      </w:r>
      <m:oMath>
        <m:sSup>
          <m:sSupPr>
            <m:ctrlPr>
              <w:rPr>
                <w:rFonts w:ascii="Cambria Math" w:hAnsi="Cambria Math"/>
                <w:i/>
              </w:rPr>
            </m:ctrlPr>
          </m:sSupPr>
          <m:e>
            <m:r>
              <w:rPr>
                <w:rFonts w:ascii="Cambria Math" w:hAnsi="Cambria Math"/>
              </w:rPr>
              <m:t>L</m:t>
            </m:r>
          </m:e>
          <m:sup>
            <m:r>
              <w:rPr>
                <w:rFonts w:ascii="Cambria Math" w:hAnsi="Cambria Math"/>
              </w:rPr>
              <m:t>CCO</m:t>
            </m:r>
          </m:sup>
        </m:sSup>
        <m:r>
          <w:rPr>
            <w:rFonts w:ascii="Cambria Math" w:hAnsi="Cambria Math"/>
          </w:rPr>
          <m:t>=</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e>
        </m:d>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1</m:t>
                </m:r>
              </m:sub>
            </m:sSub>
          </m:sup>
          <m:e>
            <m:nary>
              <m:naryPr>
                <m:limLoc m:val="subSup"/>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2</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2</m:t>
                    </m:r>
                  </m:sub>
                </m:sSub>
              </m:e>
            </m:nary>
          </m:e>
        </m:nary>
      </m:oMath>
    </w:p>
    <w:p w14:paraId="20A73088" w14:textId="3F5C0DE8" w:rsidR="00564207" w:rsidRDefault="00B4767A" w:rsidP="00564207">
      <w:pPr>
        <w:pStyle w:val="ListParagraph"/>
        <w:numPr>
          <w:ilvl w:val="0"/>
          <w:numId w:val="10"/>
        </w:numPr>
        <w:spacing w:line="480" w:lineRule="auto"/>
        <w:ind w:left="720"/>
      </w:pPr>
      <w:r>
        <w:t xml:space="preserve">All three exposures are censored: </w:t>
      </w:r>
      <m:oMath>
        <m:sSup>
          <m:sSupPr>
            <m:ctrlPr>
              <w:rPr>
                <w:rFonts w:ascii="Cambria Math" w:hAnsi="Cambria Math"/>
                <w:i/>
              </w:rPr>
            </m:ctrlPr>
          </m:sSupPr>
          <m:e>
            <m:r>
              <w:rPr>
                <w:rFonts w:ascii="Cambria Math" w:hAnsi="Cambria Math"/>
              </w:rPr>
              <m:t>L</m:t>
            </m:r>
          </m:e>
          <m:sup>
            <m:r>
              <w:rPr>
                <w:rFonts w:ascii="Cambria Math" w:hAnsi="Cambria Math"/>
              </w:rPr>
              <m:t>CCC</m:t>
            </m:r>
          </m:sup>
        </m:sSup>
        <m:r>
          <w:rPr>
            <w:rFonts w:ascii="Cambria Math" w:hAnsi="Cambria Math"/>
          </w:rPr>
          <m:t>=</m:t>
        </m:r>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1</m:t>
                </m:r>
              </m:sub>
            </m:sSub>
          </m:sup>
          <m:e>
            <m:nary>
              <m:naryPr>
                <m:limLoc m:val="subSup"/>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2</m:t>
                    </m:r>
                  </m:sub>
                </m:sSub>
              </m:sup>
              <m:e>
                <m:nary>
                  <m:naryPr>
                    <m:limLoc m:val="subSup"/>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c</m:t>
                        </m:r>
                      </m:e>
                      <m:sub>
                        <m:r>
                          <w:rPr>
                            <w:rFonts w:ascii="Cambria Math" w:hAnsi="Cambria Math"/>
                          </w:rPr>
                          <m:t>3</m:t>
                        </m:r>
                      </m:sub>
                    </m:sSub>
                  </m:sup>
                  <m:e>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3</m:t>
                        </m:r>
                      </m:sub>
                    </m:sSub>
                  </m:e>
                </m:nary>
              </m:e>
            </m:nary>
          </m:e>
        </m:nary>
      </m:oMath>
      <w:r w:rsidR="009D5ACB">
        <w:t>.</w:t>
      </w:r>
    </w:p>
    <w:p w14:paraId="44B9C11E" w14:textId="47B7F232" w:rsidR="009D5ACB" w:rsidRDefault="009D5ACB" w:rsidP="009D5ACB">
      <w:pPr>
        <w:spacing w:line="480" w:lineRule="auto"/>
      </w:pPr>
      <w:r>
        <w:t>In the above equations,</w:t>
      </w:r>
      <m:oMath>
        <m:r>
          <w:rPr>
            <w:rFonts w:ascii="Cambria Math" w:hAnsi="Cambria Math"/>
          </w:rPr>
          <m:t xml:space="preserve"> </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w:r w:rsidR="000A6803">
        <w:t xml:space="preserve"> is used to defined the </w:t>
      </w:r>
      <w:r w:rsidR="00B73D8C">
        <w:t>marginal</w:t>
      </w:r>
      <w:r w:rsidR="000A6803">
        <w:t xml:space="preserve"> distribution of </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oMath>
      <w:r w:rsidR="000A6803">
        <w:t>, and</w:t>
      </w:r>
      <w:r>
        <w:t xml:space="preserve"> </w:t>
      </w:r>
      <m:oMath>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sub>
        </m:sSub>
      </m:oMath>
      <w:r>
        <w:t xml:space="preserve"> is used to denote the conditional distribution of </w:t>
      </w:r>
      <m:oMath>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oMath>
      <w:r>
        <w:t xml:space="preserve"> given </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oMath>
      <w:r>
        <w:t xml:space="preserve"> and </w:t>
      </w:r>
      <m:oMath>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t xml:space="preserve">. Other distributions are defined similarly. Given the joint distribution of </w:t>
      </w:r>
      <m:oMath>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oMath>
      <w:r w:rsidR="00865F63">
        <w:t>,</w:t>
      </w:r>
      <m:oMath>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m:t>
        </m:r>
      </m:oMath>
      <w:r w:rsidR="00865F63">
        <w:t xml:space="preserve"> in model (1), any </w:t>
      </w:r>
      <w:r w:rsidR="00C15565">
        <w:t xml:space="preserve">marginal and </w:t>
      </w:r>
      <w:r w:rsidR="00865F63">
        <w:t xml:space="preserve">conditional distributions </w:t>
      </w:r>
      <w:r w:rsidR="00A65DB0">
        <w:t xml:space="preserve">are normal and </w:t>
      </w:r>
      <w:r w:rsidR="00865F63">
        <w:t xml:space="preserve">can be easily obtained. </w:t>
      </w:r>
      <w:r>
        <w:t xml:space="preserve">Thus, we can write the likelihood function for the </w:t>
      </w:r>
      <w:r w:rsidR="00865F63">
        <w:t>multivariate</w:t>
      </w:r>
      <w:r>
        <w:t xml:space="preserve"> Tobit model as: </w:t>
      </w:r>
    </w:p>
    <w:p w14:paraId="2BC68560" w14:textId="3CFA7FB9" w:rsidR="00D653F0" w:rsidRDefault="009D5ACB" w:rsidP="00CF289E">
      <w:pPr>
        <w:pStyle w:val="ListParagraph"/>
        <w:spacing w:line="480" w:lineRule="auto"/>
        <w:ind w:left="1446"/>
      </w:pPr>
      <m:oMathPara>
        <m:oMath>
          <m:r>
            <w:rPr>
              <w:rFonts w:ascii="Cambria Math" w:hAnsi="Cambria Math"/>
            </w:rPr>
            <w:lastRenderedPageBreak/>
            <m:t>L</m:t>
          </m:r>
          <m:d>
            <m:dPr>
              <m:ctrlPr>
                <w:rPr>
                  <w:rFonts w:ascii="Cambria Math" w:hAnsi="Cambria Math"/>
                  <w:i/>
                </w:rPr>
              </m:ctrlPr>
            </m:dPr>
            <m:e>
              <m:r>
                <m:rPr>
                  <m:sty m:val="bi"/>
                </m:rPr>
                <w:rPr>
                  <w:rFonts w:ascii="Cambria Math" w:hAnsi="Cambria Math"/>
                </w:rPr>
                <m:t>β,</m:t>
              </m:r>
              <m:r>
                <w:rPr>
                  <w:rFonts w:ascii="Cambria Math" w:hAnsi="Cambria Math"/>
                </w:rPr>
                <m:t xml:space="preserve"> </m:t>
              </m:r>
              <m:r>
                <m:rPr>
                  <m:sty m:val="b"/>
                </m:rPr>
                <w:rPr>
                  <w:rFonts w:ascii="Cambria Math" w:hAnsi="Cambria Math"/>
                </w:rPr>
                <m:t>Σ</m:t>
              </m:r>
              <m:r>
                <w:rPr>
                  <w:rFonts w:ascii="Cambria Math" w:hAnsi="Cambria Math"/>
                </w:rPr>
                <m:t>|</m:t>
              </m:r>
              <m:sSup>
                <m:sSupPr>
                  <m:ctrlPr>
                    <w:rPr>
                      <w:rFonts w:ascii="Cambria Math" w:hAnsi="Cambria Math"/>
                      <w:b/>
                      <w:i/>
                    </w:rPr>
                  </m:ctrlPr>
                </m:sSupPr>
                <m:e>
                  <m:r>
                    <m:rPr>
                      <m:sty m:val="bi"/>
                    </m:rPr>
                    <w:rPr>
                      <w:rFonts w:ascii="Cambria Math" w:hAnsi="Cambria Math"/>
                    </w:rPr>
                    <m:t>y</m:t>
                  </m:r>
                </m:e>
                <m:sup>
                  <m:r>
                    <m:rPr>
                      <m:sty m:val="bi"/>
                    </m:rPr>
                    <w:rPr>
                      <w:rFonts w:ascii="Cambria Math" w:hAnsi="Cambria Math"/>
                    </w:rPr>
                    <m:t>*</m:t>
                  </m:r>
                </m:sup>
              </m:sSup>
            </m:e>
          </m:d>
          <m:r>
            <w:rPr>
              <w:rFonts w:ascii="Cambria Math" w:hAnsi="Cambria Math"/>
            </w:rPr>
            <m:t>=</m:t>
          </m:r>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OOO</m:t>
                  </m:r>
                </m:sup>
              </m:sSup>
            </m:e>
          </m:nary>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OOC</m:t>
                  </m:r>
                </m:sup>
              </m:sSup>
            </m:e>
          </m:nary>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OCO</m:t>
                  </m:r>
                </m:sup>
              </m:sSup>
            </m:e>
          </m:nary>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COO</m:t>
                  </m:r>
                </m:sup>
              </m:sSup>
            </m:e>
          </m:nary>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OCC</m:t>
                  </m:r>
                </m:sup>
              </m:sSup>
            </m:e>
          </m:nary>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COC</m:t>
                  </m:r>
                </m:sup>
              </m:sSup>
            </m:e>
          </m:nary>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CCO</m:t>
                  </m:r>
                </m:sup>
              </m:sSup>
              <m:nary>
                <m:naryPr>
                  <m:chr m:val="∏"/>
                  <m:limLoc m:val="undOvr"/>
                  <m:supHide m:val="1"/>
                  <m:ctrlPr>
                    <w:rPr>
                      <w:rFonts w:ascii="Cambria Math" w:hAnsi="Cambria Math"/>
                      <w:i/>
                    </w:rPr>
                  </m:ctrlPr>
                </m:naryPr>
                <m:sub>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1</m:t>
                            </m:r>
                          </m:sub>
                        </m:sSub>
                      </m:e>
                    </m:mr>
                    <m:m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2</m:t>
                            </m:r>
                          </m:sub>
                        </m:sSub>
                      </m:e>
                    </m:mr>
                    <m:mr>
                      <m:e>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m:t>
                            </m:r>
                          </m:sup>
                        </m:sSubSup>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3</m:t>
                            </m:r>
                          </m:sub>
                        </m:sSub>
                      </m:e>
                    </m:mr>
                  </m:m>
                </m:sub>
                <m:sup/>
                <m:e>
                  <m:sSup>
                    <m:sSupPr>
                      <m:ctrlPr>
                        <w:rPr>
                          <w:rFonts w:ascii="Cambria Math" w:hAnsi="Cambria Math"/>
                          <w:i/>
                        </w:rPr>
                      </m:ctrlPr>
                    </m:sSupPr>
                    <m:e>
                      <m:r>
                        <w:rPr>
                          <w:rFonts w:ascii="Cambria Math" w:hAnsi="Cambria Math"/>
                        </w:rPr>
                        <m:t>L</m:t>
                      </m:r>
                    </m:e>
                    <m:sup>
                      <m:r>
                        <w:rPr>
                          <w:rFonts w:ascii="Cambria Math" w:hAnsi="Cambria Math"/>
                        </w:rPr>
                        <m:t>CCC</m:t>
                      </m:r>
                    </m:sup>
                  </m:sSup>
                </m:e>
              </m:nary>
            </m:e>
          </m:nary>
          <m:r>
            <w:rPr>
              <w:rFonts w:ascii="Cambria Math" w:hAnsi="Cambria Math"/>
            </w:rPr>
            <m:t>.</m:t>
          </m:r>
        </m:oMath>
      </m:oMathPara>
    </w:p>
    <w:p w14:paraId="1ACA2F3F" w14:textId="2594DF6C" w:rsidR="00564207" w:rsidRDefault="00E33500" w:rsidP="006876A8">
      <w:pPr>
        <w:spacing w:line="480" w:lineRule="auto"/>
        <w:ind w:firstLine="720"/>
      </w:pPr>
      <w:r>
        <w:t xml:space="preserve">To obtain the inference of </w:t>
      </w:r>
      <w:r w:rsidR="00B73D8C">
        <w:t xml:space="preserve">the parameters in </w:t>
      </w:r>
      <w:r>
        <w:t>model (1) and thus imputations of censored variables, we use Bayesian statistics by specifying independent weak priors for all parameters. W</w:t>
      </w:r>
      <w:r w:rsidR="00564207">
        <w:rPr>
          <w:iCs/>
        </w:rPr>
        <w:t>e</w:t>
      </w:r>
      <w:r w:rsidR="00564207" w:rsidRPr="006A3BCB">
        <w:rPr>
          <w:iCs/>
        </w:rPr>
        <w:t xml:space="preserve"> assum</w:t>
      </w:r>
      <w:r w:rsidR="00A65DB0">
        <w:rPr>
          <w:iCs/>
        </w:rPr>
        <w:t>e</w:t>
      </w:r>
      <w:r w:rsidR="00564207" w:rsidRPr="006A3BCB">
        <w:rPr>
          <w:iCs/>
        </w:rPr>
        <w:t xml:space="preserve"> </w:t>
      </w:r>
      <w:r>
        <w:rPr>
          <w:iCs/>
        </w:rPr>
        <w:t xml:space="preserve">normal </w:t>
      </w:r>
      <w:r w:rsidR="00564207" w:rsidRPr="006A3BCB">
        <w:rPr>
          <w:iCs/>
        </w:rPr>
        <w:t>prior</w:t>
      </w:r>
      <w:r>
        <w:rPr>
          <w:iCs/>
        </w:rPr>
        <w:t xml:space="preserve"> distributions for</w:t>
      </w:r>
      <w:r w:rsidR="00564207" w:rsidRPr="006A3BCB">
        <w:rPr>
          <w:iCs/>
        </w:rPr>
        <w:t xml:space="preserve"> </w:t>
      </w:r>
      <m:oMath>
        <m:sSub>
          <m:sSubPr>
            <m:ctrlPr>
              <w:rPr>
                <w:rFonts w:ascii="Cambria Math" w:hAnsi="Cambria Math"/>
                <w:i/>
                <w:iCs/>
              </w:rPr>
            </m:ctrlPr>
          </m:sSubPr>
          <m:e>
            <m:r>
              <m:rPr>
                <m:sty m:val="bi"/>
              </m:rPr>
              <w:rPr>
                <w:rFonts w:ascii="Cambria Math" w:hAnsi="Cambria Math"/>
              </w:rPr>
              <m:t>β</m:t>
            </m:r>
          </m:e>
          <m:sub>
            <m:r>
              <w:rPr>
                <w:rFonts w:ascii="Cambria Math" w:hAnsi="Cambria Math"/>
              </w:rPr>
              <m:t>j</m:t>
            </m:r>
          </m:sub>
        </m:sSub>
      </m:oMath>
      <w:r w:rsidR="00F852F4">
        <w:rPr>
          <w:iCs/>
        </w:rPr>
        <w:t xml:space="preserve"> </w:t>
      </w:r>
      <w:r>
        <w:rPr>
          <w:iCs/>
        </w:rPr>
        <w:t>a</w:t>
      </w:r>
      <w:r w:rsidR="00F852F4">
        <w:rPr>
          <w:iCs/>
        </w:rPr>
        <w:t>nd</w:t>
      </w:r>
      <w:r>
        <w:rPr>
          <w:iCs/>
        </w:rPr>
        <w:t xml:space="preserve"> half-normal prior distributions for</w:t>
      </w:r>
      <w:r w:rsidR="00F852F4">
        <w:rPr>
          <w:iCs/>
        </w:rPr>
        <w:t xml:space="preserve"> </w:t>
      </w:r>
      <m:oMath>
        <m:sSub>
          <m:sSubPr>
            <m:ctrlPr>
              <w:rPr>
                <w:rFonts w:ascii="Cambria Math" w:hAnsi="Cambria Math"/>
                <w:i/>
                <w:iCs/>
              </w:rPr>
            </m:ctrlPr>
          </m:sSubPr>
          <m:e>
            <m:r>
              <w:rPr>
                <w:rFonts w:ascii="Cambria Math" w:hAnsi="Cambria Math"/>
              </w:rPr>
              <m:t>σ</m:t>
            </m:r>
          </m:e>
          <m:sub>
            <m:r>
              <w:rPr>
                <w:rFonts w:ascii="Cambria Math" w:hAnsi="Cambria Math"/>
              </w:rPr>
              <m:t>j</m:t>
            </m:r>
          </m:sub>
        </m:sSub>
      </m:oMath>
      <w:r>
        <w:rPr>
          <w:iCs/>
        </w:rPr>
        <w:t xml:space="preserve">, </w:t>
      </w:r>
      <m:oMath>
        <m:r>
          <w:rPr>
            <w:rFonts w:ascii="Cambria Math" w:hAnsi="Cambria Math"/>
          </w:rPr>
          <m:t>j=1,2,3</m:t>
        </m:r>
      </m:oMath>
      <w:r w:rsidR="00BA43F3">
        <w:rPr>
          <w:iCs/>
        </w:rPr>
        <w:t>. For the correlation matrix</w:t>
      </w:r>
      <w:r w:rsidR="00BA43F3">
        <w:t>, we place an</w:t>
      </w:r>
      <w:r w:rsidR="00BA43F3">
        <w:rPr>
          <w:iCs/>
        </w:rPr>
        <w:t xml:space="preserve"> </w:t>
      </w:r>
      <w:r w:rsidR="00564207" w:rsidRPr="006A3BCB">
        <w:rPr>
          <w:iCs/>
        </w:rPr>
        <w:t>LKJ</w:t>
      </w:r>
      <w:r w:rsidR="00BA43F3">
        <w:rPr>
          <w:iCs/>
        </w:rPr>
        <w:t xml:space="preserve"> prior distribution </w:t>
      </w:r>
      <w:r w:rsidR="00BA43F3">
        <w:rPr>
          <w:rFonts w:eastAsiaTheme="minorEastAsia"/>
        </w:rPr>
        <w:t xml:space="preserve">on the Cholesky factor </w:t>
      </w:r>
      <m:oMath>
        <m:r>
          <w:rPr>
            <w:rFonts w:ascii="Cambria Math" w:eastAsiaTheme="minorEastAsia" w:hAnsi="Cambria Math"/>
          </w:rPr>
          <m:t>L</m:t>
        </m:r>
      </m:oMath>
      <w:r w:rsidR="00BA43F3">
        <w:rPr>
          <w:rFonts w:eastAsiaTheme="minorEastAsia"/>
        </w:rPr>
        <w:t xml:space="preserve"> of the correlation matrix with </w:t>
      </w:r>
      <m:oMath>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T</m:t>
            </m:r>
          </m:sup>
        </m:sSup>
        <m:r>
          <w:rPr>
            <w:rFonts w:ascii="Cambria Math" w:eastAsiaTheme="minorEastAsia"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rPr>
                        <m:t>ρ</m:t>
                      </m:r>
                    </m:e>
                    <m:sub>
                      <m:r>
                        <w:rPr>
                          <w:rFonts w:ascii="Cambria Math" w:hAnsi="Cambria Math"/>
                        </w:rPr>
                        <m:t>12</m:t>
                      </m:r>
                    </m:sub>
                  </m:sSub>
                </m:e>
                <m:e>
                  <m:sSub>
                    <m:sSubPr>
                      <m:ctrlPr>
                        <w:rPr>
                          <w:rFonts w:ascii="Cambria Math" w:hAnsi="Cambria Math"/>
                          <w:i/>
                        </w:rPr>
                      </m:ctrlPr>
                    </m:sSubPr>
                    <m:e>
                      <m:r>
                        <w:rPr>
                          <w:rFonts w:ascii="Cambria Math" w:hAnsi="Cambria Math"/>
                        </w:rPr>
                        <m:t>ρ</m:t>
                      </m:r>
                    </m:e>
                    <m:sub>
                      <m:r>
                        <w:rPr>
                          <w:rFonts w:ascii="Cambria Math" w:hAnsi="Cambria Math"/>
                        </w:rPr>
                        <m:t>13</m:t>
                      </m:r>
                    </m:sub>
                  </m:sSub>
                </m:e>
              </m:mr>
              <m:mr>
                <m:e>
                  <m:sSub>
                    <m:sSubPr>
                      <m:ctrlPr>
                        <w:rPr>
                          <w:rFonts w:ascii="Cambria Math" w:hAnsi="Cambria Math"/>
                          <w:i/>
                        </w:rPr>
                      </m:ctrlPr>
                    </m:sSubPr>
                    <m:e>
                      <m:r>
                        <w:rPr>
                          <w:rFonts w:ascii="Cambria Math" w:hAnsi="Cambria Math"/>
                        </w:rPr>
                        <m:t>ρ</m:t>
                      </m:r>
                    </m:e>
                    <m:sub>
                      <m:r>
                        <w:rPr>
                          <w:rFonts w:ascii="Cambria Math" w:hAnsi="Cambria Math"/>
                        </w:rPr>
                        <m:t>12</m:t>
                      </m:r>
                    </m:sub>
                  </m:sSub>
                </m:e>
                <m:e>
                  <m:r>
                    <w:rPr>
                      <w:rFonts w:ascii="Cambria Math" w:hAnsi="Cambria Math"/>
                    </w:rPr>
                    <m:t>1</m:t>
                  </m:r>
                </m:e>
                <m:e>
                  <m:sSub>
                    <m:sSubPr>
                      <m:ctrlPr>
                        <w:rPr>
                          <w:rFonts w:ascii="Cambria Math" w:hAnsi="Cambria Math"/>
                          <w:i/>
                        </w:rPr>
                      </m:ctrlPr>
                    </m:sSubPr>
                    <m:e>
                      <m:r>
                        <w:rPr>
                          <w:rFonts w:ascii="Cambria Math" w:hAnsi="Cambria Math"/>
                        </w:rPr>
                        <m:t>ρ</m:t>
                      </m:r>
                    </m:e>
                    <m:sub>
                      <m:r>
                        <w:rPr>
                          <w:rFonts w:ascii="Cambria Math" w:hAnsi="Cambria Math"/>
                        </w:rPr>
                        <m:t>23</m:t>
                      </m:r>
                    </m:sub>
                  </m:sSub>
                </m:e>
              </m:mr>
              <m:mr>
                <m:e>
                  <m:sSub>
                    <m:sSubPr>
                      <m:ctrlPr>
                        <w:rPr>
                          <w:rFonts w:ascii="Cambria Math" w:hAnsi="Cambria Math"/>
                          <w:i/>
                        </w:rPr>
                      </m:ctrlPr>
                    </m:sSubPr>
                    <m:e>
                      <m:r>
                        <w:rPr>
                          <w:rFonts w:ascii="Cambria Math" w:hAnsi="Cambria Math"/>
                        </w:rPr>
                        <m:t>ρ</m:t>
                      </m:r>
                    </m:e>
                    <m:sub>
                      <m:r>
                        <w:rPr>
                          <w:rFonts w:ascii="Cambria Math" w:hAnsi="Cambria Math"/>
                        </w:rPr>
                        <m:t>13</m:t>
                      </m:r>
                    </m:sub>
                  </m:sSub>
                </m:e>
                <m:e>
                  <m:sSub>
                    <m:sSubPr>
                      <m:ctrlPr>
                        <w:rPr>
                          <w:rFonts w:ascii="Cambria Math" w:hAnsi="Cambria Math"/>
                          <w:i/>
                        </w:rPr>
                      </m:ctrlPr>
                    </m:sSubPr>
                    <m:e>
                      <m:r>
                        <w:rPr>
                          <w:rFonts w:ascii="Cambria Math" w:hAnsi="Cambria Math"/>
                        </w:rPr>
                        <m:t>ρ</m:t>
                      </m:r>
                    </m:e>
                    <m:sub>
                      <m:r>
                        <w:rPr>
                          <w:rFonts w:ascii="Cambria Math" w:hAnsi="Cambria Math"/>
                        </w:rPr>
                        <m:t>23</m:t>
                      </m:r>
                    </m:sub>
                  </m:sSub>
                </m:e>
                <m:e>
                  <m:r>
                    <w:rPr>
                      <w:rFonts w:ascii="Cambria Math" w:hAnsi="Cambria Math"/>
                    </w:rPr>
                    <m:t>1</m:t>
                  </m:r>
                </m:e>
              </m:mr>
            </m:m>
          </m:e>
        </m:d>
      </m:oMath>
      <w:r w:rsidR="0005199B" w:rsidRPr="006A3BCB">
        <w:rPr>
          <w:iCs/>
        </w:rPr>
        <w:t>.</w:t>
      </w:r>
      <w:r w:rsidR="00A32AB1">
        <w:rPr>
          <w:iCs/>
        </w:rPr>
        <w:fldChar w:fldCharType="begin"/>
      </w:r>
      <w:r w:rsidR="006A3F13">
        <w:rPr>
          <w:iCs/>
        </w:rPr>
        <w:instrText xml:space="preserve"> ADDIN ZOTERO_ITEM CSL_CITATION {"citationID":"MkJX7PKN","properties":{"formattedCitation":"\\super 27\\nosupersub{}","plainCitation":"27","noteIndex":0},"citationItems":[{"id":130,"uris":["http://zotero.org/users/7675815/items/5Q88I82C"],"uri":["http://zotero.org/users/7675815/items/5Q88I82C"],"itemData":{"id":130,"type":"article-journal","abstract":"We extend and improve two existing methods of generating random correlation matrices, the onion method of Ghosh and Henderson [S. Ghosh, S.G. Henderson, Behavior of the norta method for correlated random vector generation as the dimension increases, ACM Transactions on Modeling and Computer Simulation (TOMACS) 13 (3) (2003) 276–294] and the recently proposed method of Joe [H. Joe, Generating random correlation matrices based on partial correlations, Journal of Multivariate Analysis 97 (2006) 2177–2189] based on partial correlations. The latter is based on the so-called D-vine. We extend the methodology to any regular vine and study the relationship between the multiple correlation and partial correlations on a regular vine. We explain the onion method in terms of elliptical distributions and extend it to allow generating random correlation matrices from the same joint distribution as the vine method. The methods are compared in terms of time necessary to generate 5000 random correlation matrices of given dimensions.","container-title":"Journal of Multivariate Analysis","DOI":"10.1016/j.jmva.2009.04.008","ISSN":"0047-259X","issue":"9","journalAbbreviation":"Journal of Multivariate Analysis","language":"en","page":"1989-2001","source":"ScienceDirect","title":"Generating random correlation matrices based on vines and extended onion method","volume":"100","author":[{"family":"Lewandowski","given":"Daniel"},{"family":"Kurowicka","given":"Dorota"},{"family":"Joe","given":"Harry"}],"issued":{"date-parts":[["2009",10,1]]}}}],"schema":"https://github.com/citation-style-language/schema/raw/master/csl-citation.json"} </w:instrText>
      </w:r>
      <w:r w:rsidR="00A32AB1">
        <w:rPr>
          <w:iCs/>
        </w:rPr>
        <w:fldChar w:fldCharType="separate"/>
      </w:r>
      <w:r w:rsidR="006A3F13" w:rsidRPr="006A3F13">
        <w:rPr>
          <w:vertAlign w:val="superscript"/>
        </w:rPr>
        <w:t>27</w:t>
      </w:r>
      <w:r w:rsidR="00A32AB1">
        <w:rPr>
          <w:iCs/>
        </w:rPr>
        <w:fldChar w:fldCharType="end"/>
      </w:r>
      <w:r w:rsidR="00A32AB1">
        <w:rPr>
          <w:iCs/>
        </w:rPr>
        <w:t xml:space="preserve"> </w:t>
      </w:r>
      <w:r>
        <w:rPr>
          <w:iCs/>
        </w:rPr>
        <w:t xml:space="preserve">We use </w:t>
      </w:r>
      <w:r w:rsidR="00564207" w:rsidRPr="006A3BCB">
        <w:rPr>
          <w:iCs/>
        </w:rPr>
        <w:t>Hamiltonian Monte Carlo</w:t>
      </w:r>
      <w:r>
        <w:rPr>
          <w:iCs/>
        </w:rPr>
        <w:t xml:space="preserve"> (HMC)</w:t>
      </w:r>
      <w:r w:rsidR="00564207" w:rsidRPr="006A3BCB">
        <w:rPr>
          <w:iCs/>
        </w:rPr>
        <w:t xml:space="preserve"> </w:t>
      </w:r>
      <w:r>
        <w:rPr>
          <w:iCs/>
        </w:rPr>
        <w:t>sampler, via RStan</w:t>
      </w:r>
      <w:r w:rsidR="0005199B">
        <w:rPr>
          <w:rFonts w:eastAsiaTheme="minorEastAsia"/>
        </w:rPr>
        <w:t>,</w:t>
      </w:r>
      <w:r w:rsidR="00A32AB1">
        <w:rPr>
          <w:iCs/>
        </w:rPr>
        <w:fldChar w:fldCharType="begin"/>
      </w:r>
      <w:r w:rsidR="006A3F13">
        <w:rPr>
          <w:iCs/>
        </w:rPr>
        <w:instrText xml:space="preserve"> ADDIN ZOTERO_ITEM CSL_CITATION {"citationID":"yjdJJczq","properties":{"formattedCitation":"\\super 28\\nosupersub{}","plainCitation":"28","noteIndex":0},"citationItems":[{"id":126,"uris":["http://zotero.org/users/7675815/items/FVEJGEYM"],"uri":["http://zotero.org/users/7675815/items/FVEJGEYM"],"itemData":{"id":126,"type":"article-journal","container-title":"Journal of Statistical Software","DOI":"10.18637/jss.v076.i01","ISSN":"1548-7660","issue":"1","language":"en","note":"number: 1","page":"1-32","source":"www.jstatsoft.org","title":"Stan: A Probabilistic Programming Language","title-short":"Stan","volume":"76","author":[{"family":"Carpenter","given":"Bob"},{"family":"Gelman","given":"Andrew"},{"family":"Hoffman","given":"Matthew D."},{"family":"Lee","given":"Daniel"},{"family":"Goodrich","given":"Ben"},{"family":"Betancourt","given":"Michael"},{"family":"Brubaker","given":"Marcus"},{"family":"Guo","given":"Jiqiang"},{"family":"Li","given":"Peter"},{"family":"Riddell","given":"Allen"}],"issued":{"date-parts":[["2017",1,11]]}}}],"schema":"https://github.com/citation-style-language/schema/raw/master/csl-citation.json"} </w:instrText>
      </w:r>
      <w:r w:rsidR="00A32AB1">
        <w:rPr>
          <w:iCs/>
        </w:rPr>
        <w:fldChar w:fldCharType="separate"/>
      </w:r>
      <w:r w:rsidR="006A3F13" w:rsidRPr="006A3F13">
        <w:rPr>
          <w:vertAlign w:val="superscript"/>
        </w:rPr>
        <w:t>28</w:t>
      </w:r>
      <w:r w:rsidR="00A32AB1">
        <w:rPr>
          <w:iCs/>
        </w:rPr>
        <w:fldChar w:fldCharType="end"/>
      </w:r>
      <w:r w:rsidR="00B73D8C">
        <w:rPr>
          <w:rFonts w:eastAsiaTheme="minorEastAsia"/>
        </w:rPr>
        <w:t xml:space="preserve"> </w:t>
      </w:r>
      <w:r>
        <w:rPr>
          <w:iCs/>
        </w:rPr>
        <w:t>for the Bayesian computation</w:t>
      </w:r>
      <w:r w:rsidR="00564207" w:rsidRPr="006A3BCB">
        <w:rPr>
          <w:iCs/>
        </w:rPr>
        <w:t xml:space="preserve">. </w:t>
      </w:r>
      <w:r>
        <w:rPr>
          <w:iCs/>
        </w:rPr>
        <w:t xml:space="preserve">HMC is a Markov chain Monte Carlo (MCMC) method that uses the derivatives of the density function being sampled to generate efficient transitions spanning the posterior. </w:t>
      </w:r>
      <w:r w:rsidR="00827019">
        <w:rPr>
          <w:iCs/>
        </w:rPr>
        <w:t xml:space="preserve">To check for model convergence, we consider trace plots, the effective sample size, and the Gelman-Rubin diagnostic statistic </w:t>
      </w:r>
      <m:oMath>
        <m:acc>
          <m:accPr>
            <m:ctrlPr>
              <w:rPr>
                <w:rFonts w:ascii="Cambria Math" w:hAnsi="Cambria Math"/>
                <w:i/>
                <w:iCs/>
              </w:rPr>
            </m:ctrlPr>
          </m:accPr>
          <m:e>
            <m:r>
              <w:rPr>
                <w:rFonts w:ascii="Cambria Math" w:hAnsi="Cambria Math"/>
              </w:rPr>
              <m:t>R</m:t>
            </m:r>
          </m:e>
        </m:acc>
      </m:oMath>
      <w:r w:rsidR="00827019">
        <w:rPr>
          <w:iCs/>
        </w:rPr>
        <w:t xml:space="preserve"> </w:t>
      </w:r>
      <w:r w:rsidR="0005199B">
        <w:rPr>
          <w:iCs/>
        </w:rPr>
        <w:fldChar w:fldCharType="begin"/>
      </w:r>
      <w:r w:rsidR="006A3F13">
        <w:rPr>
          <w:iCs/>
        </w:rPr>
        <w:instrText xml:space="preserve"> ADDIN ZOTERO_ITEM CSL_CITATION {"citationID":"ENuqWo1O","properties":{"formattedCitation":"\\super 29\\nosupersub{}","plainCitation":"29","noteIndex":0},"citationItems":[{"id":133,"uris":["http://zotero.org/users/7675815/items/FMW8VS3Y"],"uri":["http://zotero.org/users/7675815/items/FMW8VS3Y"],"itemData":{"id":133,"type":"book","edition":"0","ISBN":"978-0-429-11307-9","language":"en","note":"DOI: 10.1201/b16018","publisher":"Chapman and Hall/CRC","source":"DOI.org (Crossref)","title":"Bayesian Data Analysis","URL":"https://www.taylorfrancis.com/books/9781439898208","author":[{"family":"Gelman","given":"Andrew"},{"family":"Carlin","given":"John B."},{"family":"Stern","given":"Hal S."},{"family":"Dunson","given":"David B."},{"family":"Vehtari","given":"Aki"},{"family":"Rubin","given":"Donald B."}],"accessed":{"date-parts":[["2021",3,8]]},"issued":{"date-parts":[["2013",11,27]]}}}],"schema":"https://github.com/citation-style-language/schema/raw/master/csl-citation.json"} </w:instrText>
      </w:r>
      <w:r w:rsidR="0005199B">
        <w:rPr>
          <w:iCs/>
        </w:rPr>
        <w:fldChar w:fldCharType="separate"/>
      </w:r>
      <w:r w:rsidR="006A3F13" w:rsidRPr="006A3F13">
        <w:rPr>
          <w:vertAlign w:val="superscript"/>
        </w:rPr>
        <w:t>29</w:t>
      </w:r>
      <w:r w:rsidR="0005199B">
        <w:rPr>
          <w:iCs/>
        </w:rPr>
        <w:fldChar w:fldCharType="end"/>
      </w:r>
      <w:r w:rsidR="00B73D8C">
        <w:rPr>
          <w:rFonts w:eastAsiaTheme="minorEastAsia"/>
        </w:rPr>
        <w:t>.</w:t>
      </w:r>
      <w:r w:rsidR="00827019">
        <w:t xml:space="preserve"> </w:t>
      </w:r>
      <w:r w:rsidR="002E14AC">
        <w:t>After the model converges, d</w:t>
      </w:r>
      <w:r w:rsidR="00564207">
        <w:t xml:space="preserve">raws of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β</m:t>
                </m:r>
              </m:e>
            </m:acc>
          </m:e>
          <m:sup>
            <m:r>
              <m:rPr>
                <m:sty m:val="bi"/>
              </m:rPr>
              <w:rPr>
                <w:rFonts w:ascii="Cambria Math" w:hAnsi="Cambria Math"/>
              </w:rPr>
              <m:t>(</m:t>
            </m:r>
            <m:r>
              <w:rPr>
                <w:rFonts w:ascii="Cambria Math" w:hAnsi="Cambria Math"/>
              </w:rPr>
              <m:t>d</m:t>
            </m:r>
            <m:r>
              <m:rPr>
                <m:sty m:val="bi"/>
              </m:rPr>
              <w:rPr>
                <w:rFonts w:ascii="Cambria Math" w:hAnsi="Cambria Math"/>
              </w:rPr>
              <m:t>)</m:t>
            </m:r>
          </m:sup>
        </m:sSup>
      </m:oMath>
      <w:r w:rsidR="00564207">
        <w:t xml:space="preserve"> and </w:t>
      </w:r>
      <m:oMath>
        <m:sSup>
          <m:sSupPr>
            <m:ctrlPr>
              <w:rPr>
                <w:rFonts w:ascii="Cambria Math" w:hAnsi="Cambria Math"/>
                <w:i/>
              </w:rPr>
            </m:ctrlPr>
          </m:sSupPr>
          <m:e>
            <m:acc>
              <m:accPr>
                <m:ctrlPr>
                  <w:rPr>
                    <w:rFonts w:ascii="Cambria Math" w:hAnsi="Cambria Math"/>
                    <w:i/>
                  </w:rPr>
                </m:ctrlPr>
              </m:accPr>
              <m:e>
                <m:r>
                  <m:rPr>
                    <m:sty m:val="p"/>
                  </m:rPr>
                  <w:rPr>
                    <w:rFonts w:ascii="Cambria Math" w:hAnsi="Cambria Math"/>
                  </w:rPr>
                  <m:t>Σ</m:t>
                </m:r>
              </m:e>
            </m:acc>
          </m:e>
          <m:sup>
            <m:r>
              <w:rPr>
                <w:rFonts w:ascii="Cambria Math" w:hAnsi="Cambria Math"/>
              </w:rPr>
              <m:t>(d)</m:t>
            </m:r>
          </m:sup>
        </m:sSup>
        <m:r>
          <m:rPr>
            <m:sty m:val="p"/>
          </m:rPr>
          <w:rPr>
            <w:rFonts w:ascii="Cambria Math"/>
          </w:rPr>
          <m:t xml:space="preserve"> </m:t>
        </m:r>
      </m:oMath>
      <w:r w:rsidR="00CF289E">
        <w:t xml:space="preserve">as well as imputations for censored variables </w:t>
      </w:r>
      <m:oMath>
        <m:sSubSup>
          <m:sSubSupPr>
            <m:ctrlPr>
              <w:rPr>
                <w:rFonts w:ascii="Cambria Math" w:hAnsi="Cambria Math"/>
                <w:i/>
              </w:rPr>
            </m:ctrlPr>
          </m:sSubSupPr>
          <m:e>
            <m:r>
              <m:rPr>
                <m:sty m:val="bi"/>
              </m:rPr>
              <w:rPr>
                <w:rFonts w:ascii="Cambria Math" w:hAnsi="Cambria Math"/>
              </w:rPr>
              <m:t>y</m:t>
            </m:r>
          </m:e>
          <m:sub>
            <m:r>
              <w:rPr>
                <w:rFonts w:ascii="Cambria Math" w:hAnsi="Cambria Math"/>
              </w:rPr>
              <m:t>i</m:t>
            </m:r>
          </m:sub>
          <m:sup>
            <m:r>
              <w:rPr>
                <w:rFonts w:ascii="Cambria Math" w:hAnsi="Cambria Math"/>
              </w:rPr>
              <m:t>*(d)</m:t>
            </m:r>
          </m:sup>
        </m:sSubSup>
      </m:oMath>
      <w:r w:rsidR="00CF289E">
        <w:t xml:space="preserve"> </w:t>
      </w:r>
      <w:r w:rsidR="00B90F6A">
        <w:t>are then</w:t>
      </w:r>
      <w:r w:rsidR="00564207">
        <w:t xml:space="preserve"> obtained from their posterior distributions, </w:t>
      </w:r>
      <m:oMath>
        <m:r>
          <w:rPr>
            <w:rFonts w:ascii="Cambria Math" w:hAnsi="Cambria Math"/>
          </w:rPr>
          <m:t>d=1,…, D</m:t>
        </m:r>
      </m:oMath>
      <w:r w:rsidR="00564207">
        <w:t>, with</w:t>
      </w:r>
      <m:oMath>
        <m:r>
          <w:rPr>
            <w:rFonts w:ascii="Cambria Math" w:hAnsi="Cambria Math"/>
          </w:rPr>
          <m:t xml:space="preserve"> D</m:t>
        </m:r>
      </m:oMath>
      <w:r w:rsidR="00564207">
        <w:t xml:space="preserve"> usually taking a value of 5-10.</w:t>
      </w:r>
      <w:r w:rsidR="00CF289E">
        <w:t xml:space="preserve"> An R-package “</w:t>
      </w:r>
      <w:proofErr w:type="spellStart"/>
      <w:r w:rsidR="00CF289E">
        <w:t>bmv</w:t>
      </w:r>
      <w:r w:rsidR="001C11B7">
        <w:t>T</w:t>
      </w:r>
      <w:r w:rsidR="00CF289E">
        <w:t>obit</w:t>
      </w:r>
      <w:proofErr w:type="spellEnd"/>
      <w:r w:rsidR="00CF289E">
        <w:t xml:space="preserve">” for </w:t>
      </w:r>
      <w:r w:rsidR="001C11B7">
        <w:t xml:space="preserve">fitting </w:t>
      </w:r>
      <w:r w:rsidR="00CF289E">
        <w:t xml:space="preserve">Bayesian </w:t>
      </w:r>
      <w:r w:rsidR="001C11B7">
        <w:t xml:space="preserve">multivariate Tobit model and imputing censored data </w:t>
      </w:r>
      <w:r w:rsidR="00B73D8C">
        <w:t xml:space="preserve">below LODs </w:t>
      </w:r>
      <w:r w:rsidR="001C11B7">
        <w:t xml:space="preserve">is available on GitHub. </w:t>
      </w:r>
      <w:r w:rsidR="00AE0255">
        <w:t>A sample code to use “</w:t>
      </w:r>
      <w:proofErr w:type="spellStart"/>
      <w:r w:rsidR="00AE0255">
        <w:t>bmvTobit</w:t>
      </w:r>
      <w:proofErr w:type="spellEnd"/>
      <w:r w:rsidR="00AE0255">
        <w:t>” package in R is in Appendix B.</w:t>
      </w:r>
    </w:p>
    <w:p w14:paraId="161A9465" w14:textId="77777777" w:rsidR="00CF289E" w:rsidRPr="00A65DB0" w:rsidRDefault="00CF289E" w:rsidP="00A65DB0">
      <w:pPr>
        <w:spacing w:line="480" w:lineRule="auto"/>
      </w:pPr>
    </w:p>
    <w:p w14:paraId="1A06BB6D" w14:textId="6EC0F5FB" w:rsidR="00564207" w:rsidRDefault="00564207" w:rsidP="001E3F35">
      <w:pPr>
        <w:widowControl w:val="0"/>
        <w:autoSpaceDE w:val="0"/>
        <w:autoSpaceDN w:val="0"/>
        <w:adjustRightInd w:val="0"/>
        <w:spacing w:after="120" w:line="480" w:lineRule="auto"/>
        <w:rPr>
          <w:i/>
        </w:rPr>
      </w:pPr>
      <w:r w:rsidRPr="00F75A10">
        <w:rPr>
          <w:i/>
        </w:rPr>
        <w:t>2.2.</w:t>
      </w:r>
      <w:r>
        <w:rPr>
          <w:i/>
        </w:rPr>
        <w:t>3</w:t>
      </w:r>
      <w:r w:rsidRPr="00F75A10">
        <w:rPr>
          <w:i/>
        </w:rPr>
        <w:t xml:space="preserve"> Analys</w:t>
      </w:r>
      <w:r>
        <w:rPr>
          <w:i/>
        </w:rPr>
        <w:t>is</w:t>
      </w:r>
      <w:r w:rsidRPr="00F75A10">
        <w:rPr>
          <w:i/>
        </w:rPr>
        <w:t xml:space="preserve"> of Multipl</w:t>
      </w:r>
      <w:r>
        <w:rPr>
          <w:i/>
        </w:rPr>
        <w:t>y-</w:t>
      </w:r>
      <w:r w:rsidRPr="00F75A10">
        <w:rPr>
          <w:i/>
        </w:rPr>
        <w:t>Imput</w:t>
      </w:r>
      <w:r>
        <w:rPr>
          <w:i/>
        </w:rPr>
        <w:t>ed</w:t>
      </w:r>
      <w:r w:rsidRPr="00F75A10">
        <w:rPr>
          <w:i/>
        </w:rPr>
        <w:t xml:space="preserve"> data</w:t>
      </w:r>
    </w:p>
    <w:p w14:paraId="31077A0A" w14:textId="64984127" w:rsidR="00564207" w:rsidRDefault="0081073A" w:rsidP="00564207">
      <w:pPr>
        <w:widowControl w:val="0"/>
        <w:autoSpaceDE w:val="0"/>
        <w:autoSpaceDN w:val="0"/>
        <w:adjustRightInd w:val="0"/>
        <w:spacing w:after="120" w:line="480" w:lineRule="auto"/>
        <w:rPr>
          <w:iCs/>
        </w:rPr>
      </w:pPr>
      <w:r>
        <w:rPr>
          <w:iCs/>
        </w:rPr>
        <w:t>The MI generates multiple complete datasets</w:t>
      </w:r>
      <w:r w:rsidR="00EB2BE3">
        <w:rPr>
          <w:iCs/>
        </w:rPr>
        <w:t>, which are then used for statistical analysis</w:t>
      </w:r>
      <w:r>
        <w:rPr>
          <w:iCs/>
        </w:rPr>
        <w:t xml:space="preserve">. </w:t>
      </w:r>
      <w:r w:rsidR="00EB2BE3">
        <w:rPr>
          <w:iCs/>
        </w:rPr>
        <w:t xml:space="preserve">A complete data method can first be applied to each imputed dataset to generate </w:t>
      </w:r>
      <w:r>
        <w:rPr>
          <w:iCs/>
        </w:rPr>
        <w:t xml:space="preserve">descriptive </w:t>
      </w:r>
      <w:r>
        <w:rPr>
          <w:iCs/>
        </w:rPr>
        <w:lastRenderedPageBreak/>
        <w:t xml:space="preserve">statistics (e.g. mean and quantiles) and </w:t>
      </w:r>
      <w:r w:rsidR="00EB2BE3">
        <w:rPr>
          <w:iCs/>
        </w:rPr>
        <w:t xml:space="preserve">conduct </w:t>
      </w:r>
      <w:r>
        <w:rPr>
          <w:iCs/>
        </w:rPr>
        <w:t>analytic inference (e.g. regression)</w:t>
      </w:r>
      <w:r w:rsidR="00564207" w:rsidRPr="00F75A10">
        <w:rPr>
          <w:iCs/>
        </w:rPr>
        <w:t xml:space="preserve">. </w:t>
      </w:r>
      <w:r w:rsidR="00EB2BE3">
        <w:rPr>
          <w:iCs/>
        </w:rPr>
        <w:t xml:space="preserve">The estimates from all the </w:t>
      </w:r>
      <m:oMath>
        <m:r>
          <w:rPr>
            <w:rFonts w:ascii="Cambria Math" w:hAnsi="Cambria Math"/>
          </w:rPr>
          <m:t>D</m:t>
        </m:r>
      </m:oMath>
      <w:r w:rsidR="00EB2BE3">
        <w:rPr>
          <w:iCs/>
        </w:rPr>
        <w:t xml:space="preserve"> imputed datasets are then combined using Rubin’s Rule</w:t>
      </w:r>
      <w:r w:rsidR="00B73D8C">
        <w:rPr>
          <w:iCs/>
        </w:rPr>
        <w:t>.</w:t>
      </w:r>
      <w:r w:rsidR="00A32AB1">
        <w:rPr>
          <w:iCs/>
        </w:rPr>
        <w:fldChar w:fldCharType="begin"/>
      </w:r>
      <w:r w:rsidR="006A3F13">
        <w:rPr>
          <w:iCs/>
        </w:rPr>
        <w:instrText xml:space="preserve"> ADDIN ZOTERO_ITEM CSL_CITATION {"citationID":"s0O1Y2N3","properties":{"formattedCitation":"\\super 24\\nosupersub{}","plainCitation":"24","noteIndex":0},"citationItems":[{"id":164,"uris":["http://zotero.org/users/7675815/items/T6W7UNQL"],"uri":["http://zotero.org/users/7675815/items/T6W7UNQL"],"itemData":{"id":164,"type":"paper-conference","container-title":"Proceedings of the survey research methods section of the American Statistical Association","page":"20-34","publisher":"American Statistical Association","title":"Multiple imputations in sample surveys-a phenomenological Bayesian approach to nonresponse","volume":"1","author":[{"family":"Rubin","given":"Donald B."}],"issued":{"date-parts":[["1978"]]}}}],"schema":"https://github.com/citation-style-language/schema/raw/master/csl-citation.json"} </w:instrText>
      </w:r>
      <w:r w:rsidR="00A32AB1">
        <w:rPr>
          <w:iCs/>
        </w:rPr>
        <w:fldChar w:fldCharType="separate"/>
      </w:r>
      <w:r w:rsidR="006A3F13" w:rsidRPr="006A3F13">
        <w:rPr>
          <w:vertAlign w:val="superscript"/>
        </w:rPr>
        <w:t>24</w:t>
      </w:r>
      <w:r w:rsidR="00A32AB1">
        <w:rPr>
          <w:iCs/>
        </w:rPr>
        <w:fldChar w:fldCharType="end"/>
      </w:r>
      <w:r w:rsidR="00841993">
        <w:rPr>
          <w:iCs/>
        </w:rPr>
        <w:t xml:space="preserve"> </w:t>
      </w:r>
      <w:r>
        <w:rPr>
          <w:iCs/>
        </w:rPr>
        <w:t xml:space="preserve">Let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d</m:t>
            </m:r>
          </m:sub>
        </m:sSub>
      </m:oMath>
      <w:r>
        <w:rPr>
          <w:iCs/>
        </w:rPr>
        <w:t xml:space="preserve"> and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V</m:t>
                </m:r>
              </m:e>
            </m:acc>
          </m:e>
          <m:sub>
            <m:r>
              <w:rPr>
                <w:rFonts w:ascii="Cambria Math" w:hAnsi="Cambria Math"/>
              </w:rPr>
              <m:t>d</m:t>
            </m:r>
          </m:sub>
        </m:sSub>
      </m:oMath>
      <w:r>
        <w:rPr>
          <w:iCs/>
        </w:rPr>
        <w:t xml:space="preserve"> be the estimate and the associated variance for </w:t>
      </w:r>
      <m:oMath>
        <m:r>
          <w:rPr>
            <w:rFonts w:ascii="Cambria Math" w:hAnsi="Cambria Math"/>
          </w:rPr>
          <m:t>θ</m:t>
        </m:r>
      </m:oMath>
      <w:r w:rsidR="00EB2BE3">
        <w:rPr>
          <w:iCs/>
        </w:rPr>
        <w:t xml:space="preserve"> </w:t>
      </w:r>
      <w:r>
        <w:rPr>
          <w:iCs/>
        </w:rPr>
        <w:t xml:space="preserve">(e.g. mean) using the </w:t>
      </w:r>
      <m:oMath>
        <m:r>
          <w:rPr>
            <w:rFonts w:ascii="Cambria Math" w:hAnsi="Cambria Math"/>
          </w:rPr>
          <m:t>d</m:t>
        </m:r>
      </m:oMath>
      <w:r>
        <w:rPr>
          <w:iCs/>
        </w:rPr>
        <w:t xml:space="preserve">th imputation </w:t>
      </w:r>
      <m:oMath>
        <m:r>
          <w:rPr>
            <w:rFonts w:ascii="Cambria Math" w:hAnsi="Cambria Math"/>
          </w:rPr>
          <m:t>(d=1,…,D)</m:t>
        </m:r>
      </m:oMath>
      <w:r>
        <w:rPr>
          <w:iCs/>
        </w:rPr>
        <w:t xml:space="preserve">. The estimate of </w:t>
      </w:r>
      <m:oMath>
        <m:r>
          <w:rPr>
            <w:rFonts w:ascii="Cambria Math" w:hAnsi="Cambria Math"/>
          </w:rPr>
          <m:t>θ</m:t>
        </m:r>
      </m:oMath>
      <w:r>
        <w:rPr>
          <w:iCs/>
        </w:rPr>
        <w:t xml:space="preserve"> across all </w:t>
      </w:r>
      <m:oMath>
        <m:r>
          <w:rPr>
            <w:rFonts w:ascii="Cambria Math" w:hAnsi="Cambria Math"/>
          </w:rPr>
          <m:t>D</m:t>
        </m:r>
      </m:oMath>
      <w:r>
        <w:rPr>
          <w:iCs/>
        </w:rPr>
        <w:t xml:space="preserve"> datasets is </w:t>
      </w:r>
      <w:r w:rsidR="00EB2BE3">
        <w:rPr>
          <w:iCs/>
        </w:rPr>
        <w:t xml:space="preserve">the average </w:t>
      </w:r>
      <m:oMath>
        <m:acc>
          <m:accPr>
            <m:chr m:val="̅"/>
            <m:ctrlPr>
              <w:rPr>
                <w:rFonts w:ascii="Cambria Math" w:hAnsi="Cambria Math"/>
                <w:i/>
                <w:iCs/>
              </w:rPr>
            </m:ctrlPr>
          </m:accPr>
          <m:e>
            <m:r>
              <w:rPr>
                <w:rFonts w:ascii="Cambria Math" w:hAnsi="Cambria Math"/>
              </w:rPr>
              <m:t>θ</m:t>
            </m:r>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i/>
                <w:iCs/>
              </w:rPr>
            </m:ctrlPr>
          </m:naryPr>
          <m:sub>
            <m:r>
              <w:rPr>
                <w:rFonts w:ascii="Cambria Math" w:hAnsi="Cambria Math"/>
              </w:rPr>
              <m:t>d=1</m:t>
            </m:r>
          </m:sub>
          <m:sup>
            <m:r>
              <w:rPr>
                <w:rFonts w:ascii="Cambria Math" w:hAnsi="Cambria Math"/>
              </w:rPr>
              <m:t>D</m:t>
            </m:r>
          </m:sup>
          <m:e>
            <m:sSub>
              <m:sSubPr>
                <m:ctrlPr>
                  <w:rPr>
                    <w:rFonts w:ascii="Cambria Math" w:hAnsi="Cambria Math"/>
                    <w:i/>
                    <w:iCs/>
                  </w:rPr>
                </m:ctrlPr>
              </m:sSubPr>
              <m:e>
                <m:acc>
                  <m:accPr>
                    <m:ctrlPr>
                      <w:rPr>
                        <w:rFonts w:ascii="Cambria Math" w:hAnsi="Cambria Math"/>
                        <w:i/>
                        <w:iCs/>
                      </w:rPr>
                    </m:ctrlPr>
                  </m:accPr>
                  <m:e>
                    <m:r>
                      <w:rPr>
                        <w:rFonts w:ascii="Cambria Math" w:hAnsi="Cambria Math"/>
                      </w:rPr>
                      <m:t>θ</m:t>
                    </m:r>
                  </m:e>
                </m:acc>
              </m:e>
              <m:sub>
                <m:r>
                  <w:rPr>
                    <w:rFonts w:ascii="Cambria Math" w:hAnsi="Cambria Math"/>
                  </w:rPr>
                  <m:t>d</m:t>
                </m:r>
              </m:sub>
            </m:sSub>
          </m:e>
        </m:nary>
      </m:oMath>
      <w:r>
        <w:rPr>
          <w:iCs/>
        </w:rPr>
        <w:t xml:space="preserve">. The variance of </w:t>
      </w:r>
      <m:oMath>
        <m:acc>
          <m:accPr>
            <m:chr m:val="̅"/>
            <m:ctrlPr>
              <w:rPr>
                <w:rFonts w:ascii="Cambria Math" w:hAnsi="Cambria Math"/>
                <w:i/>
                <w:iCs/>
              </w:rPr>
            </m:ctrlPr>
          </m:accPr>
          <m:e>
            <m:r>
              <w:rPr>
                <w:rFonts w:ascii="Cambria Math" w:hAnsi="Cambria Math"/>
              </w:rPr>
              <m:t>θ</m:t>
            </m:r>
          </m:e>
        </m:acc>
      </m:oMath>
      <w:r>
        <w:rPr>
          <w:iCs/>
        </w:rPr>
        <w:t xml:space="preserve"> is </w:t>
      </w:r>
      <m:oMath>
        <m:r>
          <w:rPr>
            <w:rFonts w:ascii="Cambria Math" w:hAnsi="Cambria Math"/>
          </w:rPr>
          <m:t>T=</m:t>
        </m:r>
        <m:acc>
          <m:accPr>
            <m:chr m:val="̅"/>
            <m:ctrlPr>
              <w:rPr>
                <w:rFonts w:ascii="Cambria Math" w:hAnsi="Cambria Math"/>
                <w:i/>
                <w:iCs/>
              </w:rPr>
            </m:ctrlPr>
          </m:accPr>
          <m:e>
            <m:r>
              <w:rPr>
                <w:rFonts w:ascii="Cambria Math" w:hAnsi="Cambria Math"/>
              </w:rPr>
              <m:t>V</m:t>
            </m:r>
          </m:e>
        </m:acc>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D</m:t>
            </m:r>
          </m:den>
        </m:f>
        <m:r>
          <w:rPr>
            <w:rFonts w:ascii="Cambria Math" w:hAnsi="Cambria Math"/>
          </w:rPr>
          <m:t>)B</m:t>
        </m:r>
      </m:oMath>
      <w:r>
        <w:rPr>
          <w:iCs/>
        </w:rPr>
        <w:t xml:space="preserve">, where </w:t>
      </w:r>
      <m:oMath>
        <m:acc>
          <m:accPr>
            <m:chr m:val="̅"/>
            <m:ctrlPr>
              <w:rPr>
                <w:rFonts w:ascii="Cambria Math" w:hAnsi="Cambria Math"/>
                <w:i/>
                <w:iCs/>
              </w:rPr>
            </m:ctrlPr>
          </m:accPr>
          <m:e>
            <m:r>
              <w:rPr>
                <w:rFonts w:ascii="Cambria Math" w:hAnsi="Cambria Math"/>
              </w:rPr>
              <m:t>V</m:t>
            </m:r>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i/>
                <w:iCs/>
              </w:rPr>
            </m:ctrlPr>
          </m:naryPr>
          <m:sub>
            <m:r>
              <w:rPr>
                <w:rFonts w:ascii="Cambria Math" w:hAnsi="Cambria Math"/>
              </w:rPr>
              <m:t>d=1</m:t>
            </m:r>
          </m:sub>
          <m:sup>
            <m:r>
              <w:rPr>
                <w:rFonts w:ascii="Cambria Math" w:hAnsi="Cambria Math"/>
              </w:rPr>
              <m:t>D</m:t>
            </m:r>
          </m:sup>
          <m:e>
            <m:sSub>
              <m:sSubPr>
                <m:ctrlPr>
                  <w:rPr>
                    <w:rFonts w:ascii="Cambria Math" w:hAnsi="Cambria Math"/>
                    <w:i/>
                    <w:iCs/>
                  </w:rPr>
                </m:ctrlPr>
              </m:sSubPr>
              <m:e>
                <m:acc>
                  <m:accPr>
                    <m:ctrlPr>
                      <w:rPr>
                        <w:rFonts w:ascii="Cambria Math" w:hAnsi="Cambria Math"/>
                        <w:i/>
                        <w:iCs/>
                      </w:rPr>
                    </m:ctrlPr>
                  </m:accPr>
                  <m:e>
                    <m:r>
                      <w:rPr>
                        <w:rFonts w:ascii="Cambria Math" w:hAnsi="Cambria Math"/>
                      </w:rPr>
                      <m:t>V</m:t>
                    </m:r>
                  </m:e>
                </m:acc>
              </m:e>
              <m:sub>
                <m:r>
                  <w:rPr>
                    <w:rFonts w:ascii="Cambria Math" w:hAnsi="Cambria Math"/>
                  </w:rPr>
                  <m:t>d</m:t>
                </m:r>
              </m:sub>
            </m:sSub>
          </m:e>
        </m:nary>
      </m:oMath>
      <w:r>
        <w:rPr>
          <w:iCs/>
        </w:rPr>
        <w:t xml:space="preserve"> </w:t>
      </w:r>
      <w:r w:rsidR="00063372">
        <w:rPr>
          <w:iCs/>
        </w:rPr>
        <w:t xml:space="preserve">denotes </w:t>
      </w:r>
      <w:r w:rsidR="00EB2BE3">
        <w:rPr>
          <w:iCs/>
        </w:rPr>
        <w:t xml:space="preserve">the average </w:t>
      </w:r>
      <w:r w:rsidR="00063372">
        <w:rPr>
          <w:iCs/>
        </w:rPr>
        <w:t xml:space="preserve">within-imputation variance and </w:t>
      </w:r>
      <m:oMath>
        <m:r>
          <w:rPr>
            <w:rFonts w:ascii="Cambria Math" w:hAnsi="Cambria Math"/>
          </w:rPr>
          <m:t>B=</m:t>
        </m:r>
        <m:f>
          <m:fPr>
            <m:ctrlPr>
              <w:rPr>
                <w:rFonts w:ascii="Cambria Math" w:hAnsi="Cambria Math"/>
                <w:i/>
                <w:iCs/>
              </w:rPr>
            </m:ctrlPr>
          </m:fPr>
          <m:num>
            <m:r>
              <w:rPr>
                <w:rFonts w:ascii="Cambria Math" w:hAnsi="Cambria Math"/>
              </w:rPr>
              <m:t>1</m:t>
            </m:r>
          </m:num>
          <m:den>
            <m:r>
              <w:rPr>
                <w:rFonts w:ascii="Cambria Math" w:hAnsi="Cambria Math"/>
              </w:rPr>
              <m:t>D-1</m:t>
            </m:r>
          </m:den>
        </m:f>
        <m:nary>
          <m:naryPr>
            <m:chr m:val="∑"/>
            <m:limLoc m:val="subSup"/>
            <m:ctrlPr>
              <w:rPr>
                <w:rFonts w:ascii="Cambria Math" w:hAnsi="Cambria Math"/>
                <w:i/>
                <w:iCs/>
              </w:rPr>
            </m:ctrlPr>
          </m:naryPr>
          <m:sub>
            <m:r>
              <w:rPr>
                <w:rFonts w:ascii="Cambria Math" w:hAnsi="Cambria Math"/>
              </w:rPr>
              <m:t>d=1</m:t>
            </m:r>
          </m:sub>
          <m:sup>
            <m:r>
              <w:rPr>
                <w:rFonts w:ascii="Cambria Math" w:hAnsi="Cambria Math"/>
              </w:rPr>
              <m:t>D</m:t>
            </m:r>
          </m:sup>
          <m:e>
            <m:sSup>
              <m:sSupPr>
                <m:ctrlPr>
                  <w:rPr>
                    <w:rFonts w:ascii="Cambria Math" w:hAnsi="Cambria Math"/>
                    <w:i/>
                    <w:iCs/>
                  </w:rPr>
                </m:ctrlPr>
              </m:sSupPr>
              <m:e>
                <m:sSub>
                  <m:sSubPr>
                    <m:ctrlPr>
                      <w:rPr>
                        <w:rFonts w:ascii="Cambria Math" w:hAnsi="Cambria Math"/>
                        <w:i/>
                        <w:iCs/>
                      </w:rPr>
                    </m:ctrlPr>
                  </m:sSubPr>
                  <m:e>
                    <m:r>
                      <w:rPr>
                        <w:rFonts w:ascii="Cambria Math" w:hAnsi="Cambria Math"/>
                      </w:rPr>
                      <m:t>(</m:t>
                    </m:r>
                    <m:acc>
                      <m:accPr>
                        <m:ctrlPr>
                          <w:rPr>
                            <w:rFonts w:ascii="Cambria Math" w:hAnsi="Cambria Math"/>
                            <w:i/>
                            <w:iCs/>
                          </w:rPr>
                        </m:ctrlPr>
                      </m:accPr>
                      <m:e>
                        <m:r>
                          <w:rPr>
                            <w:rFonts w:ascii="Cambria Math" w:hAnsi="Cambria Math"/>
                          </w:rPr>
                          <m:t>θ</m:t>
                        </m:r>
                      </m:e>
                    </m:acc>
                  </m:e>
                  <m:sub>
                    <m:r>
                      <w:rPr>
                        <w:rFonts w:ascii="Cambria Math" w:hAnsi="Cambria Math"/>
                      </w:rPr>
                      <m:t>d</m:t>
                    </m:r>
                  </m:sub>
                </m:sSub>
                <m:r>
                  <w:rPr>
                    <w:rFonts w:ascii="Cambria Math" w:hAnsi="Cambria Math"/>
                  </w:rPr>
                  <m:t>-</m:t>
                </m:r>
                <m:acc>
                  <m:accPr>
                    <m:chr m:val="̅"/>
                    <m:ctrlPr>
                      <w:rPr>
                        <w:rFonts w:ascii="Cambria Math" w:hAnsi="Cambria Math"/>
                        <w:i/>
                        <w:iCs/>
                      </w:rPr>
                    </m:ctrlPr>
                  </m:accPr>
                  <m:e>
                    <m:r>
                      <w:rPr>
                        <w:rFonts w:ascii="Cambria Math" w:hAnsi="Cambria Math"/>
                      </w:rPr>
                      <m:t>θ</m:t>
                    </m:r>
                  </m:e>
                </m:acc>
                <m:r>
                  <w:rPr>
                    <w:rFonts w:ascii="Cambria Math" w:hAnsi="Cambria Math"/>
                  </w:rPr>
                  <m:t>)</m:t>
                </m:r>
              </m:e>
              <m:sup>
                <m:r>
                  <w:rPr>
                    <w:rFonts w:ascii="Cambria Math" w:hAnsi="Cambria Math"/>
                  </w:rPr>
                  <m:t>2</m:t>
                </m:r>
              </m:sup>
            </m:sSup>
          </m:e>
        </m:nary>
      </m:oMath>
      <w:r w:rsidR="00063372">
        <w:rPr>
          <w:iCs/>
        </w:rPr>
        <w:t xml:space="preserve"> represents the between-imputation variance</w:t>
      </w:r>
      <w:r>
        <w:rPr>
          <w:iCs/>
        </w:rPr>
        <w:t xml:space="preserve">. </w:t>
      </w:r>
      <w:r w:rsidR="00063372">
        <w:rPr>
          <w:iCs/>
        </w:rPr>
        <w:t xml:space="preserve">When sample size is large, </w:t>
      </w:r>
      <w:r w:rsidR="0044787D">
        <w:rPr>
          <w:iCs/>
        </w:rPr>
        <w:t xml:space="preserve">the 95% confidence interval (CI) for </w:t>
      </w:r>
      <m:oMath>
        <m:r>
          <w:rPr>
            <w:rFonts w:ascii="Cambria Math" w:hAnsi="Cambria Math"/>
          </w:rPr>
          <m:t>θ</m:t>
        </m:r>
      </m:oMath>
      <w:r w:rsidR="0044787D">
        <w:rPr>
          <w:iCs/>
        </w:rPr>
        <w:t xml:space="preserve"> is </w:t>
      </w:r>
      <m:oMath>
        <m:acc>
          <m:accPr>
            <m:chr m:val="̅"/>
            <m:ctrlPr>
              <w:rPr>
                <w:rFonts w:ascii="Cambria Math" w:hAnsi="Cambria Math"/>
                <w:i/>
                <w:iCs/>
              </w:rPr>
            </m:ctrlPr>
          </m:accPr>
          <m:e>
            <m:r>
              <w:rPr>
                <w:rFonts w:ascii="Cambria Math" w:hAnsi="Cambria Math"/>
              </w:rPr>
              <m:t>θ</m:t>
            </m:r>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.975, υ</m:t>
            </m:r>
          </m:sub>
        </m:sSub>
        <m:rad>
          <m:radPr>
            <m:degHide m:val="1"/>
            <m:ctrlPr>
              <w:rPr>
                <w:rFonts w:ascii="Cambria Math" w:hAnsi="Cambria Math"/>
                <w:i/>
                <w:iCs/>
              </w:rPr>
            </m:ctrlPr>
          </m:radPr>
          <m:deg/>
          <m:e>
            <m:r>
              <w:rPr>
                <w:rFonts w:ascii="Cambria Math" w:hAnsi="Cambria Math"/>
              </w:rPr>
              <m:t>T</m:t>
            </m:r>
          </m:e>
        </m:rad>
      </m:oMath>
      <w:r w:rsidR="0044787D">
        <w:rPr>
          <w:iCs/>
        </w:rPr>
        <w:t xml:space="preserve">, with the degrees of freedom </w:t>
      </w:r>
      <m:oMath>
        <m:r>
          <w:rPr>
            <w:rFonts w:ascii="Cambria Math" w:hAnsi="Cambria Math"/>
          </w:rPr>
          <m:t>υ=(D-1)</m:t>
        </m:r>
        <m:sSup>
          <m:sSupPr>
            <m:ctrlPr>
              <w:rPr>
                <w:rFonts w:ascii="Cambria Math" w:hAnsi="Cambria Math"/>
                <w:i/>
                <w:iCs/>
              </w:rPr>
            </m:ctrlPr>
          </m:sSupPr>
          <m:e>
            <m:r>
              <w:rPr>
                <w:rFonts w:ascii="Cambria Math" w:hAnsi="Cambria Math"/>
              </w:rPr>
              <m:t>(1+</m:t>
            </m:r>
            <m:f>
              <m:fPr>
                <m:ctrlPr>
                  <w:rPr>
                    <w:rFonts w:ascii="Cambria Math" w:hAnsi="Cambria Math"/>
                    <w:i/>
                    <w:iCs/>
                  </w:rPr>
                </m:ctrlPr>
              </m:fPr>
              <m:num>
                <m:r>
                  <w:rPr>
                    <w:rFonts w:ascii="Cambria Math" w:hAnsi="Cambria Math"/>
                  </w:rPr>
                  <m:t>1</m:t>
                </m:r>
              </m:num>
              <m:den>
                <m:r>
                  <w:rPr>
                    <w:rFonts w:ascii="Cambria Math" w:hAnsi="Cambria Math"/>
                  </w:rPr>
                  <m:t>1+</m:t>
                </m:r>
                <m:sSup>
                  <m:sSupPr>
                    <m:ctrlPr>
                      <w:rPr>
                        <w:rFonts w:ascii="Cambria Math" w:hAnsi="Cambria Math"/>
                        <w:i/>
                        <w:iCs/>
                      </w:rPr>
                    </m:ctrlPr>
                  </m:sSupPr>
                  <m:e>
                    <m:r>
                      <w:rPr>
                        <w:rFonts w:ascii="Cambria Math" w:hAnsi="Cambria Math"/>
                      </w:rPr>
                      <m:t>D</m:t>
                    </m:r>
                  </m:e>
                  <m:sup>
                    <m:r>
                      <w:rPr>
                        <w:rFonts w:ascii="Cambria Math" w:hAnsi="Cambria Math"/>
                      </w:rPr>
                      <m:t>-1</m:t>
                    </m:r>
                  </m:sup>
                </m:sSup>
              </m:den>
            </m:f>
            <m:f>
              <m:fPr>
                <m:ctrlPr>
                  <w:rPr>
                    <w:rFonts w:ascii="Cambria Math" w:hAnsi="Cambria Math"/>
                    <w:i/>
                    <w:iCs/>
                  </w:rPr>
                </m:ctrlPr>
              </m:fPr>
              <m:num>
                <m:acc>
                  <m:accPr>
                    <m:chr m:val="̅"/>
                    <m:ctrlPr>
                      <w:rPr>
                        <w:rFonts w:ascii="Cambria Math" w:hAnsi="Cambria Math"/>
                        <w:i/>
                        <w:iCs/>
                      </w:rPr>
                    </m:ctrlPr>
                  </m:accPr>
                  <m:e>
                    <m:r>
                      <w:rPr>
                        <w:rFonts w:ascii="Cambria Math" w:hAnsi="Cambria Math"/>
                      </w:rPr>
                      <m:t>V</m:t>
                    </m:r>
                  </m:e>
                </m:acc>
              </m:num>
              <m:den>
                <m:r>
                  <w:rPr>
                    <w:rFonts w:ascii="Cambria Math" w:hAnsi="Cambria Math"/>
                  </w:rPr>
                  <m:t>B</m:t>
                </m:r>
              </m:den>
            </m:f>
            <m:r>
              <w:rPr>
                <w:rFonts w:ascii="Cambria Math" w:hAnsi="Cambria Math"/>
              </w:rPr>
              <m:t>)</m:t>
            </m:r>
          </m:e>
          <m:sup>
            <m:r>
              <w:rPr>
                <w:rFonts w:ascii="Cambria Math" w:hAnsi="Cambria Math"/>
              </w:rPr>
              <m:t>2</m:t>
            </m:r>
          </m:sup>
        </m:sSup>
      </m:oMath>
      <w:r w:rsidR="00564207" w:rsidRPr="00F75A10">
        <w:rPr>
          <w:iCs/>
        </w:rPr>
        <w:t xml:space="preserve">. </w:t>
      </w:r>
    </w:p>
    <w:p w14:paraId="65DC277B" w14:textId="77777777" w:rsidR="001E3F35" w:rsidRDefault="001E3F35" w:rsidP="001E3F35">
      <w:pPr>
        <w:widowControl w:val="0"/>
        <w:autoSpaceDE w:val="0"/>
        <w:autoSpaceDN w:val="0"/>
        <w:adjustRightInd w:val="0"/>
        <w:spacing w:line="480" w:lineRule="auto"/>
        <w:rPr>
          <w:iCs/>
        </w:rPr>
      </w:pPr>
    </w:p>
    <w:p w14:paraId="06E1A794" w14:textId="5B64BDF1" w:rsidR="00564207" w:rsidRPr="005B5B16" w:rsidRDefault="004237FD" w:rsidP="00E33AB2">
      <w:pPr>
        <w:pStyle w:val="Heading2"/>
      </w:pPr>
      <w:r w:rsidRPr="005B5B16">
        <w:t>2.</w:t>
      </w:r>
      <w:r w:rsidR="00564207" w:rsidRPr="005B5B16">
        <w:t xml:space="preserve">3 Simulation </w:t>
      </w:r>
      <w:r w:rsidR="00AA489E" w:rsidRPr="005B5B16">
        <w:t xml:space="preserve">Study </w:t>
      </w:r>
      <w:r w:rsidR="00610C2B" w:rsidRPr="005B5B16">
        <w:t xml:space="preserve">Using the </w:t>
      </w:r>
      <w:r w:rsidR="00AA489E" w:rsidRPr="005B5B16">
        <w:t>SHFS Data</w:t>
      </w:r>
    </w:p>
    <w:p w14:paraId="65C5632D" w14:textId="5967AAA5" w:rsidR="001E3F35" w:rsidRDefault="00564207" w:rsidP="00564207">
      <w:pPr>
        <w:widowControl w:val="0"/>
        <w:autoSpaceDE w:val="0"/>
        <w:autoSpaceDN w:val="0"/>
        <w:adjustRightInd w:val="0"/>
        <w:spacing w:after="120" w:line="480" w:lineRule="auto"/>
      </w:pPr>
      <w:r>
        <w:rPr>
          <w:iCs/>
        </w:rPr>
        <w:t>W</w:t>
      </w:r>
      <w:r w:rsidRPr="00F75A10">
        <w:rPr>
          <w:iCs/>
        </w:rPr>
        <w:t xml:space="preserve">e </w:t>
      </w:r>
      <w:r>
        <w:rPr>
          <w:iCs/>
        </w:rPr>
        <w:t xml:space="preserve">conducted a simulation study to </w:t>
      </w:r>
      <w:r w:rsidRPr="00F75A10">
        <w:rPr>
          <w:iCs/>
        </w:rPr>
        <w:t xml:space="preserve">compare the </w:t>
      </w:r>
      <w:r w:rsidR="00B02FC4">
        <w:rPr>
          <w:iCs/>
        </w:rPr>
        <w:t xml:space="preserve">performance of </w:t>
      </w:r>
      <w:r w:rsidR="0060216E">
        <w:rPr>
          <w:iCs/>
        </w:rPr>
        <w:t xml:space="preserve">MI using the </w:t>
      </w:r>
      <w:r>
        <w:rPr>
          <w:iCs/>
        </w:rPr>
        <w:t xml:space="preserve">multivariate </w:t>
      </w:r>
      <w:r w:rsidR="000B1D81">
        <w:rPr>
          <w:iCs/>
        </w:rPr>
        <w:t>Tobit</w:t>
      </w:r>
      <w:r>
        <w:rPr>
          <w:iCs/>
        </w:rPr>
        <w:t xml:space="preserve"> regression </w:t>
      </w:r>
      <w:r w:rsidR="000B1D81">
        <w:rPr>
          <w:iCs/>
        </w:rPr>
        <w:t>to the MI using univariate Tobit regression together with MICE and other</w:t>
      </w:r>
      <w:r>
        <w:rPr>
          <w:iCs/>
        </w:rPr>
        <w:t xml:space="preserve"> alternative methods in handling data below </w:t>
      </w:r>
      <w:r w:rsidR="00081F57">
        <w:rPr>
          <w:iCs/>
        </w:rPr>
        <w:t xml:space="preserve">the </w:t>
      </w:r>
      <w:r>
        <w:rPr>
          <w:iCs/>
        </w:rPr>
        <w:t xml:space="preserve">LODs in exposure mixtures. </w:t>
      </w:r>
      <w:r w:rsidR="00B02FC4">
        <w:rPr>
          <w:iCs/>
        </w:rPr>
        <w:t>The simulation use</w:t>
      </w:r>
      <w:r w:rsidR="001718C3">
        <w:rPr>
          <w:iCs/>
        </w:rPr>
        <w:t>d</w:t>
      </w:r>
      <w:r w:rsidR="00B02FC4">
        <w:rPr>
          <w:iCs/>
        </w:rPr>
        <w:t xml:space="preserve"> the </w:t>
      </w:r>
      <w:r w:rsidR="00B02FC4" w:rsidRPr="00F75A10">
        <w:rPr>
          <w:iCs/>
        </w:rPr>
        <w:t>SHFS dataset</w:t>
      </w:r>
      <w:r w:rsidR="00B02FC4">
        <w:rPr>
          <w:iCs/>
        </w:rPr>
        <w:t xml:space="preserve"> (n</w:t>
      </w:r>
      <w:r w:rsidR="001E3F35">
        <w:rPr>
          <w:iCs/>
        </w:rPr>
        <w:t xml:space="preserve"> </w:t>
      </w:r>
      <w:r w:rsidR="00B02FC4">
        <w:rPr>
          <w:iCs/>
        </w:rPr>
        <w:t>=</w:t>
      </w:r>
      <w:r w:rsidR="001E3F35">
        <w:rPr>
          <w:iCs/>
        </w:rPr>
        <w:t xml:space="preserve"> </w:t>
      </w:r>
      <w:r w:rsidR="00B02FC4">
        <w:rPr>
          <w:iCs/>
        </w:rPr>
        <w:t>1</w:t>
      </w:r>
      <w:r w:rsidR="00765FAB">
        <w:rPr>
          <w:iCs/>
        </w:rPr>
        <w:t>,</w:t>
      </w:r>
      <w:r w:rsidR="00B02FC4">
        <w:rPr>
          <w:iCs/>
        </w:rPr>
        <w:t xml:space="preserve">602) that contains complete measures on DMA, MMA, iAs, and all covariates. </w:t>
      </w:r>
      <w:proofErr w:type="spellStart"/>
      <w:r w:rsidR="00E33AB2">
        <w:rPr>
          <w:iCs/>
        </w:rPr>
        <w:t>Natual</w:t>
      </w:r>
      <w:proofErr w:type="spellEnd"/>
      <w:r w:rsidR="00E33AB2">
        <w:rPr>
          <w:iCs/>
        </w:rPr>
        <w:t xml:space="preserve"> log-transformation was conducted on DMA, MMA, iAs, total arsenic, and arsenobetaine. </w:t>
      </w:r>
      <w:r w:rsidR="00AA489E">
        <w:t>Figure 1(</w:t>
      </w:r>
      <w:r w:rsidR="00A26049">
        <w:t>A</w:t>
      </w:r>
      <w:r w:rsidR="00AA489E">
        <w:t>) gives the bivariate correlation of any two variables in the SHFS, with blue color denoting positive correlation and red color denoting negative correlation; the darker the color is, the stronger the correlation is. The three arsenic measurements are highly correlated, with correlations ranging from 0.67 to 0.82. Figure 1(</w:t>
      </w:r>
      <w:r w:rsidR="00A26049">
        <w:t>B</w:t>
      </w:r>
      <w:r w:rsidR="00AA489E">
        <w:t xml:space="preserve">) shows the density plots of DMA, MMA, and iAs after </w:t>
      </w:r>
      <w:r w:rsidR="00052A5E">
        <w:t>natural-</w:t>
      </w:r>
      <w:r w:rsidR="00AA489E">
        <w:t xml:space="preserve">log transformation. The histograms on the top and the right edge of the plot show the marginal distributions of the compounds on the x-axis and y-axis, respectively. Inside the plot is the contour density plot between the two compounds. The arsenic measurements seem </w:t>
      </w:r>
      <w:r w:rsidR="00AA489E">
        <w:lastRenderedPageBreak/>
        <w:t>to be normally distributed after log-transformation</w:t>
      </w:r>
      <w:r w:rsidR="001E3F35">
        <w:t>.</w:t>
      </w:r>
    </w:p>
    <w:p w14:paraId="19E6995B" w14:textId="794AB2A3" w:rsidR="00564207" w:rsidRPr="001E3F35" w:rsidRDefault="00564207" w:rsidP="006876A8">
      <w:pPr>
        <w:widowControl w:val="0"/>
        <w:autoSpaceDE w:val="0"/>
        <w:autoSpaceDN w:val="0"/>
        <w:adjustRightInd w:val="0"/>
        <w:spacing w:after="120" w:line="480" w:lineRule="auto"/>
        <w:ind w:firstLine="720"/>
        <w:rPr>
          <w:i/>
        </w:rPr>
      </w:pPr>
      <w:r>
        <w:rPr>
          <w:iCs/>
        </w:rPr>
        <w:t>We conducted 500 replicates of simulations. In each replicate of simulation, we first randomly selected 500 subjects</w:t>
      </w:r>
      <w:r w:rsidRPr="00F75A10" w:rsidDel="00543B19">
        <w:rPr>
          <w:iCs/>
        </w:rPr>
        <w:t xml:space="preserve"> </w:t>
      </w:r>
      <w:r w:rsidRPr="00F75A10">
        <w:rPr>
          <w:iCs/>
        </w:rPr>
        <w:t xml:space="preserve">from the </w:t>
      </w:r>
      <w:r w:rsidR="006D4FE9">
        <w:rPr>
          <w:iCs/>
        </w:rPr>
        <w:t xml:space="preserve">full </w:t>
      </w:r>
      <w:r w:rsidRPr="00F75A10">
        <w:rPr>
          <w:iCs/>
        </w:rPr>
        <w:t>SHFS dataset</w:t>
      </w:r>
      <w:r w:rsidR="006D4FE9">
        <w:rPr>
          <w:iCs/>
        </w:rPr>
        <w:t xml:space="preserve"> (n=1,602)</w:t>
      </w:r>
      <w:r w:rsidRPr="00F75A10">
        <w:rPr>
          <w:iCs/>
        </w:rPr>
        <w:t xml:space="preserve">. </w:t>
      </w:r>
      <w:r>
        <w:rPr>
          <w:iCs/>
        </w:rPr>
        <w:t xml:space="preserve">We then created censored data in DMA, MMA, and iAs by </w:t>
      </w:r>
      <w:r w:rsidR="006D4FE9">
        <w:rPr>
          <w:iCs/>
        </w:rPr>
        <w:t>using</w:t>
      </w:r>
      <w:r>
        <w:rPr>
          <w:iCs/>
        </w:rPr>
        <w:t xml:space="preserve"> </w:t>
      </w:r>
      <w:r w:rsidR="006D4FE9">
        <w:rPr>
          <w:iCs/>
        </w:rPr>
        <w:t>pre-defined</w:t>
      </w:r>
      <w:r>
        <w:rPr>
          <w:iCs/>
        </w:rPr>
        <w:t xml:space="preserve"> LOD levels. Specifically, we considered the following </w:t>
      </w:r>
      <w:r w:rsidR="00075AFB">
        <w:rPr>
          <w:iCs/>
        </w:rPr>
        <w:t>two</w:t>
      </w:r>
      <w:r>
        <w:rPr>
          <w:iCs/>
        </w:rPr>
        <w:t xml:space="preserve"> </w:t>
      </w:r>
      <w:r w:rsidR="00052A5E">
        <w:rPr>
          <w:iCs/>
        </w:rPr>
        <w:t xml:space="preserve">simulation scenarios with </w:t>
      </w:r>
      <w:r w:rsidR="00144F19">
        <w:rPr>
          <w:iCs/>
        </w:rPr>
        <w:t xml:space="preserve">LOD levels for DMA, MMA, and iAs defined using population percentiles of the full SHFS dataset: </w:t>
      </w:r>
      <w:r w:rsidR="00144F19" w:rsidRPr="00F75A10">
        <w:rPr>
          <w:iCs/>
        </w:rPr>
        <w:t xml:space="preserve"> </w:t>
      </w:r>
    </w:p>
    <w:p w14:paraId="3E960190" w14:textId="268B7B2D" w:rsidR="00564207" w:rsidRPr="006876A8" w:rsidRDefault="00564207" w:rsidP="006876A8">
      <w:pPr>
        <w:widowControl w:val="0"/>
        <w:autoSpaceDE w:val="0"/>
        <w:autoSpaceDN w:val="0"/>
        <w:adjustRightInd w:val="0"/>
        <w:spacing w:after="120" w:line="480" w:lineRule="auto"/>
        <w:rPr>
          <w:iCs/>
        </w:rPr>
      </w:pPr>
      <w:r w:rsidRPr="006876A8">
        <w:rPr>
          <w:b/>
          <w:iCs/>
        </w:rPr>
        <w:t>Scenario S1</w:t>
      </w:r>
      <w:r w:rsidRPr="006876A8">
        <w:rPr>
          <w:iCs/>
        </w:rPr>
        <w:t xml:space="preserve">: </w:t>
      </w:r>
      <w:r w:rsidR="00E62A81" w:rsidRPr="006876A8">
        <w:rPr>
          <w:iCs/>
        </w:rPr>
        <w:t xml:space="preserve">approximately </w:t>
      </w:r>
      <w:r w:rsidRPr="006876A8">
        <w:rPr>
          <w:iCs/>
        </w:rPr>
        <w:t xml:space="preserve">10% DMA, 20% MMA, 30% iAs </w:t>
      </w:r>
      <w:r w:rsidR="006C1361" w:rsidRPr="006876A8">
        <w:rPr>
          <w:iCs/>
        </w:rPr>
        <w:t xml:space="preserve">are </w:t>
      </w:r>
      <w:r w:rsidRPr="006876A8">
        <w:rPr>
          <w:iCs/>
        </w:rPr>
        <w:t>below LOD</w:t>
      </w:r>
      <w:r w:rsidR="00DA09E2" w:rsidRPr="006876A8">
        <w:rPr>
          <w:iCs/>
        </w:rPr>
        <w:t>,</w:t>
      </w:r>
      <w:r w:rsidR="00144F19" w:rsidRPr="006876A8">
        <w:rPr>
          <w:iCs/>
        </w:rPr>
        <w:t xml:space="preserve"> with LOD levels defined using the population 10</w:t>
      </w:r>
      <w:r w:rsidR="00144F19" w:rsidRPr="006876A8">
        <w:rPr>
          <w:iCs/>
          <w:vertAlign w:val="superscript"/>
        </w:rPr>
        <w:t>th</w:t>
      </w:r>
      <w:r w:rsidR="00144F19" w:rsidRPr="006876A8">
        <w:rPr>
          <w:iCs/>
        </w:rPr>
        <w:t>, 20</w:t>
      </w:r>
      <w:r w:rsidR="00144F19" w:rsidRPr="006876A8">
        <w:rPr>
          <w:iCs/>
          <w:vertAlign w:val="superscript"/>
        </w:rPr>
        <w:t>th</w:t>
      </w:r>
      <w:r w:rsidR="00144F19" w:rsidRPr="006876A8">
        <w:rPr>
          <w:iCs/>
        </w:rPr>
        <w:t>, and 30</w:t>
      </w:r>
      <w:r w:rsidR="00144F19" w:rsidRPr="006876A8">
        <w:rPr>
          <w:iCs/>
          <w:vertAlign w:val="superscript"/>
        </w:rPr>
        <w:t>th</w:t>
      </w:r>
      <w:r w:rsidR="00144F19" w:rsidRPr="006876A8">
        <w:rPr>
          <w:iCs/>
        </w:rPr>
        <w:t xml:space="preserve"> percentile of DMA, MMA, and iAs, respectively.</w:t>
      </w:r>
    </w:p>
    <w:p w14:paraId="1BC6D26C" w14:textId="441AA793" w:rsidR="00564207" w:rsidRPr="006876A8" w:rsidRDefault="00564207" w:rsidP="006876A8">
      <w:pPr>
        <w:widowControl w:val="0"/>
        <w:autoSpaceDE w:val="0"/>
        <w:autoSpaceDN w:val="0"/>
        <w:adjustRightInd w:val="0"/>
        <w:spacing w:after="120" w:line="480" w:lineRule="auto"/>
        <w:rPr>
          <w:iCs/>
        </w:rPr>
      </w:pPr>
      <w:r w:rsidRPr="006876A8">
        <w:rPr>
          <w:b/>
          <w:iCs/>
        </w:rPr>
        <w:t>Scenario S2</w:t>
      </w:r>
      <w:r w:rsidRPr="006876A8">
        <w:rPr>
          <w:iCs/>
        </w:rPr>
        <w:t xml:space="preserve">: </w:t>
      </w:r>
      <w:r w:rsidR="00E62A81" w:rsidRPr="006876A8">
        <w:rPr>
          <w:iCs/>
        </w:rPr>
        <w:t xml:space="preserve">approximately </w:t>
      </w:r>
      <w:r w:rsidRPr="006876A8">
        <w:rPr>
          <w:iCs/>
        </w:rPr>
        <w:t xml:space="preserve">10% DMA, 40% MMA, 60% iAs </w:t>
      </w:r>
      <w:r w:rsidR="006C1361" w:rsidRPr="006876A8">
        <w:rPr>
          <w:iCs/>
        </w:rPr>
        <w:t xml:space="preserve">are </w:t>
      </w:r>
      <w:r w:rsidRPr="006876A8">
        <w:rPr>
          <w:iCs/>
        </w:rPr>
        <w:t>below LOD</w:t>
      </w:r>
      <w:r w:rsidR="00144F19" w:rsidRPr="006876A8">
        <w:rPr>
          <w:iCs/>
        </w:rPr>
        <w:t>, with LOD levels defined using the population 10</w:t>
      </w:r>
      <w:r w:rsidR="00144F19" w:rsidRPr="006876A8">
        <w:rPr>
          <w:iCs/>
          <w:vertAlign w:val="superscript"/>
        </w:rPr>
        <w:t>th</w:t>
      </w:r>
      <w:r w:rsidR="00144F19" w:rsidRPr="006876A8">
        <w:rPr>
          <w:iCs/>
        </w:rPr>
        <w:t xml:space="preserve">, </w:t>
      </w:r>
      <w:r w:rsidR="006D4FE9" w:rsidRPr="006876A8">
        <w:rPr>
          <w:iCs/>
        </w:rPr>
        <w:t>4</w:t>
      </w:r>
      <w:r w:rsidR="00144F19" w:rsidRPr="006876A8">
        <w:rPr>
          <w:iCs/>
        </w:rPr>
        <w:t>0</w:t>
      </w:r>
      <w:r w:rsidR="00144F19" w:rsidRPr="006876A8">
        <w:rPr>
          <w:iCs/>
          <w:vertAlign w:val="superscript"/>
        </w:rPr>
        <w:t>th</w:t>
      </w:r>
      <w:r w:rsidR="00144F19" w:rsidRPr="006876A8">
        <w:rPr>
          <w:iCs/>
        </w:rPr>
        <w:t xml:space="preserve">, and </w:t>
      </w:r>
      <w:r w:rsidR="006D4FE9" w:rsidRPr="006876A8">
        <w:rPr>
          <w:iCs/>
        </w:rPr>
        <w:t>6</w:t>
      </w:r>
      <w:r w:rsidR="00144F19" w:rsidRPr="006876A8">
        <w:rPr>
          <w:iCs/>
        </w:rPr>
        <w:t>0</w:t>
      </w:r>
      <w:r w:rsidR="00144F19" w:rsidRPr="006876A8">
        <w:rPr>
          <w:iCs/>
          <w:vertAlign w:val="superscript"/>
        </w:rPr>
        <w:t>th</w:t>
      </w:r>
      <w:r w:rsidR="00144F19" w:rsidRPr="006876A8">
        <w:rPr>
          <w:iCs/>
        </w:rPr>
        <w:t xml:space="preserve"> percentile of DMA, MMA, and iAs, respectively.</w:t>
      </w:r>
    </w:p>
    <w:p w14:paraId="34D50F08" w14:textId="6BDECC85" w:rsidR="00564207" w:rsidRDefault="00564207" w:rsidP="006876A8">
      <w:pPr>
        <w:widowControl w:val="0"/>
        <w:autoSpaceDE w:val="0"/>
        <w:autoSpaceDN w:val="0"/>
        <w:adjustRightInd w:val="0"/>
        <w:spacing w:after="120" w:line="480" w:lineRule="auto"/>
        <w:ind w:firstLine="720"/>
        <w:rPr>
          <w:iCs/>
        </w:rPr>
      </w:pPr>
      <w:r>
        <w:rPr>
          <w:iCs/>
        </w:rPr>
        <w:t xml:space="preserve">In each dataset with censored observations, we applied the following four methods to handle the data below LODs, including </w:t>
      </w:r>
    </w:p>
    <w:p w14:paraId="6CAE7554" w14:textId="0817CCEA" w:rsidR="00564207" w:rsidRDefault="006C1361" w:rsidP="00564207">
      <w:pPr>
        <w:pStyle w:val="ListParagraph"/>
        <w:widowControl w:val="0"/>
        <w:numPr>
          <w:ilvl w:val="0"/>
          <w:numId w:val="9"/>
        </w:numPr>
        <w:autoSpaceDE w:val="0"/>
        <w:autoSpaceDN w:val="0"/>
        <w:adjustRightInd w:val="0"/>
        <w:spacing w:after="120" w:line="480" w:lineRule="auto"/>
        <w:rPr>
          <w:iCs/>
        </w:rPr>
      </w:pPr>
      <w:r>
        <w:rPr>
          <w:iCs/>
        </w:rPr>
        <w:t>substitution</w:t>
      </w:r>
      <w:r w:rsidR="00564207" w:rsidRPr="00CC0CDF">
        <w:rPr>
          <w:iCs/>
        </w:rPr>
        <w:t xml:space="preserve"> with </w:t>
      </w:r>
      <w:bookmarkStart w:id="3" w:name="OLE_LINK9"/>
      <w:bookmarkStart w:id="4" w:name="OLE_LINK10"/>
      <w:r w:rsidR="00564207" w:rsidRPr="00CC0CDF">
        <w:rPr>
          <w:iCs/>
        </w:rPr>
        <w:t>LOD/</w:t>
      </w:r>
      <m:oMath>
        <m:rad>
          <m:radPr>
            <m:degHide m:val="1"/>
            <m:ctrlPr>
              <w:rPr>
                <w:rFonts w:ascii="Cambria Math" w:hAnsi="Cambria Math"/>
                <w:i/>
                <w:iCs/>
                <w:lang w:eastAsia="zh-CN"/>
              </w:rPr>
            </m:ctrlPr>
          </m:radPr>
          <m:deg/>
          <m:e>
            <m:r>
              <w:rPr>
                <w:rFonts w:ascii="Cambria Math" w:hAnsi="Cambria Math"/>
              </w:rPr>
              <m:t>2</m:t>
            </m:r>
          </m:e>
        </m:rad>
      </m:oMath>
      <w:r w:rsidR="00DA09E2">
        <w:rPr>
          <w:iCs/>
          <w:lang w:eastAsia="zh-CN"/>
        </w:rPr>
        <w:t>.</w:t>
      </w:r>
      <w:bookmarkEnd w:id="3"/>
      <w:bookmarkEnd w:id="4"/>
    </w:p>
    <w:p w14:paraId="7BD80608" w14:textId="4EFCA4FE" w:rsidR="00564207" w:rsidRDefault="000C314F" w:rsidP="00564207">
      <w:pPr>
        <w:pStyle w:val="ListParagraph"/>
        <w:widowControl w:val="0"/>
        <w:numPr>
          <w:ilvl w:val="0"/>
          <w:numId w:val="9"/>
        </w:numPr>
        <w:autoSpaceDE w:val="0"/>
        <w:autoSpaceDN w:val="0"/>
        <w:adjustRightInd w:val="0"/>
        <w:spacing w:after="120" w:line="480" w:lineRule="auto"/>
        <w:rPr>
          <w:iCs/>
        </w:rPr>
      </w:pPr>
      <w:r w:rsidRPr="000C314F">
        <w:rPr>
          <w:b/>
          <w:iCs/>
        </w:rPr>
        <w:t>MICE-OLS</w:t>
      </w:r>
      <w:r>
        <w:rPr>
          <w:iCs/>
        </w:rPr>
        <w:t xml:space="preserve">: </w:t>
      </w:r>
      <w:r w:rsidR="00564207">
        <w:rPr>
          <w:iCs/>
        </w:rPr>
        <w:t>MI</w:t>
      </w:r>
      <w:r w:rsidR="00564207" w:rsidRPr="00CC0CDF">
        <w:rPr>
          <w:iCs/>
        </w:rPr>
        <w:t xml:space="preserve"> </w:t>
      </w:r>
      <w:r w:rsidR="00564207">
        <w:rPr>
          <w:iCs/>
        </w:rPr>
        <w:t xml:space="preserve">using MICE, implemented using </w:t>
      </w:r>
      <w:proofErr w:type="spellStart"/>
      <w:r w:rsidR="00564207">
        <w:rPr>
          <w:iCs/>
        </w:rPr>
        <w:t>IVEware</w:t>
      </w:r>
      <w:proofErr w:type="spellEnd"/>
      <w:r>
        <w:rPr>
          <w:iCs/>
        </w:rPr>
        <w:t xml:space="preserve"> </w:t>
      </w:r>
      <w:r w:rsidR="006C1361">
        <w:rPr>
          <w:iCs/>
        </w:rPr>
        <w:t xml:space="preserve">package </w:t>
      </w:r>
      <w:r w:rsidR="00564207">
        <w:rPr>
          <w:iCs/>
        </w:rPr>
        <w:t>called from R</w:t>
      </w:r>
      <w:r w:rsidR="004E1D7F">
        <w:rPr>
          <w:iCs/>
        </w:rPr>
        <w:t>.</w:t>
      </w:r>
      <w:r w:rsidR="00A32AB1">
        <w:rPr>
          <w:iCs/>
        </w:rPr>
        <w:fldChar w:fldCharType="begin"/>
      </w:r>
      <w:r w:rsidR="006A3F13">
        <w:rPr>
          <w:iCs/>
        </w:rPr>
        <w:instrText xml:space="preserve"> ADDIN ZOTERO_ITEM CSL_CITATION {"citationID":"oq0hNE7Y","properties":{"formattedCitation":"\\super 30\\nosupersub{}","plainCitation":"30","noteIndex":0},"citationItems":[{"id":171,"uris":["http://zotero.org/users/7675815/items/HCC6E8D4"],"uri":["http://zotero.org/users/7675815/items/HCC6E8D4"],"itemData":{"id":171,"type":"book","ISBN":"1-4987-7017-7","publisher":"CRC Press","title":"Multiple imputation in practice: With examples using IVEware","author":[{"family":"Raghunathan","given":"Trivellore"},{"family":"Berglund","given":"Patricia A."},{"family":"Solenberger","given":"Peter W."}],"issued":{"date-parts":[["2018"]]}}}],"schema":"https://github.com/citation-style-language/schema/raw/master/csl-citation.json"} </w:instrText>
      </w:r>
      <w:r w:rsidR="00A32AB1">
        <w:rPr>
          <w:iCs/>
        </w:rPr>
        <w:fldChar w:fldCharType="separate"/>
      </w:r>
      <w:r w:rsidR="006A3F13" w:rsidRPr="006A3F13">
        <w:rPr>
          <w:vertAlign w:val="superscript"/>
        </w:rPr>
        <w:t>30</w:t>
      </w:r>
      <w:r w:rsidR="00A32AB1">
        <w:rPr>
          <w:iCs/>
        </w:rPr>
        <w:fldChar w:fldCharType="end"/>
      </w:r>
      <w:r w:rsidR="006D4FE9">
        <w:rPr>
          <w:iCs/>
        </w:rPr>
        <w:t xml:space="preserve"> </w:t>
      </w:r>
      <w:r>
        <w:rPr>
          <w:iCs/>
        </w:rPr>
        <w:t>Ordinary least squares (OLS)</w:t>
      </w:r>
      <w:r w:rsidR="00564207">
        <w:rPr>
          <w:iCs/>
        </w:rPr>
        <w:t xml:space="preserve"> regression was used in the imputation of each arsenic compound with imputed values truncated by LODs.</w:t>
      </w:r>
    </w:p>
    <w:p w14:paraId="296C5E1D" w14:textId="5BE66531" w:rsidR="00564207" w:rsidRDefault="000C314F" w:rsidP="00564207">
      <w:pPr>
        <w:pStyle w:val="ListParagraph"/>
        <w:widowControl w:val="0"/>
        <w:numPr>
          <w:ilvl w:val="0"/>
          <w:numId w:val="9"/>
        </w:numPr>
        <w:autoSpaceDE w:val="0"/>
        <w:autoSpaceDN w:val="0"/>
        <w:adjustRightInd w:val="0"/>
        <w:spacing w:after="120" w:line="480" w:lineRule="auto"/>
        <w:rPr>
          <w:iCs/>
        </w:rPr>
      </w:pPr>
      <w:r w:rsidRPr="000C314F">
        <w:rPr>
          <w:b/>
          <w:iCs/>
        </w:rPr>
        <w:t>MICE-UTR</w:t>
      </w:r>
      <w:r>
        <w:rPr>
          <w:iCs/>
        </w:rPr>
        <w:t xml:space="preserve">: </w:t>
      </w:r>
      <w:r w:rsidR="00564207">
        <w:rPr>
          <w:iCs/>
        </w:rPr>
        <w:t xml:space="preserve">MI using MICE, implemented using the “mice” package in R with </w:t>
      </w:r>
      <w:r w:rsidR="000B1D81">
        <w:rPr>
          <w:iCs/>
        </w:rPr>
        <w:t>our</w:t>
      </w:r>
      <w:r w:rsidR="00564207">
        <w:rPr>
          <w:iCs/>
        </w:rPr>
        <w:t xml:space="preserve"> new “</w:t>
      </w:r>
      <w:proofErr w:type="spellStart"/>
      <w:r w:rsidR="00564207">
        <w:rPr>
          <w:iCs/>
        </w:rPr>
        <w:t>tobit</w:t>
      </w:r>
      <w:proofErr w:type="spellEnd"/>
      <w:r w:rsidR="00564207">
        <w:rPr>
          <w:iCs/>
        </w:rPr>
        <w:t>” function. Univariate Tobit regression</w:t>
      </w:r>
      <w:r>
        <w:rPr>
          <w:iCs/>
        </w:rPr>
        <w:t xml:space="preserve"> (UTR)</w:t>
      </w:r>
      <w:r w:rsidR="00564207">
        <w:rPr>
          <w:iCs/>
        </w:rPr>
        <w:t xml:space="preserve"> was used in the imputation of each arsenic compound with imputed values truncated by LODs. </w:t>
      </w:r>
    </w:p>
    <w:p w14:paraId="3D634618" w14:textId="51A2155F" w:rsidR="00564207" w:rsidRPr="004D2717" w:rsidRDefault="00A91D8D" w:rsidP="00564207">
      <w:pPr>
        <w:pStyle w:val="ListParagraph"/>
        <w:widowControl w:val="0"/>
        <w:numPr>
          <w:ilvl w:val="0"/>
          <w:numId w:val="9"/>
        </w:numPr>
        <w:autoSpaceDE w:val="0"/>
        <w:autoSpaceDN w:val="0"/>
        <w:adjustRightInd w:val="0"/>
        <w:spacing w:after="120" w:line="480" w:lineRule="auto"/>
        <w:rPr>
          <w:iCs/>
        </w:rPr>
      </w:pPr>
      <w:r>
        <w:rPr>
          <w:b/>
          <w:iCs/>
        </w:rPr>
        <w:t>B</w:t>
      </w:r>
      <w:r w:rsidR="000C314F" w:rsidRPr="000C314F">
        <w:rPr>
          <w:b/>
          <w:iCs/>
        </w:rPr>
        <w:t>MTR</w:t>
      </w:r>
      <w:r w:rsidR="000C314F">
        <w:rPr>
          <w:iCs/>
        </w:rPr>
        <w:t xml:space="preserve">: </w:t>
      </w:r>
      <w:r w:rsidR="00564207">
        <w:rPr>
          <w:iCs/>
        </w:rPr>
        <w:t>MI using the Bayesian multivariate Tobit regression</w:t>
      </w:r>
      <w:r w:rsidR="000C314F">
        <w:rPr>
          <w:iCs/>
        </w:rPr>
        <w:t xml:space="preserve"> (</w:t>
      </w:r>
      <w:r>
        <w:rPr>
          <w:iCs/>
        </w:rPr>
        <w:t>B</w:t>
      </w:r>
      <w:r w:rsidR="000C314F">
        <w:rPr>
          <w:iCs/>
        </w:rPr>
        <w:t>MTR)</w:t>
      </w:r>
      <w:r w:rsidR="00564207">
        <w:rPr>
          <w:iCs/>
        </w:rPr>
        <w:t xml:space="preserve">, implemented using </w:t>
      </w:r>
      <w:r w:rsidR="000B1D81">
        <w:rPr>
          <w:iCs/>
        </w:rPr>
        <w:t xml:space="preserve">the </w:t>
      </w:r>
      <w:r w:rsidR="000B1D81">
        <w:t>“</w:t>
      </w:r>
      <w:proofErr w:type="spellStart"/>
      <w:r w:rsidR="000B1D81">
        <w:t>bmvTobit</w:t>
      </w:r>
      <w:proofErr w:type="spellEnd"/>
      <w:r w:rsidR="000B1D81">
        <w:t xml:space="preserve">” package </w:t>
      </w:r>
      <w:r w:rsidR="00564207">
        <w:rPr>
          <w:iCs/>
        </w:rPr>
        <w:t xml:space="preserve">in R with imputed values below LODs. </w:t>
      </w:r>
    </w:p>
    <w:p w14:paraId="2484CC1B" w14:textId="0A469596" w:rsidR="00564207" w:rsidRDefault="00DA09E2" w:rsidP="00564207">
      <w:pPr>
        <w:widowControl w:val="0"/>
        <w:autoSpaceDE w:val="0"/>
        <w:autoSpaceDN w:val="0"/>
        <w:adjustRightInd w:val="0"/>
        <w:spacing w:after="120" w:line="480" w:lineRule="auto"/>
        <w:rPr>
          <w:iCs/>
        </w:rPr>
      </w:pPr>
      <w:r>
        <w:rPr>
          <w:iCs/>
        </w:rPr>
        <w:t>T</w:t>
      </w:r>
      <w:r w:rsidR="00564207" w:rsidRPr="00F75A10">
        <w:rPr>
          <w:iCs/>
        </w:rPr>
        <w:t>he imputation model</w:t>
      </w:r>
      <w:r w:rsidR="00564207">
        <w:rPr>
          <w:iCs/>
        </w:rPr>
        <w:t>s</w:t>
      </w:r>
      <w:r w:rsidR="00564207" w:rsidRPr="00F75A10">
        <w:rPr>
          <w:iCs/>
        </w:rPr>
        <w:t xml:space="preserve"> </w:t>
      </w:r>
      <w:r>
        <w:rPr>
          <w:iCs/>
        </w:rPr>
        <w:t xml:space="preserve">in (2)-(4) </w:t>
      </w:r>
      <w:r w:rsidR="00BF7CEE">
        <w:rPr>
          <w:iCs/>
        </w:rPr>
        <w:t>regress</w:t>
      </w:r>
      <w:r w:rsidR="003A6422">
        <w:rPr>
          <w:iCs/>
        </w:rPr>
        <w:t>ed</w:t>
      </w:r>
      <w:r w:rsidR="00BF7CEE">
        <w:rPr>
          <w:iCs/>
        </w:rPr>
        <w:t xml:space="preserve"> on</w:t>
      </w:r>
      <w:r w:rsidR="00564207">
        <w:rPr>
          <w:iCs/>
        </w:rPr>
        <w:t xml:space="preserve"> </w:t>
      </w:r>
      <w:r w:rsidR="00550C54">
        <w:rPr>
          <w:iCs/>
        </w:rPr>
        <w:t>9</w:t>
      </w:r>
      <w:r w:rsidR="00564207" w:rsidRPr="00F75A10">
        <w:rPr>
          <w:iCs/>
        </w:rPr>
        <w:t xml:space="preserve"> covariates</w:t>
      </w:r>
      <w:r w:rsidR="00564207">
        <w:rPr>
          <w:iCs/>
        </w:rPr>
        <w:t>,</w:t>
      </w:r>
      <w:r w:rsidR="00564207" w:rsidRPr="00F75A10">
        <w:rPr>
          <w:iCs/>
        </w:rPr>
        <w:t xml:space="preserve"> including age, </w:t>
      </w:r>
      <w:r w:rsidR="00550C54">
        <w:rPr>
          <w:iCs/>
        </w:rPr>
        <w:t>gender</w:t>
      </w:r>
      <w:r w:rsidR="00564207" w:rsidRPr="00F75A10">
        <w:rPr>
          <w:iCs/>
        </w:rPr>
        <w:t xml:space="preserve">, </w:t>
      </w:r>
      <w:r w:rsidR="00564207">
        <w:rPr>
          <w:iCs/>
        </w:rPr>
        <w:t>BMI</w:t>
      </w:r>
      <w:r w:rsidR="00564207" w:rsidRPr="00F75A10">
        <w:rPr>
          <w:iCs/>
        </w:rPr>
        <w:t xml:space="preserve">, urinary </w:t>
      </w:r>
      <w:r w:rsidR="00564207" w:rsidRPr="00F75A10">
        <w:rPr>
          <w:iCs/>
        </w:rPr>
        <w:lastRenderedPageBreak/>
        <w:t xml:space="preserve">creatinine, </w:t>
      </w:r>
      <w:r w:rsidR="00550C54">
        <w:t>urinary arsenobetaine</w:t>
      </w:r>
      <w:r w:rsidR="00564207" w:rsidRPr="00F75A10">
        <w:rPr>
          <w:iCs/>
        </w:rPr>
        <w:t xml:space="preserve">, </w:t>
      </w:r>
      <w:r w:rsidR="00550C54">
        <w:t>urinary total arsenic, daily rice intake, daily juice intake, and daily wine/beer intake</w:t>
      </w:r>
      <w:r w:rsidR="00760A96">
        <w:t>, and each model generate</w:t>
      </w:r>
      <w:r w:rsidR="003A6422">
        <w:t>d</w:t>
      </w:r>
      <w:r w:rsidR="00760A96">
        <w:t xml:space="preserve"> 50 imputations for data below </w:t>
      </w:r>
      <w:r w:rsidR="0016482F">
        <w:t xml:space="preserve">the </w:t>
      </w:r>
      <w:r w:rsidR="00760A96">
        <w:t>LODs</w:t>
      </w:r>
      <w:r w:rsidR="00550C54">
        <w:t xml:space="preserve">. </w:t>
      </w:r>
    </w:p>
    <w:p w14:paraId="7132281B" w14:textId="2C2915EA" w:rsidR="001E3F35" w:rsidRDefault="00564207" w:rsidP="006876A8">
      <w:pPr>
        <w:widowControl w:val="0"/>
        <w:autoSpaceDE w:val="0"/>
        <w:autoSpaceDN w:val="0"/>
        <w:adjustRightInd w:val="0"/>
        <w:spacing w:after="120" w:line="480" w:lineRule="auto"/>
        <w:ind w:firstLine="720"/>
        <w:rPr>
          <w:iCs/>
        </w:rPr>
      </w:pPr>
      <w:r>
        <w:rPr>
          <w:iCs/>
        </w:rPr>
        <w:t xml:space="preserve">The imputed data sets </w:t>
      </w:r>
      <w:r w:rsidR="003A6422">
        <w:rPr>
          <w:iCs/>
        </w:rPr>
        <w:t>were</w:t>
      </w:r>
      <w:r>
        <w:rPr>
          <w:iCs/>
        </w:rPr>
        <w:t xml:space="preserve"> then used to estimate 5</w:t>
      </w:r>
      <w:r w:rsidRPr="00825025">
        <w:rPr>
          <w:iCs/>
          <w:vertAlign w:val="superscript"/>
        </w:rPr>
        <w:t>th</w:t>
      </w:r>
      <w:r>
        <w:rPr>
          <w:iCs/>
        </w:rPr>
        <w:t xml:space="preserve"> percentile, </w:t>
      </w:r>
      <w:r w:rsidR="00C86EB5">
        <w:rPr>
          <w:iCs/>
        </w:rPr>
        <w:t>1</w:t>
      </w:r>
      <w:r w:rsidR="00C86EB5" w:rsidRPr="00C86EB5">
        <w:rPr>
          <w:iCs/>
          <w:vertAlign w:val="superscript"/>
        </w:rPr>
        <w:t>st</w:t>
      </w:r>
      <w:r w:rsidR="006D4FE9">
        <w:rPr>
          <w:iCs/>
        </w:rPr>
        <w:t xml:space="preserve"> quartile</w:t>
      </w:r>
      <w:r>
        <w:rPr>
          <w:iCs/>
        </w:rPr>
        <w:t>, median</w:t>
      </w:r>
      <w:r w:rsidR="00BF7CEE">
        <w:rPr>
          <w:iCs/>
        </w:rPr>
        <w:t xml:space="preserve"> (only for Scenario S2)</w:t>
      </w:r>
      <w:r>
        <w:rPr>
          <w:iCs/>
        </w:rPr>
        <w:t xml:space="preserve">, and geometric mean of MMA, DMA, and iAs. An ordinary least squares regression </w:t>
      </w:r>
      <w:r w:rsidR="00610C2B">
        <w:rPr>
          <w:iCs/>
        </w:rPr>
        <w:t>on</w:t>
      </w:r>
      <w:r>
        <w:rPr>
          <w:iCs/>
        </w:rPr>
        <w:t xml:space="preserve"> age </w:t>
      </w:r>
      <w:r w:rsidR="003A6422">
        <w:rPr>
          <w:iCs/>
        </w:rPr>
        <w:t>was</w:t>
      </w:r>
      <w:r>
        <w:rPr>
          <w:iCs/>
        </w:rPr>
        <w:t xml:space="preserve"> also conducted</w:t>
      </w:r>
      <w:r w:rsidR="003A6422">
        <w:rPr>
          <w:iCs/>
        </w:rPr>
        <w:t xml:space="preserve"> for each log-transformed arsenic specie</w:t>
      </w:r>
      <w:r>
        <w:rPr>
          <w:iCs/>
        </w:rPr>
        <w:t xml:space="preserve">. </w:t>
      </w:r>
      <w:r w:rsidR="00A26049">
        <w:rPr>
          <w:iCs/>
        </w:rPr>
        <w:t>We use</w:t>
      </w:r>
      <w:r w:rsidR="003A6422">
        <w:rPr>
          <w:iCs/>
        </w:rPr>
        <w:t>d</w:t>
      </w:r>
      <w:r w:rsidR="00A26049">
        <w:rPr>
          <w:iCs/>
        </w:rPr>
        <w:t xml:space="preserve"> violin plots to show the estimates of each method across the 500 simulations and compare to the estimates using the full </w:t>
      </w:r>
      <w:r w:rsidR="00BF7CEE">
        <w:rPr>
          <w:iCs/>
        </w:rPr>
        <w:t xml:space="preserve">SHFS </w:t>
      </w:r>
      <w:r w:rsidR="00A26049">
        <w:rPr>
          <w:iCs/>
        </w:rPr>
        <w:t>data</w:t>
      </w:r>
      <w:r w:rsidR="00BF7CEE">
        <w:rPr>
          <w:iCs/>
        </w:rPr>
        <w:t>set</w:t>
      </w:r>
      <w:r w:rsidR="00A26049">
        <w:rPr>
          <w:iCs/>
        </w:rPr>
        <w:t xml:space="preserve"> of 1,602 observations</w:t>
      </w:r>
      <w:r w:rsidR="006C1361">
        <w:rPr>
          <w:iCs/>
        </w:rPr>
        <w:t xml:space="preserve"> (the </w:t>
      </w:r>
      <w:proofErr w:type="spellStart"/>
      <w:r w:rsidR="006C1361">
        <w:rPr>
          <w:iCs/>
        </w:rPr>
        <w:t>benchmarck</w:t>
      </w:r>
      <w:proofErr w:type="spellEnd"/>
      <w:r w:rsidR="006C1361">
        <w:rPr>
          <w:iCs/>
        </w:rPr>
        <w:t xml:space="preserve"> measure if no LOD issues)</w:t>
      </w:r>
      <w:r w:rsidR="00A26049">
        <w:rPr>
          <w:iCs/>
        </w:rPr>
        <w:t xml:space="preserve">. </w:t>
      </w:r>
      <w:r w:rsidR="006C1361">
        <w:rPr>
          <w:iCs/>
        </w:rPr>
        <w:t xml:space="preserve">A violin plot is similar to a box plot, but shows the full distribution of all the estimates from the 500 simulations. Wider sections of the violin plot represent a higher probability that estimates take on the given value. </w:t>
      </w:r>
      <w:r>
        <w:rPr>
          <w:iCs/>
        </w:rPr>
        <w:t>We also calculate</w:t>
      </w:r>
      <w:r w:rsidR="003A6422">
        <w:rPr>
          <w:iCs/>
        </w:rPr>
        <w:t xml:space="preserve">d </w:t>
      </w:r>
      <w:r>
        <w:rPr>
          <w:iCs/>
        </w:rPr>
        <w:t xml:space="preserve">the coverage rate of 95% </w:t>
      </w:r>
      <w:r w:rsidR="00545201">
        <w:rPr>
          <w:iCs/>
        </w:rPr>
        <w:t>CI</w:t>
      </w:r>
      <w:r>
        <w:rPr>
          <w:iCs/>
        </w:rPr>
        <w:t xml:space="preserve"> associated with each method, with the coverage rate defined as proportion of the replicates of simulation</w:t>
      </w:r>
      <w:r w:rsidR="00BF7CEE">
        <w:rPr>
          <w:iCs/>
        </w:rPr>
        <w:t>s</w:t>
      </w:r>
      <w:r>
        <w:rPr>
          <w:iCs/>
        </w:rPr>
        <w:t xml:space="preserve"> with</w:t>
      </w:r>
      <w:r w:rsidR="00A26049">
        <w:rPr>
          <w:iCs/>
        </w:rPr>
        <w:t xml:space="preserve"> </w:t>
      </w:r>
      <w:r>
        <w:rPr>
          <w:iCs/>
        </w:rPr>
        <w:t>the 95% CI</w:t>
      </w:r>
      <w:r w:rsidR="00B901E8">
        <w:rPr>
          <w:iCs/>
        </w:rPr>
        <w:t xml:space="preserve"> cover</w:t>
      </w:r>
      <w:r w:rsidR="00E37947">
        <w:rPr>
          <w:iCs/>
        </w:rPr>
        <w:t xml:space="preserve">s the </w:t>
      </w:r>
      <w:proofErr w:type="spellStart"/>
      <w:r w:rsidR="006C1361">
        <w:rPr>
          <w:iCs/>
        </w:rPr>
        <w:t>benmarck</w:t>
      </w:r>
      <w:proofErr w:type="spellEnd"/>
      <w:r w:rsidR="006C1361">
        <w:rPr>
          <w:iCs/>
        </w:rPr>
        <w:t xml:space="preserve"> measures</w:t>
      </w:r>
      <w:r w:rsidR="00E37947">
        <w:rPr>
          <w:iCs/>
        </w:rPr>
        <w:t xml:space="preserve"> </w:t>
      </w:r>
      <w:r w:rsidR="006C1361">
        <w:rPr>
          <w:iCs/>
        </w:rPr>
        <w:t xml:space="preserve">calculated </w:t>
      </w:r>
      <w:r w:rsidR="00E37947">
        <w:rPr>
          <w:iCs/>
        </w:rPr>
        <w:t xml:space="preserve">using the full </w:t>
      </w:r>
      <w:r w:rsidR="00BF7CEE">
        <w:rPr>
          <w:iCs/>
        </w:rPr>
        <w:t>SHFS dataset</w:t>
      </w:r>
      <w:r>
        <w:rPr>
          <w:iCs/>
        </w:rPr>
        <w:t xml:space="preserve">. </w:t>
      </w:r>
    </w:p>
    <w:p w14:paraId="07E2FB57" w14:textId="77777777" w:rsidR="00D929ED" w:rsidRDefault="00D929ED" w:rsidP="00564207">
      <w:pPr>
        <w:widowControl w:val="0"/>
        <w:autoSpaceDE w:val="0"/>
        <w:autoSpaceDN w:val="0"/>
        <w:adjustRightInd w:val="0"/>
        <w:spacing w:after="120" w:line="480" w:lineRule="auto"/>
        <w:rPr>
          <w:iCs/>
        </w:rPr>
      </w:pPr>
    </w:p>
    <w:p w14:paraId="47BE9D3F" w14:textId="61E20385" w:rsidR="001E3F35" w:rsidRDefault="001E3F35" w:rsidP="00E33AB2">
      <w:pPr>
        <w:pStyle w:val="Heading2"/>
      </w:pPr>
      <w:r>
        <w:t>2.4</w:t>
      </w:r>
      <w:r w:rsidRPr="00F75A10">
        <w:t xml:space="preserve"> App</w:t>
      </w:r>
      <w:r>
        <w:t>lication Using</w:t>
      </w:r>
      <w:r w:rsidRPr="00F75A10">
        <w:t xml:space="preserve"> </w:t>
      </w:r>
      <w:r>
        <w:t>the NHANES 2013-2014</w:t>
      </w:r>
    </w:p>
    <w:p w14:paraId="483425AC" w14:textId="2A824ECD" w:rsidR="00BA4309" w:rsidRDefault="001E3F35" w:rsidP="006876A8">
      <w:pPr>
        <w:widowControl w:val="0"/>
        <w:autoSpaceDE w:val="0"/>
        <w:autoSpaceDN w:val="0"/>
        <w:adjustRightInd w:val="0"/>
        <w:spacing w:line="480" w:lineRule="auto"/>
        <w:rPr>
          <w:iCs/>
        </w:rPr>
      </w:pPr>
      <w:r w:rsidRPr="00F75A10">
        <w:rPr>
          <w:iCs/>
        </w:rPr>
        <w:t xml:space="preserve">We </w:t>
      </w:r>
      <w:r>
        <w:rPr>
          <w:iCs/>
        </w:rPr>
        <w:t xml:space="preserve">applied the </w:t>
      </w:r>
      <w:r w:rsidR="00A91D8D">
        <w:rPr>
          <w:iCs/>
        </w:rPr>
        <w:t>B</w:t>
      </w:r>
      <w:r>
        <w:rPr>
          <w:iCs/>
        </w:rPr>
        <w:t>MTR method to</w:t>
      </w:r>
      <w:r w:rsidRPr="00F75A10">
        <w:rPr>
          <w:iCs/>
        </w:rPr>
        <w:t xml:space="preserve"> the NHANES 2013-2014 </w:t>
      </w:r>
      <w:r>
        <w:rPr>
          <w:iCs/>
        </w:rPr>
        <w:t>data for estimating 5</w:t>
      </w:r>
      <w:r w:rsidRPr="001E3F35">
        <w:rPr>
          <w:iCs/>
          <w:vertAlign w:val="superscript"/>
        </w:rPr>
        <w:t>th</w:t>
      </w:r>
      <w:r>
        <w:rPr>
          <w:iCs/>
        </w:rPr>
        <w:t xml:space="preserve"> percentile,</w:t>
      </w:r>
      <w:r w:rsidR="00C86EB5">
        <w:rPr>
          <w:iCs/>
        </w:rPr>
        <w:t xml:space="preserve"> 1</w:t>
      </w:r>
      <w:r w:rsidR="00C86EB5" w:rsidRPr="00C86EB5">
        <w:rPr>
          <w:iCs/>
          <w:vertAlign w:val="superscript"/>
        </w:rPr>
        <w:t>st</w:t>
      </w:r>
      <w:r w:rsidR="00C86EB5">
        <w:rPr>
          <w:iCs/>
        </w:rPr>
        <w:t xml:space="preserve"> </w:t>
      </w:r>
      <w:r w:rsidR="005554B7">
        <w:rPr>
          <w:iCs/>
        </w:rPr>
        <w:t>quartile</w:t>
      </w:r>
      <w:r>
        <w:rPr>
          <w:iCs/>
        </w:rPr>
        <w:t xml:space="preserve">, and geometric mean of </w:t>
      </w:r>
      <w:r w:rsidR="00D929ED">
        <w:rPr>
          <w:iCs/>
        </w:rPr>
        <w:t xml:space="preserve">urinary </w:t>
      </w:r>
      <w:r>
        <w:rPr>
          <w:iCs/>
        </w:rPr>
        <w:t xml:space="preserve">DMA, MMA, and iAs, and compared to the methods using </w:t>
      </w:r>
      <w:r w:rsidRPr="00CC0CDF">
        <w:rPr>
          <w:iCs/>
        </w:rPr>
        <w:t>LOD/</w:t>
      </w:r>
      <m:oMath>
        <m:rad>
          <m:radPr>
            <m:degHide m:val="1"/>
            <m:ctrlPr>
              <w:rPr>
                <w:rFonts w:ascii="Cambria Math" w:hAnsi="Cambria Math"/>
                <w:i/>
                <w:iCs/>
              </w:rPr>
            </m:ctrlPr>
          </m:radPr>
          <m:deg/>
          <m:e>
            <m:r>
              <w:rPr>
                <w:rFonts w:ascii="Cambria Math" w:hAnsi="Cambria Math"/>
              </w:rPr>
              <m:t>2</m:t>
            </m:r>
          </m:e>
        </m:rad>
      </m:oMath>
      <w:r>
        <w:rPr>
          <w:iCs/>
        </w:rPr>
        <w:t>, MICE-OLS, and MICE-UTR</w:t>
      </w:r>
      <w:r w:rsidRPr="00F75A10">
        <w:rPr>
          <w:iCs/>
        </w:rPr>
        <w:t xml:space="preserve">. The point </w:t>
      </w:r>
      <w:r w:rsidR="00BF5B16">
        <w:rPr>
          <w:iCs/>
        </w:rPr>
        <w:t xml:space="preserve">estimate </w:t>
      </w:r>
      <w:r w:rsidRPr="00F75A10">
        <w:rPr>
          <w:iCs/>
        </w:rPr>
        <w:t xml:space="preserve">and </w:t>
      </w:r>
      <w:r w:rsidR="00BF5B16">
        <w:rPr>
          <w:iCs/>
        </w:rPr>
        <w:t>95% CI</w:t>
      </w:r>
      <w:r w:rsidRPr="00F75A10">
        <w:rPr>
          <w:iCs/>
        </w:rPr>
        <w:t xml:space="preserve"> of the regression slope of log-transformed urinary arsenic </w:t>
      </w:r>
      <w:r w:rsidR="00D929ED">
        <w:rPr>
          <w:iCs/>
        </w:rPr>
        <w:t>measure</w:t>
      </w:r>
      <w:r w:rsidRPr="00F75A10">
        <w:rPr>
          <w:iCs/>
        </w:rPr>
        <w:t xml:space="preserve"> on age were </w:t>
      </w:r>
      <w:r w:rsidR="00D929ED">
        <w:rPr>
          <w:iCs/>
        </w:rPr>
        <w:t xml:space="preserve">also </w:t>
      </w:r>
      <w:r w:rsidRPr="00F75A10">
        <w:rPr>
          <w:iCs/>
        </w:rPr>
        <w:t>computed for each</w:t>
      </w:r>
      <w:r w:rsidR="00F5341C">
        <w:rPr>
          <w:iCs/>
        </w:rPr>
        <w:t xml:space="preserve"> arsenic </w:t>
      </w:r>
      <w:r w:rsidR="00BF5B16">
        <w:rPr>
          <w:iCs/>
        </w:rPr>
        <w:t>specie</w:t>
      </w:r>
      <w:r w:rsidRPr="00F75A10">
        <w:rPr>
          <w:iCs/>
        </w:rPr>
        <w:t xml:space="preserve">.  </w:t>
      </w:r>
      <w:r w:rsidR="00F5341C">
        <w:rPr>
          <w:iCs/>
        </w:rPr>
        <w:t xml:space="preserve">All the </w:t>
      </w:r>
      <w:proofErr w:type="spellStart"/>
      <w:r w:rsidR="00F5341C">
        <w:rPr>
          <w:iCs/>
        </w:rPr>
        <w:t>statisyical</w:t>
      </w:r>
      <w:proofErr w:type="spellEnd"/>
      <w:r w:rsidR="00F5341C">
        <w:rPr>
          <w:iCs/>
        </w:rPr>
        <w:t xml:space="preserve"> analyses</w:t>
      </w:r>
      <w:r w:rsidRPr="00F75A10">
        <w:rPr>
          <w:iCs/>
        </w:rPr>
        <w:t xml:space="preserve"> account</w:t>
      </w:r>
      <w:r w:rsidR="006B4E21">
        <w:rPr>
          <w:iCs/>
        </w:rPr>
        <w:t>ed</w:t>
      </w:r>
      <w:r w:rsidRPr="00F75A10">
        <w:rPr>
          <w:iCs/>
        </w:rPr>
        <w:t xml:space="preserve"> for the complex </w:t>
      </w:r>
      <w:r w:rsidR="00F5341C">
        <w:rPr>
          <w:iCs/>
        </w:rPr>
        <w:t xml:space="preserve">survey </w:t>
      </w:r>
      <w:r w:rsidRPr="00F75A10">
        <w:rPr>
          <w:iCs/>
        </w:rPr>
        <w:t>design in NHANES.</w:t>
      </w:r>
    </w:p>
    <w:p w14:paraId="2B453414" w14:textId="77777777" w:rsidR="006876A8" w:rsidRPr="006876A8" w:rsidRDefault="006876A8" w:rsidP="006876A8">
      <w:pPr>
        <w:widowControl w:val="0"/>
        <w:autoSpaceDE w:val="0"/>
        <w:autoSpaceDN w:val="0"/>
        <w:adjustRightInd w:val="0"/>
        <w:spacing w:line="480" w:lineRule="auto"/>
        <w:rPr>
          <w:iCs/>
        </w:rPr>
      </w:pPr>
    </w:p>
    <w:p w14:paraId="734047D6" w14:textId="7B7164C7" w:rsidR="00564207" w:rsidRPr="00391F27" w:rsidRDefault="001E3F35" w:rsidP="00564207">
      <w:pPr>
        <w:widowControl w:val="0"/>
        <w:autoSpaceDE w:val="0"/>
        <w:autoSpaceDN w:val="0"/>
        <w:adjustRightInd w:val="0"/>
        <w:spacing w:after="120" w:line="480" w:lineRule="auto"/>
        <w:rPr>
          <w:b/>
        </w:rPr>
      </w:pPr>
      <w:r w:rsidRPr="00391F27">
        <w:rPr>
          <w:b/>
        </w:rPr>
        <w:t>3.</w:t>
      </w:r>
      <w:r w:rsidR="00564207" w:rsidRPr="00391F27">
        <w:rPr>
          <w:b/>
        </w:rPr>
        <w:t xml:space="preserve"> Results</w:t>
      </w:r>
    </w:p>
    <w:p w14:paraId="12A0AD52" w14:textId="13D83BCD" w:rsidR="006B209E" w:rsidRDefault="006B209E" w:rsidP="00564207">
      <w:pPr>
        <w:widowControl w:val="0"/>
        <w:autoSpaceDE w:val="0"/>
        <w:autoSpaceDN w:val="0"/>
        <w:adjustRightInd w:val="0"/>
        <w:spacing w:after="120" w:line="480" w:lineRule="auto"/>
        <w:rPr>
          <w:iCs/>
        </w:rPr>
      </w:pPr>
      <w:r>
        <w:rPr>
          <w:iCs/>
        </w:rPr>
        <w:t>3.1 Simulation Results</w:t>
      </w:r>
    </w:p>
    <w:p w14:paraId="40CBAA5B" w14:textId="37F1B952" w:rsidR="005D630C" w:rsidRDefault="00564207" w:rsidP="00564207">
      <w:pPr>
        <w:widowControl w:val="0"/>
        <w:autoSpaceDE w:val="0"/>
        <w:autoSpaceDN w:val="0"/>
        <w:adjustRightInd w:val="0"/>
        <w:spacing w:after="120" w:line="480" w:lineRule="auto"/>
        <w:rPr>
          <w:iCs/>
        </w:rPr>
      </w:pPr>
      <w:r w:rsidRPr="00F75A10">
        <w:rPr>
          <w:iCs/>
        </w:rPr>
        <w:lastRenderedPageBreak/>
        <w:t>Figure</w:t>
      </w:r>
      <w:r w:rsidR="00A95FE1">
        <w:rPr>
          <w:iCs/>
        </w:rPr>
        <w:t>s</w:t>
      </w:r>
      <w:r w:rsidR="00BE697B">
        <w:rPr>
          <w:iCs/>
        </w:rPr>
        <w:t xml:space="preserve"> </w:t>
      </w:r>
      <w:r w:rsidR="00A83BFF">
        <w:rPr>
          <w:iCs/>
        </w:rPr>
        <w:t>2</w:t>
      </w:r>
      <w:r w:rsidR="00C86EB5">
        <w:rPr>
          <w:iCs/>
        </w:rPr>
        <w:t xml:space="preserve"> and 3</w:t>
      </w:r>
      <w:r w:rsidRPr="00F75A10">
        <w:rPr>
          <w:iCs/>
        </w:rPr>
        <w:t xml:space="preserve"> show the </w:t>
      </w:r>
      <w:r w:rsidR="00093607">
        <w:rPr>
          <w:iCs/>
        </w:rPr>
        <w:t xml:space="preserve">violin plots </w:t>
      </w:r>
      <w:r w:rsidR="00C86EB5">
        <w:rPr>
          <w:iCs/>
        </w:rPr>
        <w:t xml:space="preserve">of the estimates and the </w:t>
      </w:r>
      <w:proofErr w:type="spellStart"/>
      <w:r w:rsidR="00C86EB5">
        <w:rPr>
          <w:iCs/>
        </w:rPr>
        <w:t>bart</w:t>
      </w:r>
      <w:proofErr w:type="spellEnd"/>
      <w:r w:rsidR="00C86EB5">
        <w:rPr>
          <w:iCs/>
        </w:rPr>
        <w:t xml:space="preserve"> charts </w:t>
      </w:r>
      <w:r w:rsidR="00093607">
        <w:rPr>
          <w:iCs/>
        </w:rPr>
        <w:t xml:space="preserve">of </w:t>
      </w:r>
      <w:r w:rsidR="00C86EB5">
        <w:rPr>
          <w:iCs/>
        </w:rPr>
        <w:t>95% CI coverage rates</w:t>
      </w:r>
      <w:r w:rsidR="005B3036">
        <w:rPr>
          <w:iCs/>
        </w:rPr>
        <w:t>, respectively,</w:t>
      </w:r>
      <w:r w:rsidRPr="00F75A10">
        <w:rPr>
          <w:iCs/>
        </w:rPr>
        <w:t xml:space="preserve"> for Scenario</w:t>
      </w:r>
      <w:r w:rsidR="00D87F0A">
        <w:rPr>
          <w:iCs/>
        </w:rPr>
        <w:t xml:space="preserve"> </w:t>
      </w:r>
      <w:r w:rsidR="00A95FE1">
        <w:rPr>
          <w:iCs/>
        </w:rPr>
        <w:t>S</w:t>
      </w:r>
      <w:r w:rsidR="00C86EB5">
        <w:rPr>
          <w:iCs/>
        </w:rPr>
        <w:t>1</w:t>
      </w:r>
      <w:r w:rsidR="00D87F0A">
        <w:rPr>
          <w:iCs/>
        </w:rPr>
        <w:t xml:space="preserve">, </w:t>
      </w:r>
      <w:r w:rsidR="00C86EB5">
        <w:rPr>
          <w:iCs/>
        </w:rPr>
        <w:t>in</w:t>
      </w:r>
      <w:r w:rsidR="00D87F0A">
        <w:rPr>
          <w:iCs/>
        </w:rPr>
        <w:t xml:space="preserve"> estimating </w:t>
      </w:r>
      <w:r w:rsidR="00A91D8D">
        <w:rPr>
          <w:iCs/>
        </w:rPr>
        <w:t>5</w:t>
      </w:r>
      <w:r w:rsidR="00A91D8D" w:rsidRPr="00A91D8D">
        <w:rPr>
          <w:iCs/>
          <w:vertAlign w:val="superscript"/>
        </w:rPr>
        <w:t>th</w:t>
      </w:r>
      <w:r w:rsidR="00A91D8D">
        <w:rPr>
          <w:iCs/>
        </w:rPr>
        <w:t xml:space="preserve"> percentile</w:t>
      </w:r>
      <w:r w:rsidR="00093607">
        <w:rPr>
          <w:iCs/>
        </w:rPr>
        <w:t>, 1</w:t>
      </w:r>
      <w:r w:rsidR="00093607" w:rsidRPr="00093607">
        <w:rPr>
          <w:iCs/>
          <w:vertAlign w:val="superscript"/>
        </w:rPr>
        <w:t>st</w:t>
      </w:r>
      <w:r w:rsidR="00093607">
        <w:rPr>
          <w:iCs/>
        </w:rPr>
        <w:t xml:space="preserve"> quartile</w:t>
      </w:r>
      <w:r w:rsidR="00D87F0A">
        <w:rPr>
          <w:iCs/>
        </w:rPr>
        <w:t>, geometric mean, and regression slope</w:t>
      </w:r>
      <w:r w:rsidR="00AE7C3D">
        <w:rPr>
          <w:iCs/>
        </w:rPr>
        <w:t xml:space="preserve"> on age</w:t>
      </w:r>
      <w:r w:rsidRPr="00F75A10">
        <w:rPr>
          <w:iCs/>
        </w:rPr>
        <w:t xml:space="preserve">.  In scenario S1, where the </w:t>
      </w:r>
      <w:r w:rsidR="00A95FE1">
        <w:rPr>
          <w:iCs/>
        </w:rPr>
        <w:t>proportion of censored observations</w:t>
      </w:r>
      <w:r w:rsidRPr="00F75A10">
        <w:rPr>
          <w:iCs/>
        </w:rPr>
        <w:t xml:space="preserve"> are small</w:t>
      </w:r>
      <w:r w:rsidR="00A95FE1">
        <w:rPr>
          <w:iCs/>
        </w:rPr>
        <w:t xml:space="preserve"> for all three arsenics</w:t>
      </w:r>
      <w:r w:rsidRPr="00F75A10">
        <w:rPr>
          <w:iCs/>
        </w:rPr>
        <w:t xml:space="preserve">, </w:t>
      </w:r>
      <w:r w:rsidR="008B1874">
        <w:rPr>
          <w:iCs/>
        </w:rPr>
        <w:t>MICE-UTR</w:t>
      </w:r>
      <w:r w:rsidRPr="00F75A10">
        <w:rPr>
          <w:iCs/>
        </w:rPr>
        <w:t xml:space="preserve"> and MTR </w:t>
      </w:r>
      <w:r w:rsidR="001A5BB4">
        <w:rPr>
          <w:iCs/>
        </w:rPr>
        <w:t xml:space="preserve">perform similarly and both yield </w:t>
      </w:r>
      <w:r w:rsidR="00093607">
        <w:rPr>
          <w:iCs/>
        </w:rPr>
        <w:t xml:space="preserve">estimates that are centered around the </w:t>
      </w:r>
      <w:r w:rsidR="00C86EB5">
        <w:rPr>
          <w:iCs/>
        </w:rPr>
        <w:t>true values</w:t>
      </w:r>
      <w:r w:rsidR="005B3036">
        <w:rPr>
          <w:iCs/>
        </w:rPr>
        <w:t>, except for 5</w:t>
      </w:r>
      <w:r w:rsidR="005B3036" w:rsidRPr="005B3036">
        <w:rPr>
          <w:iCs/>
          <w:vertAlign w:val="superscript"/>
        </w:rPr>
        <w:t>th</w:t>
      </w:r>
      <w:r w:rsidR="005B3036">
        <w:rPr>
          <w:iCs/>
        </w:rPr>
        <w:t xml:space="preserve"> percentile and 1</w:t>
      </w:r>
      <w:r w:rsidR="005B3036" w:rsidRPr="005B3036">
        <w:rPr>
          <w:iCs/>
          <w:vertAlign w:val="superscript"/>
        </w:rPr>
        <w:t>st</w:t>
      </w:r>
      <w:r w:rsidR="005B3036">
        <w:rPr>
          <w:iCs/>
        </w:rPr>
        <w:t xml:space="preserve"> quartile of iAs</w:t>
      </w:r>
      <w:r w:rsidR="00117166">
        <w:rPr>
          <w:iCs/>
        </w:rPr>
        <w:t xml:space="preserve"> (Figure 2)</w:t>
      </w:r>
      <w:r w:rsidR="00093607">
        <w:rPr>
          <w:iCs/>
        </w:rPr>
        <w:t xml:space="preserve">. The </w:t>
      </w:r>
      <w:r w:rsidR="00093607" w:rsidRPr="00CC0CDF">
        <w:rPr>
          <w:iCs/>
        </w:rPr>
        <w:t>LOD/</w:t>
      </w:r>
      <m:oMath>
        <m:rad>
          <m:radPr>
            <m:degHide m:val="1"/>
            <m:ctrlPr>
              <w:rPr>
                <w:rFonts w:ascii="Cambria Math" w:hAnsi="Cambria Math"/>
                <w:i/>
                <w:iCs/>
              </w:rPr>
            </m:ctrlPr>
          </m:radPr>
          <m:deg/>
          <m:e>
            <m:r>
              <w:rPr>
                <w:rFonts w:ascii="Cambria Math" w:hAnsi="Cambria Math"/>
              </w:rPr>
              <m:t>2</m:t>
            </m:r>
          </m:e>
        </m:rad>
      </m:oMath>
      <w:r w:rsidR="00093607">
        <w:rPr>
          <w:iCs/>
        </w:rPr>
        <w:t xml:space="preserve"> leads to a constant estimate for 5</w:t>
      </w:r>
      <w:r w:rsidR="00093607" w:rsidRPr="00093607">
        <w:rPr>
          <w:iCs/>
          <w:vertAlign w:val="superscript"/>
        </w:rPr>
        <w:t>th</w:t>
      </w:r>
      <w:r w:rsidR="00093607">
        <w:rPr>
          <w:iCs/>
        </w:rPr>
        <w:t xml:space="preserve"> percentile </w:t>
      </w:r>
      <w:r w:rsidR="00117166">
        <w:rPr>
          <w:iCs/>
        </w:rPr>
        <w:t>of</w:t>
      </w:r>
      <w:r w:rsidR="00093607">
        <w:rPr>
          <w:iCs/>
        </w:rPr>
        <w:t xml:space="preserve"> DMA and MMA, and for both 5</w:t>
      </w:r>
      <w:r w:rsidR="00093607" w:rsidRPr="00093607">
        <w:rPr>
          <w:iCs/>
          <w:vertAlign w:val="superscript"/>
        </w:rPr>
        <w:t>th</w:t>
      </w:r>
      <w:r w:rsidR="00093607">
        <w:rPr>
          <w:iCs/>
        </w:rPr>
        <w:t xml:space="preserve"> percentile and the </w:t>
      </w:r>
      <w:r w:rsidR="009508E0">
        <w:rPr>
          <w:iCs/>
        </w:rPr>
        <w:t>1</w:t>
      </w:r>
      <w:r w:rsidR="009508E0" w:rsidRPr="009508E0">
        <w:rPr>
          <w:iCs/>
          <w:vertAlign w:val="superscript"/>
        </w:rPr>
        <w:t>st</w:t>
      </w:r>
      <w:r w:rsidR="00093607">
        <w:rPr>
          <w:iCs/>
        </w:rPr>
        <w:t xml:space="preserve"> quartile </w:t>
      </w:r>
      <w:r w:rsidR="00117166">
        <w:rPr>
          <w:iCs/>
        </w:rPr>
        <w:t>of</w:t>
      </w:r>
      <w:r w:rsidR="00093607">
        <w:rPr>
          <w:iCs/>
        </w:rPr>
        <w:t xml:space="preserve"> iAs. </w:t>
      </w:r>
      <w:r w:rsidR="00EB69A3">
        <w:rPr>
          <w:iCs/>
        </w:rPr>
        <w:t>The MICE-OLS tends to over</w:t>
      </w:r>
      <w:r w:rsidR="00117166">
        <w:rPr>
          <w:iCs/>
        </w:rPr>
        <w:t>-</w:t>
      </w:r>
      <w:r w:rsidR="00EB69A3">
        <w:rPr>
          <w:iCs/>
        </w:rPr>
        <w:t xml:space="preserve">estimate </w:t>
      </w:r>
      <w:r w:rsidR="00117166">
        <w:rPr>
          <w:iCs/>
        </w:rPr>
        <w:t xml:space="preserve">mean, regression slope, and lower percentiles, but yields </w:t>
      </w:r>
      <w:r w:rsidR="00BF10D7">
        <w:rPr>
          <w:iCs/>
        </w:rPr>
        <w:t>less biased estimate</w:t>
      </w:r>
      <w:r w:rsidR="00117166">
        <w:rPr>
          <w:iCs/>
        </w:rPr>
        <w:t xml:space="preserve"> </w:t>
      </w:r>
      <w:r w:rsidR="009508E0">
        <w:rPr>
          <w:iCs/>
        </w:rPr>
        <w:t>of 1</w:t>
      </w:r>
      <w:r w:rsidR="009508E0" w:rsidRPr="009508E0">
        <w:rPr>
          <w:iCs/>
          <w:vertAlign w:val="superscript"/>
        </w:rPr>
        <w:t>st</w:t>
      </w:r>
      <w:r w:rsidR="009508E0">
        <w:rPr>
          <w:iCs/>
        </w:rPr>
        <w:t xml:space="preserve"> quartile of iAs </w:t>
      </w:r>
      <w:r w:rsidR="00117166">
        <w:rPr>
          <w:iCs/>
        </w:rPr>
        <w:t>than MICE-UTR</w:t>
      </w:r>
      <w:r w:rsidR="00117166" w:rsidRPr="00F75A10">
        <w:rPr>
          <w:iCs/>
        </w:rPr>
        <w:t xml:space="preserve"> and MTR</w:t>
      </w:r>
      <w:r w:rsidR="00117166">
        <w:rPr>
          <w:iCs/>
        </w:rPr>
        <w:t>,</w:t>
      </w:r>
      <w:r w:rsidR="009508E0">
        <w:rPr>
          <w:iCs/>
        </w:rPr>
        <w:t xml:space="preserve"> where the quantile of interest is close to the LOD level</w:t>
      </w:r>
      <w:r w:rsidR="00117166">
        <w:rPr>
          <w:iCs/>
        </w:rPr>
        <w:t>.</w:t>
      </w:r>
      <w:r w:rsidR="009508E0">
        <w:rPr>
          <w:iCs/>
        </w:rPr>
        <w:t xml:space="preserve"> The over-estimate of MICE-OLS in lower percentiles and mean can be explained by the limitations of the MICE-OLS in only using data above LODs for estimating the imputation models. </w:t>
      </w:r>
      <w:r w:rsidR="005D630C">
        <w:rPr>
          <w:iCs/>
        </w:rPr>
        <w:t>The 95% CIs using LOD</w:t>
      </w:r>
      <w:r w:rsidR="005D630C" w:rsidRPr="00CC0CDF">
        <w:rPr>
          <w:iCs/>
        </w:rPr>
        <w:t>/</w:t>
      </w:r>
      <m:oMath>
        <m:rad>
          <m:radPr>
            <m:degHide m:val="1"/>
            <m:ctrlPr>
              <w:rPr>
                <w:rFonts w:ascii="Cambria Math" w:hAnsi="Cambria Math"/>
                <w:i/>
                <w:iCs/>
              </w:rPr>
            </m:ctrlPr>
          </m:radPr>
          <m:deg/>
          <m:e>
            <m:r>
              <w:rPr>
                <w:rFonts w:ascii="Cambria Math" w:hAnsi="Cambria Math"/>
              </w:rPr>
              <m:t>2</m:t>
            </m:r>
          </m:e>
        </m:rad>
      </m:oMath>
      <w:r w:rsidR="005D630C">
        <w:rPr>
          <w:iCs/>
        </w:rPr>
        <w:t xml:space="preserve"> </w:t>
      </w:r>
      <w:r w:rsidR="00BF1089">
        <w:rPr>
          <w:iCs/>
        </w:rPr>
        <w:t xml:space="preserve">or MICE-OLS </w:t>
      </w:r>
      <w:r w:rsidR="005D630C">
        <w:rPr>
          <w:iCs/>
        </w:rPr>
        <w:t>to fill in data below LODs yield poor coverage in estimating 5</w:t>
      </w:r>
      <w:r w:rsidR="005D630C" w:rsidRPr="005D630C">
        <w:rPr>
          <w:iCs/>
          <w:vertAlign w:val="superscript"/>
        </w:rPr>
        <w:t>th</w:t>
      </w:r>
      <w:r w:rsidR="005D630C">
        <w:rPr>
          <w:iCs/>
        </w:rPr>
        <w:t xml:space="preserve"> percentile of all three arsenics and 1</w:t>
      </w:r>
      <w:r w:rsidR="005D630C" w:rsidRPr="005D630C">
        <w:rPr>
          <w:iCs/>
          <w:vertAlign w:val="superscript"/>
        </w:rPr>
        <w:t>st</w:t>
      </w:r>
      <w:r w:rsidR="005D630C">
        <w:rPr>
          <w:iCs/>
        </w:rPr>
        <w:t xml:space="preserve"> quartile or iAs</w:t>
      </w:r>
      <w:r w:rsidR="00ED3E23">
        <w:rPr>
          <w:iCs/>
        </w:rPr>
        <w:t xml:space="preserve"> (Figure 3)</w:t>
      </w:r>
      <w:r w:rsidR="00BF1089">
        <w:rPr>
          <w:iCs/>
        </w:rPr>
        <w:t>. The LOD</w:t>
      </w:r>
      <w:r w:rsidR="00BF1089" w:rsidRPr="00CC0CDF">
        <w:rPr>
          <w:iCs/>
        </w:rPr>
        <w:t>/</w:t>
      </w:r>
      <m:oMath>
        <m:rad>
          <m:radPr>
            <m:degHide m:val="1"/>
            <m:ctrlPr>
              <w:rPr>
                <w:rFonts w:ascii="Cambria Math" w:hAnsi="Cambria Math"/>
                <w:i/>
                <w:iCs/>
              </w:rPr>
            </m:ctrlPr>
          </m:radPr>
          <m:deg/>
          <m:e>
            <m:r>
              <w:rPr>
                <w:rFonts w:ascii="Cambria Math" w:hAnsi="Cambria Math"/>
              </w:rPr>
              <m:t>2</m:t>
            </m:r>
          </m:e>
        </m:rad>
      </m:oMath>
      <w:r w:rsidR="00BF1089">
        <w:rPr>
          <w:iCs/>
        </w:rPr>
        <w:t xml:space="preserve"> aproach also yields lower than nominal level coverage rate in estimating slope</w:t>
      </w:r>
      <w:r w:rsidR="005D630C">
        <w:rPr>
          <w:iCs/>
        </w:rPr>
        <w:t>.</w:t>
      </w:r>
      <w:r w:rsidR="00BF1089">
        <w:rPr>
          <w:iCs/>
        </w:rPr>
        <w:t xml:space="preserve"> The 95% CIs of the MICE-UTR and BMTR yield good coverage in estimating 1</w:t>
      </w:r>
      <w:r w:rsidR="00BF1089" w:rsidRPr="00BF1089">
        <w:rPr>
          <w:iCs/>
          <w:vertAlign w:val="superscript"/>
        </w:rPr>
        <w:t>st</w:t>
      </w:r>
      <w:r w:rsidR="00BF1089">
        <w:rPr>
          <w:iCs/>
        </w:rPr>
        <w:t xml:space="preserve"> quartile, mean, and slope, but is slightly under-</w:t>
      </w:r>
      <w:proofErr w:type="spellStart"/>
      <w:r w:rsidR="00BF1089">
        <w:rPr>
          <w:iCs/>
        </w:rPr>
        <w:t>coveraged</w:t>
      </w:r>
      <w:proofErr w:type="spellEnd"/>
      <w:r w:rsidR="00BF1089">
        <w:rPr>
          <w:iCs/>
        </w:rPr>
        <w:t xml:space="preserve"> in estimating the 5</w:t>
      </w:r>
      <w:r w:rsidR="00BF1089" w:rsidRPr="00BF1089">
        <w:rPr>
          <w:iCs/>
          <w:vertAlign w:val="superscript"/>
        </w:rPr>
        <w:t>th</w:t>
      </w:r>
      <w:r w:rsidR="00BF1089">
        <w:rPr>
          <w:iCs/>
        </w:rPr>
        <w:t xml:space="preserve"> percentile of DMA and iAs.  </w:t>
      </w:r>
      <w:r w:rsidR="005D630C">
        <w:rPr>
          <w:iCs/>
        </w:rPr>
        <w:t xml:space="preserve"> </w:t>
      </w:r>
    </w:p>
    <w:p w14:paraId="7966B968" w14:textId="1E606795" w:rsidR="00564207" w:rsidRDefault="00384FBA" w:rsidP="00934B29">
      <w:pPr>
        <w:widowControl w:val="0"/>
        <w:autoSpaceDE w:val="0"/>
        <w:autoSpaceDN w:val="0"/>
        <w:adjustRightInd w:val="0"/>
        <w:spacing w:after="120" w:line="480" w:lineRule="auto"/>
        <w:ind w:firstLine="720"/>
        <w:rPr>
          <w:iCs/>
        </w:rPr>
      </w:pPr>
      <w:r>
        <w:rPr>
          <w:iCs/>
        </w:rPr>
        <w:t>In scenario S2, the proportion of censored observations for DMA is the same as scenario S1, but the proportion of censored observations increases from 20% to 40% for MMA and from 30% to 60% for iAs. Figure</w:t>
      </w:r>
      <w:r w:rsidR="00ED3E23">
        <w:rPr>
          <w:iCs/>
        </w:rPr>
        <w:t>s</w:t>
      </w:r>
      <w:r>
        <w:rPr>
          <w:iCs/>
        </w:rPr>
        <w:t xml:space="preserve"> </w:t>
      </w:r>
      <w:r w:rsidR="00ED3E23">
        <w:rPr>
          <w:iCs/>
        </w:rPr>
        <w:t>4 and 5</w:t>
      </w:r>
      <w:r>
        <w:rPr>
          <w:iCs/>
        </w:rPr>
        <w:t xml:space="preserve"> show that now MICE-UTR perform</w:t>
      </w:r>
      <w:r w:rsidR="00117166">
        <w:rPr>
          <w:iCs/>
        </w:rPr>
        <w:t>s</w:t>
      </w:r>
      <w:r>
        <w:rPr>
          <w:iCs/>
        </w:rPr>
        <w:t xml:space="preserve"> poorly </w:t>
      </w:r>
      <w:r w:rsidR="00075AFB">
        <w:rPr>
          <w:iCs/>
        </w:rPr>
        <w:t xml:space="preserve">with </w:t>
      </w:r>
      <w:r w:rsidR="00BF10D7">
        <w:rPr>
          <w:iCs/>
        </w:rPr>
        <w:t xml:space="preserve">most of </w:t>
      </w:r>
      <w:r w:rsidR="00117166">
        <w:rPr>
          <w:iCs/>
        </w:rPr>
        <w:t xml:space="preserve">the quantities </w:t>
      </w:r>
      <w:r w:rsidR="00554DEE">
        <w:rPr>
          <w:iCs/>
        </w:rPr>
        <w:t>for MMA and iAs, with coverage rate</w:t>
      </w:r>
      <w:r w:rsidR="00BF10D7">
        <w:rPr>
          <w:iCs/>
        </w:rPr>
        <w:t>s</w:t>
      </w:r>
      <w:r w:rsidR="00554DEE">
        <w:rPr>
          <w:iCs/>
        </w:rPr>
        <w:t xml:space="preserve"> of the 95% CI</w:t>
      </w:r>
      <w:r w:rsidR="00BF10D7">
        <w:rPr>
          <w:iCs/>
        </w:rPr>
        <w:t>s being</w:t>
      </w:r>
      <w:r w:rsidR="00554DEE">
        <w:rPr>
          <w:iCs/>
        </w:rPr>
        <w:t xml:space="preserve"> close to 0 in estimating quantiles and means of MMA and iAs</w:t>
      </w:r>
      <w:r>
        <w:rPr>
          <w:iCs/>
        </w:rPr>
        <w:t>.</w:t>
      </w:r>
      <w:r w:rsidR="00075AFB">
        <w:rPr>
          <w:iCs/>
        </w:rPr>
        <w:t xml:space="preserve"> </w:t>
      </w:r>
      <w:r w:rsidR="00117166">
        <w:rPr>
          <w:iCs/>
        </w:rPr>
        <w:t>B</w:t>
      </w:r>
      <w:r w:rsidR="00075AFB">
        <w:rPr>
          <w:iCs/>
        </w:rPr>
        <w:t xml:space="preserve">MTR performs best among all the </w:t>
      </w:r>
      <w:r w:rsidR="00117166">
        <w:rPr>
          <w:iCs/>
        </w:rPr>
        <w:t xml:space="preserve">methods in </w:t>
      </w:r>
      <w:r w:rsidR="00554DEE">
        <w:rPr>
          <w:iCs/>
        </w:rPr>
        <w:t xml:space="preserve">all </w:t>
      </w:r>
      <w:r w:rsidR="00ED3E23">
        <w:rPr>
          <w:iCs/>
        </w:rPr>
        <w:t>the estimation</w:t>
      </w:r>
      <w:r w:rsidR="00554DEE">
        <w:rPr>
          <w:iCs/>
        </w:rPr>
        <w:t>.</w:t>
      </w:r>
      <w:r w:rsidR="00ED3E23">
        <w:rPr>
          <w:iCs/>
        </w:rPr>
        <w:t xml:space="preserve"> However, the median estimate of iAs is negatively biased although the 95% CI still covers the true value for most of the simulations. In addition, the 5</w:t>
      </w:r>
      <w:r w:rsidR="00ED3E23" w:rsidRPr="00ED3E23">
        <w:rPr>
          <w:iCs/>
          <w:vertAlign w:val="superscript"/>
        </w:rPr>
        <w:t>th</w:t>
      </w:r>
      <w:r w:rsidR="00ED3E23">
        <w:rPr>
          <w:iCs/>
        </w:rPr>
        <w:t xml:space="preserve"> percentile estimate </w:t>
      </w:r>
      <w:r w:rsidR="00ED3E23">
        <w:rPr>
          <w:iCs/>
        </w:rPr>
        <w:lastRenderedPageBreak/>
        <w:t xml:space="preserve">of iAs is slightly </w:t>
      </w:r>
      <w:r w:rsidR="00BF10D7">
        <w:rPr>
          <w:iCs/>
        </w:rPr>
        <w:t>over-estimated</w:t>
      </w:r>
      <w:r w:rsidR="00ED3E23">
        <w:rPr>
          <w:iCs/>
        </w:rPr>
        <w:t xml:space="preserve"> with the 95% CI coverage rate lower than the nominal level</w:t>
      </w:r>
      <w:r w:rsidR="00564207" w:rsidRPr="00F75A10">
        <w:rPr>
          <w:iCs/>
        </w:rPr>
        <w:t>.</w:t>
      </w:r>
      <w:r w:rsidR="00ED3E23">
        <w:rPr>
          <w:iCs/>
        </w:rPr>
        <w:t xml:space="preserve"> </w:t>
      </w:r>
      <w:r w:rsidR="00117166">
        <w:rPr>
          <w:iCs/>
        </w:rPr>
        <w:t>This is consistent with the findings in Scenario S1 where BMTR performs well</w:t>
      </w:r>
      <w:r w:rsidR="00BF10D7">
        <w:rPr>
          <w:iCs/>
        </w:rPr>
        <w:t xml:space="preserve"> with small bias</w:t>
      </w:r>
      <w:r w:rsidR="00117166">
        <w:rPr>
          <w:iCs/>
        </w:rPr>
        <w:t xml:space="preserve"> except for quantiles that are close to the LOD</w:t>
      </w:r>
      <w:r w:rsidR="008D7CC7">
        <w:rPr>
          <w:iCs/>
        </w:rPr>
        <w:t xml:space="preserve"> levels</w:t>
      </w:r>
      <w:r w:rsidR="00ED3E23">
        <w:rPr>
          <w:iCs/>
        </w:rPr>
        <w:t xml:space="preserve"> and the 95% CI can have slightly lower coverage rate in estimating 5</w:t>
      </w:r>
      <w:r w:rsidR="00ED3E23" w:rsidRPr="00ED3E23">
        <w:rPr>
          <w:iCs/>
          <w:vertAlign w:val="superscript"/>
        </w:rPr>
        <w:t>th</w:t>
      </w:r>
      <w:r w:rsidR="00ED3E23">
        <w:rPr>
          <w:iCs/>
        </w:rPr>
        <w:t xml:space="preserve"> percentile</w:t>
      </w:r>
      <w:r w:rsidR="008D7CC7">
        <w:rPr>
          <w:iCs/>
        </w:rPr>
        <w:t>.</w:t>
      </w:r>
      <w:r w:rsidR="00ED3E23">
        <w:rPr>
          <w:iCs/>
        </w:rPr>
        <w:t xml:space="preserve"> Even given this limitations, the BMTR still outperforms</w:t>
      </w:r>
      <w:r w:rsidR="008D7CC7">
        <w:rPr>
          <w:iCs/>
        </w:rPr>
        <w:t xml:space="preserve"> </w:t>
      </w:r>
      <w:r w:rsidR="00ED3E23">
        <w:rPr>
          <w:iCs/>
        </w:rPr>
        <w:t>the alternative methods.</w:t>
      </w:r>
      <w:r w:rsidR="00564207" w:rsidRPr="00F75A10">
        <w:rPr>
          <w:iCs/>
        </w:rPr>
        <w:t xml:space="preserve"> </w:t>
      </w:r>
    </w:p>
    <w:p w14:paraId="50359F91" w14:textId="77777777" w:rsidR="00ED3E23" w:rsidRDefault="00ED3E23" w:rsidP="00564207">
      <w:pPr>
        <w:widowControl w:val="0"/>
        <w:autoSpaceDE w:val="0"/>
        <w:autoSpaceDN w:val="0"/>
        <w:adjustRightInd w:val="0"/>
        <w:spacing w:after="120" w:line="480" w:lineRule="auto"/>
        <w:rPr>
          <w:iCs/>
        </w:rPr>
      </w:pPr>
    </w:p>
    <w:p w14:paraId="3D518038" w14:textId="33655611" w:rsidR="00BE697B" w:rsidRPr="00B24854" w:rsidRDefault="006B209E" w:rsidP="00E33AB2">
      <w:pPr>
        <w:pStyle w:val="Heading2"/>
      </w:pPr>
      <w:r w:rsidRPr="00B24854">
        <w:t>3.2</w:t>
      </w:r>
      <w:r w:rsidR="00564207" w:rsidRPr="00B24854">
        <w:t xml:space="preserve"> </w:t>
      </w:r>
      <w:r w:rsidRPr="00B24854">
        <w:t>Analysis Results of</w:t>
      </w:r>
      <w:r w:rsidR="00564207" w:rsidRPr="00B24854">
        <w:t xml:space="preserve"> </w:t>
      </w:r>
      <w:r w:rsidR="00F861C1" w:rsidRPr="00B24854">
        <w:t>the NHANES 2013-2014</w:t>
      </w:r>
    </w:p>
    <w:p w14:paraId="06CB6FF2" w14:textId="2F5B8D5D" w:rsidR="00564207" w:rsidRDefault="00BE697B" w:rsidP="009125DA">
      <w:pPr>
        <w:widowControl w:val="0"/>
        <w:autoSpaceDE w:val="0"/>
        <w:autoSpaceDN w:val="0"/>
        <w:adjustRightInd w:val="0"/>
        <w:spacing w:line="480" w:lineRule="auto"/>
      </w:pPr>
      <w:r>
        <w:rPr>
          <w:iCs/>
        </w:rPr>
        <w:t xml:space="preserve">Figure </w:t>
      </w:r>
      <w:r w:rsidR="00ED3E23">
        <w:rPr>
          <w:iCs/>
        </w:rPr>
        <w:t>6</w:t>
      </w:r>
      <w:r>
        <w:rPr>
          <w:iCs/>
        </w:rPr>
        <w:t xml:space="preserve"> shows </w:t>
      </w:r>
      <w:r w:rsidRPr="00F75A10">
        <w:rPr>
          <w:iCs/>
        </w:rPr>
        <w:t>missing pattern</w:t>
      </w:r>
      <w:r>
        <w:rPr>
          <w:iCs/>
        </w:rPr>
        <w:t>s</w:t>
      </w:r>
      <w:r w:rsidRPr="00F75A10">
        <w:rPr>
          <w:iCs/>
        </w:rPr>
        <w:t>, correlation</w:t>
      </w:r>
      <w:r>
        <w:rPr>
          <w:iCs/>
        </w:rPr>
        <w:t xml:space="preserve"> matrix</w:t>
      </w:r>
      <w:r w:rsidRPr="00F75A10">
        <w:rPr>
          <w:iCs/>
        </w:rPr>
        <w:t xml:space="preserve">, and </w:t>
      </w:r>
      <w:r>
        <w:rPr>
          <w:iCs/>
        </w:rPr>
        <w:t xml:space="preserve">histograms and contour plots of </w:t>
      </w:r>
      <w:r w:rsidR="00BF5B16">
        <w:rPr>
          <w:iCs/>
        </w:rPr>
        <w:t xml:space="preserve">log-transformed </w:t>
      </w:r>
      <w:r>
        <w:rPr>
          <w:iCs/>
        </w:rPr>
        <w:t>DMA, MMA, and iAs</w:t>
      </w:r>
      <w:r w:rsidRPr="00F75A10">
        <w:rPr>
          <w:iCs/>
        </w:rPr>
        <w:t>.</w:t>
      </w:r>
      <w:r>
        <w:rPr>
          <w:iCs/>
        </w:rPr>
        <w:t xml:space="preserve"> The NHANES 2013-2014 data </w:t>
      </w:r>
      <w:r w:rsidR="00BF5B16">
        <w:rPr>
          <w:iCs/>
        </w:rPr>
        <w:t>had</w:t>
      </w:r>
      <w:r>
        <w:rPr>
          <w:iCs/>
        </w:rPr>
        <w:t xml:space="preserve"> higher proportion of data below </w:t>
      </w:r>
      <w:r w:rsidR="00BF5B16">
        <w:rPr>
          <w:iCs/>
        </w:rPr>
        <w:t xml:space="preserve">the </w:t>
      </w:r>
      <w:r>
        <w:rPr>
          <w:iCs/>
        </w:rPr>
        <w:t>LOD</w:t>
      </w:r>
      <w:r w:rsidR="00BF5B16">
        <w:rPr>
          <w:iCs/>
        </w:rPr>
        <w:t>s</w:t>
      </w:r>
      <w:r>
        <w:rPr>
          <w:iCs/>
        </w:rPr>
        <w:t xml:space="preserve"> for all three arsenic compounds than SHFS. Specifically, 24.3%, 30.4%, and 28% of individuals </w:t>
      </w:r>
      <w:r w:rsidR="00BF5B16">
        <w:rPr>
          <w:iCs/>
        </w:rPr>
        <w:t>had</w:t>
      </w:r>
      <w:r>
        <w:rPr>
          <w:iCs/>
        </w:rPr>
        <w:t xml:space="preserve"> DMA, MMA, and iAs measures below LOD, respectively. </w:t>
      </w:r>
      <w:r>
        <w:t>Among the 2</w:t>
      </w:r>
      <w:r w:rsidR="009125DA">
        <w:t>,</w:t>
      </w:r>
      <w:r>
        <w:t xml:space="preserve">126 observations, 1189 (56%) </w:t>
      </w:r>
      <w:r w:rsidR="00BF5B16">
        <w:t>had</w:t>
      </w:r>
      <w:r>
        <w:t xml:space="preserve"> complete measurements in all three arsenic compounds, 397 (19%) </w:t>
      </w:r>
      <w:r w:rsidR="00BF5B16">
        <w:t>had</w:t>
      </w:r>
      <w:r>
        <w:t xml:space="preserve"> one compound measurement below LOD, 261 (12%) </w:t>
      </w:r>
      <w:r w:rsidR="00BF5B16">
        <w:t>had</w:t>
      </w:r>
      <w:r>
        <w:t xml:space="preserve"> two compound measurements below LOD, and 279 (13%) </w:t>
      </w:r>
      <w:r w:rsidR="00BF5B16">
        <w:t>had</w:t>
      </w:r>
      <w:r>
        <w:t xml:space="preserve"> all three compounds with measurements below LOD. The correlations between DMA, MMA, and iAs </w:t>
      </w:r>
      <w:r w:rsidR="00006153">
        <w:t>among measurements above the LODs</w:t>
      </w:r>
      <w:r>
        <w:t xml:space="preserve"> </w:t>
      </w:r>
      <w:r w:rsidR="00BF5B16">
        <w:t>were</w:t>
      </w:r>
      <w:r>
        <w:t xml:space="preserve"> lower in NHANES 2013-2014 as compared to SHFS, ranging from 0.45 to 0.55. </w:t>
      </w:r>
      <w:r w:rsidR="00934B29">
        <w:t>Since arsenobetain</w:t>
      </w:r>
      <w:r w:rsidR="00EB1B0A">
        <w:t>e</w:t>
      </w:r>
      <w:r w:rsidR="00934B29">
        <w:t xml:space="preserve"> </w:t>
      </w:r>
      <w:r w:rsidR="00006153">
        <w:t xml:space="preserve">and total arsenic </w:t>
      </w:r>
      <w:r w:rsidR="00934B29">
        <w:t xml:space="preserve">had </w:t>
      </w:r>
      <w:r w:rsidR="00006153">
        <w:t>56.3% and 0% of measurements below the LOD, and their correlation was as high as 0.96 among those with arsenobetain</w:t>
      </w:r>
      <w:r w:rsidR="00EB1B0A">
        <w:t>e</w:t>
      </w:r>
      <w:r w:rsidR="00006153">
        <w:t xml:space="preserve"> measurements above the LOD, we excluded arsenobetain</w:t>
      </w:r>
      <w:r w:rsidR="00EB1B0A">
        <w:t>e</w:t>
      </w:r>
      <w:r w:rsidR="00006153">
        <w:t xml:space="preserve"> from all the imputation models. </w:t>
      </w:r>
      <w:r>
        <w:t xml:space="preserve">Finally, the histograms are not symmetric even after the log-transformation. The non-symmetric histograms </w:t>
      </w:r>
      <w:r w:rsidR="00BF5B16">
        <w:t>could be</w:t>
      </w:r>
      <w:r>
        <w:t xml:space="preserve"> explained by the higher proportions of data below </w:t>
      </w:r>
      <w:r w:rsidR="00BF5B16">
        <w:t xml:space="preserve">the </w:t>
      </w:r>
      <w:r>
        <w:t>LOD</w:t>
      </w:r>
      <w:r w:rsidR="00970BF1">
        <w:t>s</w:t>
      </w:r>
      <w:r>
        <w:t xml:space="preserve"> in NHANES.</w:t>
      </w:r>
    </w:p>
    <w:p w14:paraId="16080B43" w14:textId="229DD634" w:rsidR="000271D4" w:rsidRDefault="00564207" w:rsidP="006876A8">
      <w:pPr>
        <w:widowControl w:val="0"/>
        <w:autoSpaceDE w:val="0"/>
        <w:autoSpaceDN w:val="0"/>
        <w:adjustRightInd w:val="0"/>
        <w:spacing w:after="120" w:line="480" w:lineRule="auto"/>
        <w:ind w:firstLine="720"/>
        <w:rPr>
          <w:iCs/>
        </w:rPr>
      </w:pPr>
      <w:r w:rsidRPr="00F75A10">
        <w:rPr>
          <w:iCs/>
        </w:rPr>
        <w:t>Figure</w:t>
      </w:r>
      <w:r w:rsidR="009125DA">
        <w:rPr>
          <w:iCs/>
        </w:rPr>
        <w:t xml:space="preserve"> </w:t>
      </w:r>
      <w:r w:rsidR="00ED3E23">
        <w:rPr>
          <w:iCs/>
        </w:rPr>
        <w:t>7</w:t>
      </w:r>
      <w:r w:rsidRPr="00F75A10">
        <w:rPr>
          <w:iCs/>
        </w:rPr>
        <w:t xml:space="preserve"> shows </w:t>
      </w:r>
      <w:r w:rsidR="00D94A7D">
        <w:rPr>
          <w:iCs/>
        </w:rPr>
        <w:t>the</w:t>
      </w:r>
      <w:r w:rsidRPr="00F75A10">
        <w:rPr>
          <w:iCs/>
        </w:rPr>
        <w:t xml:space="preserve"> estimate</w:t>
      </w:r>
      <w:r w:rsidR="00D94A7D">
        <w:rPr>
          <w:iCs/>
        </w:rPr>
        <w:t>s and 95% CIs</w:t>
      </w:r>
      <w:r w:rsidRPr="00F75A10">
        <w:rPr>
          <w:iCs/>
        </w:rPr>
        <w:t xml:space="preserve"> of </w:t>
      </w:r>
      <w:r w:rsidR="00834298">
        <w:rPr>
          <w:iCs/>
        </w:rPr>
        <w:t>5</w:t>
      </w:r>
      <w:r w:rsidR="00834298" w:rsidRPr="00834298">
        <w:rPr>
          <w:iCs/>
          <w:vertAlign w:val="superscript"/>
        </w:rPr>
        <w:t>th</w:t>
      </w:r>
      <w:r w:rsidR="00834298">
        <w:rPr>
          <w:iCs/>
        </w:rPr>
        <w:t xml:space="preserve"> percentile, </w:t>
      </w:r>
      <w:r w:rsidR="00117166">
        <w:rPr>
          <w:iCs/>
        </w:rPr>
        <w:t>1</w:t>
      </w:r>
      <w:r w:rsidR="00117166" w:rsidRPr="00117166">
        <w:rPr>
          <w:iCs/>
          <w:vertAlign w:val="superscript"/>
        </w:rPr>
        <w:t>st</w:t>
      </w:r>
      <w:r w:rsidR="00117166">
        <w:rPr>
          <w:iCs/>
        </w:rPr>
        <w:t xml:space="preserve"> quartile</w:t>
      </w:r>
      <w:r w:rsidR="00834298">
        <w:rPr>
          <w:iCs/>
        </w:rPr>
        <w:t xml:space="preserve">, </w:t>
      </w:r>
      <w:r w:rsidR="00FD7827">
        <w:rPr>
          <w:iCs/>
        </w:rPr>
        <w:t xml:space="preserve">geometric </w:t>
      </w:r>
      <w:r w:rsidR="00834298">
        <w:rPr>
          <w:iCs/>
        </w:rPr>
        <w:t>mean, and regression slope for DMA, MMA, and iAs</w:t>
      </w:r>
      <w:r w:rsidRPr="00F75A10">
        <w:rPr>
          <w:iCs/>
        </w:rPr>
        <w:t xml:space="preserve">. </w:t>
      </w:r>
      <w:r w:rsidR="00834298">
        <w:rPr>
          <w:iCs/>
        </w:rPr>
        <w:t xml:space="preserve">Substitution using </w:t>
      </w:r>
      <w:r w:rsidR="00834298" w:rsidRPr="00CC0CDF">
        <w:rPr>
          <w:iCs/>
        </w:rPr>
        <w:t>LOD/</w:t>
      </w:r>
      <m:oMath>
        <m:rad>
          <m:radPr>
            <m:degHide m:val="1"/>
            <m:ctrlPr>
              <w:rPr>
                <w:rFonts w:ascii="Cambria Math" w:hAnsi="Cambria Math"/>
                <w:i/>
                <w:iCs/>
              </w:rPr>
            </m:ctrlPr>
          </m:radPr>
          <m:deg/>
          <m:e>
            <m:r>
              <w:rPr>
                <w:rFonts w:ascii="Cambria Math" w:hAnsi="Cambria Math"/>
              </w:rPr>
              <m:t>2</m:t>
            </m:r>
          </m:e>
        </m:rad>
      </m:oMath>
      <w:r w:rsidR="00834298">
        <w:rPr>
          <w:iCs/>
        </w:rPr>
        <w:t xml:space="preserve"> yields a constant </w:t>
      </w:r>
      <w:r w:rsidR="00834298">
        <w:rPr>
          <w:iCs/>
        </w:rPr>
        <w:lastRenderedPageBreak/>
        <w:t>estimate of 5</w:t>
      </w:r>
      <w:r w:rsidR="00834298" w:rsidRPr="00834298">
        <w:rPr>
          <w:iCs/>
          <w:vertAlign w:val="superscript"/>
        </w:rPr>
        <w:t>th</w:t>
      </w:r>
      <w:r w:rsidR="00834298">
        <w:rPr>
          <w:iCs/>
        </w:rPr>
        <w:t xml:space="preserve"> percentile and a very wide 95% CI </w:t>
      </w:r>
      <w:r w:rsidR="00E069DE">
        <w:rPr>
          <w:iCs/>
        </w:rPr>
        <w:t>of 1</w:t>
      </w:r>
      <w:r w:rsidR="00E069DE" w:rsidRPr="00E069DE">
        <w:rPr>
          <w:iCs/>
          <w:vertAlign w:val="superscript"/>
        </w:rPr>
        <w:t>st</w:t>
      </w:r>
      <w:r w:rsidR="00E069DE">
        <w:rPr>
          <w:iCs/>
        </w:rPr>
        <w:t xml:space="preserve"> quartile </w:t>
      </w:r>
      <w:r w:rsidR="00834298">
        <w:rPr>
          <w:iCs/>
        </w:rPr>
        <w:t>for DMA, and a constant estimate of 5</w:t>
      </w:r>
      <w:r w:rsidR="00834298" w:rsidRPr="00834298">
        <w:rPr>
          <w:iCs/>
          <w:vertAlign w:val="superscript"/>
        </w:rPr>
        <w:t>th</w:t>
      </w:r>
      <w:r w:rsidR="00834298">
        <w:rPr>
          <w:iCs/>
        </w:rPr>
        <w:t xml:space="preserve"> </w:t>
      </w:r>
      <w:r w:rsidR="00ED3E23">
        <w:rPr>
          <w:iCs/>
        </w:rPr>
        <w:t xml:space="preserve">percentile </w:t>
      </w:r>
      <w:r w:rsidR="00834298">
        <w:rPr>
          <w:iCs/>
        </w:rPr>
        <w:t xml:space="preserve">and </w:t>
      </w:r>
      <w:r w:rsidR="00ED3E23">
        <w:rPr>
          <w:iCs/>
        </w:rPr>
        <w:t>1</w:t>
      </w:r>
      <w:r w:rsidR="00ED3E23" w:rsidRPr="00ED3E23">
        <w:rPr>
          <w:iCs/>
          <w:vertAlign w:val="superscript"/>
        </w:rPr>
        <w:t>st</w:t>
      </w:r>
      <w:r w:rsidR="00ED3E23">
        <w:rPr>
          <w:iCs/>
        </w:rPr>
        <w:t xml:space="preserve"> quartile</w:t>
      </w:r>
      <w:r w:rsidR="00834298">
        <w:rPr>
          <w:iCs/>
        </w:rPr>
        <w:t xml:space="preserve"> for both MMA and iAs. The MICE-OLS results in larger estimates of 5</w:t>
      </w:r>
      <w:r w:rsidR="00834298" w:rsidRPr="00834298">
        <w:rPr>
          <w:iCs/>
          <w:vertAlign w:val="superscript"/>
        </w:rPr>
        <w:t>th</w:t>
      </w:r>
      <w:r w:rsidR="00834298">
        <w:rPr>
          <w:iCs/>
        </w:rPr>
        <w:t xml:space="preserve"> percentile, </w:t>
      </w:r>
      <w:r w:rsidR="00ED3E23">
        <w:rPr>
          <w:iCs/>
        </w:rPr>
        <w:t>1</w:t>
      </w:r>
      <w:r w:rsidR="00ED3E23" w:rsidRPr="00ED3E23">
        <w:rPr>
          <w:iCs/>
          <w:vertAlign w:val="superscript"/>
        </w:rPr>
        <w:t>st</w:t>
      </w:r>
      <w:r w:rsidR="00ED3E23">
        <w:rPr>
          <w:iCs/>
        </w:rPr>
        <w:t xml:space="preserve"> quartile</w:t>
      </w:r>
      <w:r w:rsidR="00834298">
        <w:rPr>
          <w:iCs/>
        </w:rPr>
        <w:t xml:space="preserve">, </w:t>
      </w:r>
      <w:r w:rsidR="00C0435E">
        <w:rPr>
          <w:iCs/>
        </w:rPr>
        <w:t xml:space="preserve">and </w:t>
      </w:r>
      <w:r w:rsidR="00FD7827">
        <w:rPr>
          <w:iCs/>
        </w:rPr>
        <w:t xml:space="preserve">geometric </w:t>
      </w:r>
      <w:r w:rsidR="00834298">
        <w:rPr>
          <w:iCs/>
        </w:rPr>
        <w:t>mean than MICE-UTR and MTR</w:t>
      </w:r>
      <w:r w:rsidR="00C51AC3">
        <w:rPr>
          <w:iCs/>
        </w:rPr>
        <w:t>, especially in the 5</w:t>
      </w:r>
      <w:r w:rsidR="00C51AC3" w:rsidRPr="00C51AC3">
        <w:rPr>
          <w:iCs/>
          <w:vertAlign w:val="superscript"/>
        </w:rPr>
        <w:t>th</w:t>
      </w:r>
      <w:r w:rsidR="00C51AC3">
        <w:rPr>
          <w:iCs/>
        </w:rPr>
        <w:t xml:space="preserve"> percentile</w:t>
      </w:r>
      <w:r w:rsidR="00834298">
        <w:rPr>
          <w:iCs/>
        </w:rPr>
        <w:t>.</w:t>
      </w:r>
      <w:r w:rsidR="00C51AC3">
        <w:rPr>
          <w:iCs/>
        </w:rPr>
        <w:t xml:space="preserve"> This is because the MICE-OLS only uses the data above </w:t>
      </w:r>
      <w:r w:rsidR="00590630">
        <w:rPr>
          <w:iCs/>
        </w:rPr>
        <w:t xml:space="preserve">the </w:t>
      </w:r>
      <w:r w:rsidR="00C51AC3">
        <w:rPr>
          <w:iCs/>
        </w:rPr>
        <w:t xml:space="preserve">LODs for estimating parameters in the imputation models. As a consequence, the data below </w:t>
      </w:r>
      <w:r w:rsidR="00590630">
        <w:rPr>
          <w:iCs/>
        </w:rPr>
        <w:t xml:space="preserve">the </w:t>
      </w:r>
      <w:r w:rsidR="00C51AC3">
        <w:rPr>
          <w:iCs/>
        </w:rPr>
        <w:t xml:space="preserve">LODs are imputed with larger values </w:t>
      </w:r>
      <w:r w:rsidR="00ED3E23">
        <w:rPr>
          <w:iCs/>
        </w:rPr>
        <w:t>and</w:t>
      </w:r>
      <w:r w:rsidR="00C51AC3">
        <w:rPr>
          <w:iCs/>
        </w:rPr>
        <w:t xml:space="preserve"> narrower 95% C</w:t>
      </w:r>
      <w:r w:rsidR="00F47AC1">
        <w:rPr>
          <w:iCs/>
        </w:rPr>
        <w:t>I</w:t>
      </w:r>
      <w:r w:rsidR="00C51AC3">
        <w:rPr>
          <w:iCs/>
        </w:rPr>
        <w:t>s</w:t>
      </w:r>
      <w:r w:rsidR="00F47AC1">
        <w:rPr>
          <w:iCs/>
        </w:rPr>
        <w:t xml:space="preserve"> using MICE-OLS</w:t>
      </w:r>
      <w:r w:rsidR="00C51AC3">
        <w:rPr>
          <w:iCs/>
        </w:rPr>
        <w:t xml:space="preserve">. </w:t>
      </w:r>
      <w:r w:rsidR="00F47AC1">
        <w:rPr>
          <w:iCs/>
        </w:rPr>
        <w:t xml:space="preserve">MICE-UTR and </w:t>
      </w:r>
      <w:r w:rsidR="00E069DE">
        <w:rPr>
          <w:iCs/>
        </w:rPr>
        <w:t>B</w:t>
      </w:r>
      <w:r w:rsidR="00F47AC1">
        <w:rPr>
          <w:iCs/>
        </w:rPr>
        <w:t xml:space="preserve">MTR yield similar estimates in all quantities, although the </w:t>
      </w:r>
      <w:r w:rsidR="00E069DE">
        <w:rPr>
          <w:iCs/>
        </w:rPr>
        <w:t>B</w:t>
      </w:r>
      <w:r w:rsidR="00F47AC1">
        <w:rPr>
          <w:iCs/>
        </w:rPr>
        <w:t xml:space="preserve">MTR tends to have slightly smaller estimates in the percentiles and means than MICE-UTR. </w:t>
      </w:r>
      <w:r w:rsidR="00970BF1">
        <w:rPr>
          <w:iCs/>
        </w:rPr>
        <w:t xml:space="preserve">This is not surprising, as the proportions of data below LODs range from 24% to 30% and MICE-UTR and MTR tend to perform similarly when proportions of data below LODs are </w:t>
      </w:r>
      <w:r w:rsidR="00590630">
        <w:rPr>
          <w:iCs/>
        </w:rPr>
        <w:t>not high</w:t>
      </w:r>
      <w:r w:rsidR="00970BF1">
        <w:rPr>
          <w:iCs/>
        </w:rPr>
        <w:t xml:space="preserve"> as shown in </w:t>
      </w:r>
      <w:r w:rsidR="00ED3E23">
        <w:rPr>
          <w:iCs/>
        </w:rPr>
        <w:t>the s</w:t>
      </w:r>
      <w:r w:rsidR="00970BF1">
        <w:rPr>
          <w:iCs/>
        </w:rPr>
        <w:t xml:space="preserve">imulation </w:t>
      </w:r>
      <w:r w:rsidR="00ED3E23">
        <w:rPr>
          <w:iCs/>
        </w:rPr>
        <w:t xml:space="preserve">Scenario </w:t>
      </w:r>
      <w:r w:rsidR="00970BF1">
        <w:rPr>
          <w:iCs/>
        </w:rPr>
        <w:t xml:space="preserve">S1. </w:t>
      </w:r>
      <w:r w:rsidR="00F47AC1">
        <w:rPr>
          <w:iCs/>
        </w:rPr>
        <w:t>The regression slope</w:t>
      </w:r>
      <w:r w:rsidR="00970BF1">
        <w:rPr>
          <w:iCs/>
        </w:rPr>
        <w:t xml:space="preserve"> estimates are similar across methods, except for iAs where the MICE-OLS results in a </w:t>
      </w:r>
      <w:r w:rsidR="007D67F7">
        <w:rPr>
          <w:iCs/>
        </w:rPr>
        <w:t>larger</w:t>
      </w:r>
      <w:r w:rsidR="00970BF1">
        <w:rPr>
          <w:iCs/>
        </w:rPr>
        <w:t xml:space="preserve"> slope estimate than </w:t>
      </w:r>
      <w:r w:rsidR="007D67F7" w:rsidRPr="00CC0CDF">
        <w:rPr>
          <w:iCs/>
        </w:rPr>
        <w:t>LOD/</w:t>
      </w:r>
      <m:oMath>
        <m:rad>
          <m:radPr>
            <m:degHide m:val="1"/>
            <m:ctrlPr>
              <w:rPr>
                <w:rFonts w:ascii="Cambria Math" w:hAnsi="Cambria Math"/>
                <w:i/>
                <w:iCs/>
              </w:rPr>
            </m:ctrlPr>
          </m:radPr>
          <m:deg/>
          <m:e>
            <m:r>
              <w:rPr>
                <w:rFonts w:ascii="Cambria Math" w:hAnsi="Cambria Math"/>
              </w:rPr>
              <m:t>2</m:t>
            </m:r>
          </m:e>
        </m:rad>
      </m:oMath>
      <w:r w:rsidR="007D67F7">
        <w:rPr>
          <w:iCs/>
        </w:rPr>
        <w:t>, followed by MICE-UTR and BMTR</w:t>
      </w:r>
      <w:r w:rsidR="00970BF1">
        <w:rPr>
          <w:iCs/>
        </w:rPr>
        <w:t>.</w:t>
      </w:r>
    </w:p>
    <w:p w14:paraId="1C2F546C" w14:textId="77777777" w:rsidR="006876A8" w:rsidRPr="000271D4" w:rsidRDefault="006876A8" w:rsidP="006876A8">
      <w:pPr>
        <w:widowControl w:val="0"/>
        <w:autoSpaceDE w:val="0"/>
        <w:autoSpaceDN w:val="0"/>
        <w:adjustRightInd w:val="0"/>
        <w:spacing w:after="120" w:line="480" w:lineRule="auto"/>
        <w:ind w:firstLine="720"/>
        <w:rPr>
          <w:iCs/>
        </w:rPr>
      </w:pPr>
    </w:p>
    <w:p w14:paraId="12B7F7F4" w14:textId="0CDB702C" w:rsidR="00564207" w:rsidRPr="00E069DE" w:rsidRDefault="009125DA" w:rsidP="00E33AB2">
      <w:pPr>
        <w:pStyle w:val="Heading2"/>
      </w:pPr>
      <w:r w:rsidRPr="00E069DE">
        <w:t>4</w:t>
      </w:r>
      <w:r w:rsidR="00564207" w:rsidRPr="00E069DE">
        <w:t xml:space="preserve">. </w:t>
      </w:r>
      <w:r w:rsidR="000577B3">
        <w:t>Discussion</w:t>
      </w:r>
    </w:p>
    <w:p w14:paraId="2CCC79BF" w14:textId="77777777" w:rsidR="007A2137" w:rsidRDefault="00564207" w:rsidP="00564207">
      <w:pPr>
        <w:widowControl w:val="0"/>
        <w:autoSpaceDE w:val="0"/>
        <w:autoSpaceDN w:val="0"/>
        <w:adjustRightInd w:val="0"/>
        <w:spacing w:after="120" w:line="480" w:lineRule="auto"/>
        <w:rPr>
          <w:iCs/>
        </w:rPr>
      </w:pPr>
      <w:r w:rsidRPr="00F75A10">
        <w:rPr>
          <w:iCs/>
        </w:rPr>
        <w:t xml:space="preserve">We </w:t>
      </w:r>
      <w:r w:rsidR="000E6CF9">
        <w:rPr>
          <w:iCs/>
        </w:rPr>
        <w:t>consider</w:t>
      </w:r>
      <w:r w:rsidR="00A77635">
        <w:rPr>
          <w:iCs/>
        </w:rPr>
        <w:t xml:space="preserve"> multiple imputation</w:t>
      </w:r>
      <w:r w:rsidR="00942259">
        <w:rPr>
          <w:iCs/>
        </w:rPr>
        <w:t xml:space="preserve"> (MI)</w:t>
      </w:r>
      <w:r w:rsidR="00A77635">
        <w:rPr>
          <w:iCs/>
        </w:rPr>
        <w:t xml:space="preserve"> </w:t>
      </w:r>
      <w:r w:rsidR="00484CA4">
        <w:rPr>
          <w:iCs/>
        </w:rPr>
        <w:t xml:space="preserve">for </w:t>
      </w:r>
      <w:r w:rsidR="00942259">
        <w:rPr>
          <w:iCs/>
        </w:rPr>
        <w:t xml:space="preserve">data below LODs in </w:t>
      </w:r>
      <w:r w:rsidR="00484CA4">
        <w:rPr>
          <w:iCs/>
        </w:rPr>
        <w:t xml:space="preserve">exposure mixtures. To account for the correlations between </w:t>
      </w:r>
      <w:r w:rsidR="000E6CF9">
        <w:rPr>
          <w:iCs/>
        </w:rPr>
        <w:t>exposure mixtures</w:t>
      </w:r>
      <w:r w:rsidR="001870C8">
        <w:rPr>
          <w:iCs/>
        </w:rPr>
        <w:t xml:space="preserve"> and </w:t>
      </w:r>
      <w:r w:rsidR="00B33B98">
        <w:rPr>
          <w:iCs/>
        </w:rPr>
        <w:t xml:space="preserve">the nonignorable missing data mechanism for </w:t>
      </w:r>
      <w:r w:rsidR="001870C8">
        <w:rPr>
          <w:iCs/>
        </w:rPr>
        <w:t xml:space="preserve">data below </w:t>
      </w:r>
      <w:r w:rsidR="00B24C4A">
        <w:rPr>
          <w:iCs/>
        </w:rPr>
        <w:t xml:space="preserve">the </w:t>
      </w:r>
      <w:r w:rsidR="001870C8">
        <w:rPr>
          <w:iCs/>
        </w:rPr>
        <w:t>LOD in the imputation models</w:t>
      </w:r>
      <w:r w:rsidR="000E6CF9">
        <w:rPr>
          <w:iCs/>
        </w:rPr>
        <w:t xml:space="preserve">, we </w:t>
      </w:r>
      <w:r w:rsidR="00942259">
        <w:rPr>
          <w:iCs/>
        </w:rPr>
        <w:t xml:space="preserve">propose </w:t>
      </w:r>
      <w:r w:rsidR="000E6CF9">
        <w:rPr>
          <w:iCs/>
        </w:rPr>
        <w:t xml:space="preserve">a </w:t>
      </w:r>
      <w:r w:rsidR="00942259">
        <w:rPr>
          <w:iCs/>
        </w:rPr>
        <w:t xml:space="preserve">MI approach using </w:t>
      </w:r>
      <w:r w:rsidR="000E6CF9">
        <w:rPr>
          <w:iCs/>
        </w:rPr>
        <w:t xml:space="preserve">Bayesian multivariate Tobit </w:t>
      </w:r>
      <w:r w:rsidR="00B24C4A">
        <w:rPr>
          <w:iCs/>
        </w:rPr>
        <w:t>regression</w:t>
      </w:r>
      <w:r w:rsidR="000E6CF9">
        <w:rPr>
          <w:iCs/>
        </w:rPr>
        <w:t xml:space="preserve"> </w:t>
      </w:r>
      <w:r w:rsidR="0085118D">
        <w:rPr>
          <w:iCs/>
        </w:rPr>
        <w:t>(BMTR)</w:t>
      </w:r>
      <w:r w:rsidR="000E6CF9">
        <w:rPr>
          <w:iCs/>
        </w:rPr>
        <w:t xml:space="preserve">. </w:t>
      </w:r>
      <w:r w:rsidR="00B24C4A">
        <w:rPr>
          <w:iCs/>
        </w:rPr>
        <w:t xml:space="preserve">In addition, we extended the existing MICE algorithm in statistical software, such as R, to allow the use of univariate Tobit regression as the imputation model for one exposure at a time in a sequential manner. We named this MICE-UTR. </w:t>
      </w:r>
    </w:p>
    <w:p w14:paraId="50A482BE" w14:textId="41E843AB" w:rsidR="00564207" w:rsidRPr="00F75A10" w:rsidRDefault="00942259" w:rsidP="007A2137">
      <w:pPr>
        <w:widowControl w:val="0"/>
        <w:autoSpaceDE w:val="0"/>
        <w:autoSpaceDN w:val="0"/>
        <w:adjustRightInd w:val="0"/>
        <w:spacing w:after="120" w:line="480" w:lineRule="auto"/>
        <w:ind w:firstLine="720"/>
        <w:rPr>
          <w:iCs/>
        </w:rPr>
      </w:pPr>
      <w:r>
        <w:rPr>
          <w:iCs/>
        </w:rPr>
        <w:t xml:space="preserve">Using simulation studies, we showed that </w:t>
      </w:r>
      <w:r w:rsidR="00B24C4A">
        <w:rPr>
          <w:iCs/>
        </w:rPr>
        <w:t xml:space="preserve">the </w:t>
      </w:r>
      <w:r>
        <w:rPr>
          <w:iCs/>
        </w:rPr>
        <w:t>BMTR</w:t>
      </w:r>
      <w:r w:rsidR="000E6CF9">
        <w:rPr>
          <w:iCs/>
        </w:rPr>
        <w:t xml:space="preserve"> </w:t>
      </w:r>
      <w:r w:rsidR="00B24C4A">
        <w:rPr>
          <w:iCs/>
        </w:rPr>
        <w:t>and MICE-UTR perform similarly when proportion</w:t>
      </w:r>
      <w:r w:rsidR="007A2137">
        <w:rPr>
          <w:iCs/>
        </w:rPr>
        <w:t>s</w:t>
      </w:r>
      <w:r w:rsidR="00B24C4A">
        <w:rPr>
          <w:iCs/>
        </w:rPr>
        <w:t xml:space="preserve"> of data below the LOD</w:t>
      </w:r>
      <w:r w:rsidR="007A2137">
        <w:rPr>
          <w:iCs/>
        </w:rPr>
        <w:t>s</w:t>
      </w:r>
      <w:r w:rsidR="00B24C4A">
        <w:rPr>
          <w:iCs/>
        </w:rPr>
        <w:t xml:space="preserve"> </w:t>
      </w:r>
      <w:r w:rsidR="007A2137">
        <w:rPr>
          <w:iCs/>
        </w:rPr>
        <w:t>are</w:t>
      </w:r>
      <w:r w:rsidR="00B24C4A">
        <w:rPr>
          <w:iCs/>
        </w:rPr>
        <w:t xml:space="preserve"> small to moderate, and both </w:t>
      </w:r>
      <w:r w:rsidR="000E6CF9">
        <w:rPr>
          <w:iCs/>
        </w:rPr>
        <w:t xml:space="preserve">outperform the </w:t>
      </w:r>
      <w:r w:rsidR="000E6CF9">
        <w:rPr>
          <w:iCs/>
        </w:rPr>
        <w:lastRenderedPageBreak/>
        <w:t xml:space="preserve">substitution </w:t>
      </w:r>
      <w:r w:rsidR="00A4008B">
        <w:rPr>
          <w:iCs/>
        </w:rPr>
        <w:t xml:space="preserve">approach </w:t>
      </w:r>
      <w:r w:rsidR="00B24C4A">
        <w:rPr>
          <w:iCs/>
        </w:rPr>
        <w:t>using</w:t>
      </w:r>
      <w:r>
        <w:rPr>
          <w:iCs/>
        </w:rPr>
        <w:t xml:space="preserve"> </w:t>
      </w:r>
      <w:r w:rsidR="000E6CF9" w:rsidRPr="00CC0CDF">
        <w:rPr>
          <w:iCs/>
        </w:rPr>
        <w:t>LOD/</w:t>
      </w:r>
      <m:oMath>
        <m:rad>
          <m:radPr>
            <m:degHide m:val="1"/>
            <m:ctrlPr>
              <w:rPr>
                <w:rFonts w:ascii="Cambria Math" w:hAnsi="Cambria Math"/>
                <w:i/>
                <w:iCs/>
              </w:rPr>
            </m:ctrlPr>
          </m:radPr>
          <m:deg/>
          <m:e>
            <m:r>
              <w:rPr>
                <w:rFonts w:ascii="Cambria Math" w:hAnsi="Cambria Math"/>
              </w:rPr>
              <m:t>2</m:t>
            </m:r>
          </m:e>
        </m:rad>
      </m:oMath>
      <w:r w:rsidR="000E6CF9">
        <w:rPr>
          <w:iCs/>
        </w:rPr>
        <w:t xml:space="preserve"> and </w:t>
      </w:r>
      <w:r>
        <w:rPr>
          <w:iCs/>
        </w:rPr>
        <w:t>the</w:t>
      </w:r>
      <w:r w:rsidR="000E6CF9">
        <w:rPr>
          <w:iCs/>
        </w:rPr>
        <w:t xml:space="preserve"> MICE</w:t>
      </w:r>
      <w:r w:rsidR="00B24C4A">
        <w:rPr>
          <w:iCs/>
        </w:rPr>
        <w:t xml:space="preserve">-OLS approach </w:t>
      </w:r>
      <w:r>
        <w:rPr>
          <w:iCs/>
        </w:rPr>
        <w:t xml:space="preserve">that fits </w:t>
      </w:r>
      <w:r w:rsidR="000E6CF9">
        <w:rPr>
          <w:iCs/>
        </w:rPr>
        <w:t xml:space="preserve">ordinary least squares regression </w:t>
      </w:r>
      <w:r w:rsidR="00B24C4A">
        <w:rPr>
          <w:iCs/>
        </w:rPr>
        <w:t>in the MICE iterations</w:t>
      </w:r>
      <w:r w:rsidR="007A2137">
        <w:rPr>
          <w:iCs/>
        </w:rPr>
        <w:t xml:space="preserve"> by assuming data are missing at random</w:t>
      </w:r>
      <w:r>
        <w:rPr>
          <w:iCs/>
        </w:rPr>
        <w:t xml:space="preserve">. </w:t>
      </w:r>
      <w:r w:rsidR="00F77EE2">
        <w:rPr>
          <w:iCs/>
        </w:rPr>
        <w:t xml:space="preserve"> </w:t>
      </w:r>
      <w:r w:rsidR="00AE7BFC">
        <w:rPr>
          <w:iCs/>
        </w:rPr>
        <w:t>However, w</w:t>
      </w:r>
      <w:r w:rsidR="00A4008B">
        <w:rPr>
          <w:iCs/>
        </w:rPr>
        <w:t xml:space="preserve">hen proportions of data below </w:t>
      </w:r>
      <w:r w:rsidR="00B24C4A">
        <w:rPr>
          <w:iCs/>
        </w:rPr>
        <w:t xml:space="preserve">the </w:t>
      </w:r>
      <w:r w:rsidR="00A4008B">
        <w:rPr>
          <w:iCs/>
        </w:rPr>
        <w:t>LOD</w:t>
      </w:r>
      <w:r w:rsidR="007A2137">
        <w:rPr>
          <w:iCs/>
        </w:rPr>
        <w:t>s</w:t>
      </w:r>
      <w:r w:rsidR="00A4008B">
        <w:rPr>
          <w:iCs/>
        </w:rPr>
        <w:t xml:space="preserve"> are large, the simulation shows that the imputations using BMTR lead to better </w:t>
      </w:r>
      <w:r w:rsidR="007A2137">
        <w:rPr>
          <w:iCs/>
        </w:rPr>
        <w:t>inference</w:t>
      </w:r>
      <w:r w:rsidR="00A4008B">
        <w:rPr>
          <w:iCs/>
        </w:rPr>
        <w:t xml:space="preserve"> of percentiles, means and regression slopes than the imputations using MICE-UTR. </w:t>
      </w:r>
      <w:r w:rsidR="0067035B">
        <w:rPr>
          <w:iCs/>
        </w:rPr>
        <w:t xml:space="preserve">The improvement of </w:t>
      </w:r>
      <w:r w:rsidR="0085118D">
        <w:rPr>
          <w:iCs/>
        </w:rPr>
        <w:t>B</w:t>
      </w:r>
      <w:r w:rsidR="00A4008B">
        <w:rPr>
          <w:iCs/>
        </w:rPr>
        <w:t xml:space="preserve">MTR </w:t>
      </w:r>
      <w:r w:rsidR="0067035B">
        <w:rPr>
          <w:iCs/>
        </w:rPr>
        <w:t xml:space="preserve">over </w:t>
      </w:r>
      <w:r w:rsidR="0055473D">
        <w:rPr>
          <w:iCs/>
        </w:rPr>
        <w:t xml:space="preserve">the alternative methods becomes more pronounced for the exposure with </w:t>
      </w:r>
      <w:r w:rsidR="007A2137">
        <w:rPr>
          <w:iCs/>
        </w:rPr>
        <w:t xml:space="preserve">a </w:t>
      </w:r>
      <w:r w:rsidR="0055473D">
        <w:rPr>
          <w:iCs/>
        </w:rPr>
        <w:t xml:space="preserve">larger proportion of data below </w:t>
      </w:r>
      <w:r w:rsidR="007A2137">
        <w:rPr>
          <w:iCs/>
        </w:rPr>
        <w:t xml:space="preserve">the </w:t>
      </w:r>
      <w:r w:rsidR="0055473D">
        <w:rPr>
          <w:iCs/>
        </w:rPr>
        <w:t xml:space="preserve">LOD. </w:t>
      </w:r>
      <w:r w:rsidR="00564207" w:rsidRPr="00F75A10">
        <w:rPr>
          <w:iCs/>
        </w:rPr>
        <w:t xml:space="preserve">Therefore, </w:t>
      </w:r>
      <w:r w:rsidR="0085118D">
        <w:rPr>
          <w:iCs/>
        </w:rPr>
        <w:t>B</w:t>
      </w:r>
      <w:r w:rsidR="00564207" w:rsidRPr="00F75A10">
        <w:rPr>
          <w:iCs/>
        </w:rPr>
        <w:t xml:space="preserve">MTR imputation method is recommended for </w:t>
      </w:r>
      <w:r w:rsidR="007A2137">
        <w:rPr>
          <w:iCs/>
        </w:rPr>
        <w:t xml:space="preserve">the </w:t>
      </w:r>
      <w:r w:rsidR="00564207" w:rsidRPr="00F75A10">
        <w:rPr>
          <w:iCs/>
        </w:rPr>
        <w:t>imputation</w:t>
      </w:r>
      <w:r w:rsidR="0085118D">
        <w:rPr>
          <w:iCs/>
        </w:rPr>
        <w:t xml:space="preserve"> of data below </w:t>
      </w:r>
      <w:r w:rsidR="007A2137">
        <w:rPr>
          <w:iCs/>
        </w:rPr>
        <w:t xml:space="preserve">the </w:t>
      </w:r>
      <w:r w:rsidR="0085118D">
        <w:rPr>
          <w:iCs/>
        </w:rPr>
        <w:t>LODs in exposure mixtures</w:t>
      </w:r>
      <w:r w:rsidR="00564207" w:rsidRPr="00F75A10">
        <w:rPr>
          <w:iCs/>
        </w:rPr>
        <w:t xml:space="preserve"> with </w:t>
      </w:r>
      <w:r w:rsidR="0085118D">
        <w:rPr>
          <w:iCs/>
        </w:rPr>
        <w:t xml:space="preserve">moderate or </w:t>
      </w:r>
      <w:r w:rsidR="00564207" w:rsidRPr="00F75A10">
        <w:rPr>
          <w:iCs/>
        </w:rPr>
        <w:t xml:space="preserve">high </w:t>
      </w:r>
      <w:r w:rsidR="0085118D">
        <w:rPr>
          <w:iCs/>
        </w:rPr>
        <w:t>proportions of censored observations</w:t>
      </w:r>
      <w:r w:rsidR="00564207" w:rsidRPr="00F75A10">
        <w:rPr>
          <w:iCs/>
        </w:rPr>
        <w:t xml:space="preserve">. </w:t>
      </w:r>
      <w:r w:rsidR="00F77EE2">
        <w:rPr>
          <w:iCs/>
        </w:rPr>
        <w:t xml:space="preserve">Although BMTR performs better than the other methods in general, its estimation for quantiles that are close to </w:t>
      </w:r>
      <w:r w:rsidR="008D7CC7">
        <w:rPr>
          <w:iCs/>
        </w:rPr>
        <w:t xml:space="preserve">the </w:t>
      </w:r>
      <w:r w:rsidR="00F77EE2">
        <w:rPr>
          <w:iCs/>
        </w:rPr>
        <w:t>LOD</w:t>
      </w:r>
      <w:r w:rsidR="008D7CC7">
        <w:rPr>
          <w:iCs/>
        </w:rPr>
        <w:t xml:space="preserve"> levels can be </w:t>
      </w:r>
      <w:r w:rsidR="007A2137">
        <w:rPr>
          <w:iCs/>
        </w:rPr>
        <w:t xml:space="preserve">biased even though the 95% CI still provides adequate </w:t>
      </w:r>
      <w:r w:rsidR="008458BB">
        <w:rPr>
          <w:iCs/>
        </w:rPr>
        <w:t xml:space="preserve">confidence </w:t>
      </w:r>
      <w:r w:rsidR="007A2137">
        <w:rPr>
          <w:iCs/>
        </w:rPr>
        <w:t>coverage</w:t>
      </w:r>
      <w:r w:rsidR="008D7CC7">
        <w:rPr>
          <w:iCs/>
        </w:rPr>
        <w:t xml:space="preserve">. </w:t>
      </w:r>
    </w:p>
    <w:p w14:paraId="40C4831F" w14:textId="456F90BD" w:rsidR="008458BB" w:rsidRDefault="00564207" w:rsidP="008458BB">
      <w:pPr>
        <w:widowControl w:val="0"/>
        <w:autoSpaceDE w:val="0"/>
        <w:autoSpaceDN w:val="0"/>
        <w:adjustRightInd w:val="0"/>
        <w:spacing w:after="120" w:line="480" w:lineRule="auto"/>
        <w:ind w:firstLine="720"/>
        <w:rPr>
          <w:iCs/>
        </w:rPr>
      </w:pPr>
      <w:r w:rsidRPr="00F75A10">
        <w:rPr>
          <w:iCs/>
        </w:rPr>
        <w:t xml:space="preserve">The </w:t>
      </w:r>
      <w:r w:rsidR="00A4008B">
        <w:rPr>
          <w:iCs/>
        </w:rPr>
        <w:t>B</w:t>
      </w:r>
      <w:r w:rsidRPr="00F75A10">
        <w:rPr>
          <w:iCs/>
        </w:rPr>
        <w:t xml:space="preserve">MTR and </w:t>
      </w:r>
      <w:r w:rsidR="00A4008B">
        <w:rPr>
          <w:iCs/>
        </w:rPr>
        <w:t>the MICE-UTR</w:t>
      </w:r>
      <w:r w:rsidRPr="00F75A10">
        <w:rPr>
          <w:iCs/>
        </w:rPr>
        <w:t xml:space="preserve"> methods need to be used with caution</w:t>
      </w:r>
      <w:r w:rsidR="0055473D">
        <w:rPr>
          <w:iCs/>
        </w:rPr>
        <w:t>s</w:t>
      </w:r>
      <w:r w:rsidRPr="00F75A10">
        <w:rPr>
          <w:iCs/>
        </w:rPr>
        <w:t xml:space="preserve">. </w:t>
      </w:r>
      <w:r w:rsidR="0085118D">
        <w:rPr>
          <w:iCs/>
        </w:rPr>
        <w:t xml:space="preserve">The BMRT assumes a multivariate normal distribution </w:t>
      </w:r>
      <w:r w:rsidR="0055473D">
        <w:rPr>
          <w:iCs/>
        </w:rPr>
        <w:t>for the exposure mixtures conditional on covariates and the MICE-UTR assumes a univariate normal distribution for each exposure given the other exposures and covariates. Density plots</w:t>
      </w:r>
      <w:r w:rsidRPr="00F75A10">
        <w:rPr>
          <w:iCs/>
        </w:rPr>
        <w:t xml:space="preserve"> and </w:t>
      </w:r>
      <w:r w:rsidR="0055473D">
        <w:rPr>
          <w:iCs/>
        </w:rPr>
        <w:t>contour</w:t>
      </w:r>
      <w:r w:rsidRPr="00F75A10">
        <w:rPr>
          <w:iCs/>
        </w:rPr>
        <w:t xml:space="preserve"> </w:t>
      </w:r>
      <w:r w:rsidR="0055473D">
        <w:rPr>
          <w:iCs/>
        </w:rPr>
        <w:t>plots for any two exposures can be checked on the model residuals</w:t>
      </w:r>
      <w:r w:rsidR="008458BB">
        <w:rPr>
          <w:iCs/>
        </w:rPr>
        <w:t xml:space="preserve"> to assess the assumptions</w:t>
      </w:r>
      <w:r w:rsidRPr="00F75A10">
        <w:rPr>
          <w:iCs/>
        </w:rPr>
        <w:t xml:space="preserve">. </w:t>
      </w:r>
      <w:r w:rsidR="008458BB">
        <w:rPr>
          <w:iCs/>
        </w:rPr>
        <w:t xml:space="preserve">Transformation on the exposure mixtures may be needed before model fitting to make the assumptions become more reasonable. </w:t>
      </w:r>
    </w:p>
    <w:p w14:paraId="60CE1172" w14:textId="48CB9516" w:rsidR="00564207" w:rsidRPr="00D265FE" w:rsidRDefault="00AA7E21" w:rsidP="008458BB">
      <w:pPr>
        <w:widowControl w:val="0"/>
        <w:autoSpaceDE w:val="0"/>
        <w:autoSpaceDN w:val="0"/>
        <w:adjustRightInd w:val="0"/>
        <w:spacing w:after="120" w:line="480" w:lineRule="auto"/>
        <w:ind w:firstLine="720"/>
        <w:rPr>
          <w:iCs/>
        </w:rPr>
        <w:sectPr w:rsidR="00564207" w:rsidRPr="00D265FE" w:rsidSect="00C2134A">
          <w:pgSz w:w="12240" w:h="15840"/>
          <w:pgMar w:top="1440" w:right="1440" w:bottom="1440" w:left="1440" w:header="720" w:footer="720" w:gutter="0"/>
          <w:cols w:space="720"/>
          <w:docGrid w:linePitch="360"/>
        </w:sectPr>
      </w:pPr>
      <w:r>
        <w:rPr>
          <w:iCs/>
        </w:rPr>
        <w:t>T</w:t>
      </w:r>
      <w:r w:rsidR="008458BB">
        <w:rPr>
          <w:iCs/>
        </w:rPr>
        <w:t>he</w:t>
      </w:r>
      <w:r w:rsidR="0055473D">
        <w:rPr>
          <w:iCs/>
        </w:rPr>
        <w:t xml:space="preserve"> BMTR</w:t>
      </w:r>
      <w:r>
        <w:rPr>
          <w:iCs/>
        </w:rPr>
        <w:t xml:space="preserve"> is more </w:t>
      </w:r>
      <w:proofErr w:type="gramStart"/>
      <w:r>
        <w:rPr>
          <w:iCs/>
        </w:rPr>
        <w:t>computational</w:t>
      </w:r>
      <w:proofErr w:type="gramEnd"/>
      <w:r>
        <w:rPr>
          <w:iCs/>
        </w:rPr>
        <w:t xml:space="preserve"> intensive than the MICE-UTR and the other methods. The computation </w:t>
      </w:r>
      <w:r w:rsidR="000577B3">
        <w:rPr>
          <w:iCs/>
        </w:rPr>
        <w:t>time could depend on sample size,</w:t>
      </w:r>
      <w:r>
        <w:rPr>
          <w:iCs/>
        </w:rPr>
        <w:t xml:space="preserve"> </w:t>
      </w:r>
      <w:r w:rsidR="000577B3">
        <w:rPr>
          <w:iCs/>
        </w:rPr>
        <w:t>number of</w:t>
      </w:r>
      <w:r>
        <w:rPr>
          <w:iCs/>
        </w:rPr>
        <w:t xml:space="preserve"> exposure mixture</w:t>
      </w:r>
      <w:r w:rsidR="000577B3">
        <w:rPr>
          <w:iCs/>
        </w:rPr>
        <w:t>s</w:t>
      </w:r>
      <w:r>
        <w:rPr>
          <w:iCs/>
        </w:rPr>
        <w:t xml:space="preserve">, proportions of data below the LODs for each exposure, and </w:t>
      </w:r>
      <w:r w:rsidR="000577B3">
        <w:rPr>
          <w:iCs/>
        </w:rPr>
        <w:t xml:space="preserve">missing patterns across </w:t>
      </w:r>
      <w:r w:rsidR="008B13C0">
        <w:rPr>
          <w:iCs/>
        </w:rPr>
        <w:t xml:space="preserve">all </w:t>
      </w:r>
      <w:r w:rsidR="000577B3">
        <w:rPr>
          <w:iCs/>
        </w:rPr>
        <w:t xml:space="preserve">exposure mixtures. </w:t>
      </w:r>
    </w:p>
    <w:p w14:paraId="58423D6C" w14:textId="27E1C5CD" w:rsidR="00564207" w:rsidRPr="008D7CC7" w:rsidRDefault="00564207" w:rsidP="00564207">
      <w:pPr>
        <w:rPr>
          <w:b/>
          <w:sz w:val="28"/>
          <w:szCs w:val="28"/>
        </w:rPr>
      </w:pPr>
      <w:r w:rsidRPr="008D7CC7">
        <w:rPr>
          <w:b/>
          <w:sz w:val="28"/>
          <w:szCs w:val="28"/>
        </w:rPr>
        <w:lastRenderedPageBreak/>
        <w:t>Reference</w:t>
      </w:r>
    </w:p>
    <w:p w14:paraId="098A7097" w14:textId="77777777" w:rsidR="00494F3E" w:rsidRDefault="00494F3E" w:rsidP="00564207"/>
    <w:p w14:paraId="003B397F" w14:textId="77777777" w:rsidR="00564207" w:rsidRDefault="00564207" w:rsidP="00564207"/>
    <w:p w14:paraId="6E6477E8" w14:textId="77777777" w:rsidR="006A3F13" w:rsidRPr="006A3F13" w:rsidRDefault="00564207" w:rsidP="006A3F13">
      <w:pPr>
        <w:pStyle w:val="Bibliography"/>
      </w:pPr>
      <w:r>
        <w:fldChar w:fldCharType="begin"/>
      </w:r>
      <w:r w:rsidR="006A3F13">
        <w:instrText xml:space="preserve"> ADDIN ZOTERO_BIBL {"uncited":[],"omitted":[],"custom":[]} CSL_BIBLIOGRAPHY </w:instrText>
      </w:r>
      <w:r>
        <w:fldChar w:fldCharType="separate"/>
      </w:r>
      <w:r w:rsidR="006A3F13" w:rsidRPr="006A3F13">
        <w:t xml:space="preserve">1. </w:t>
      </w:r>
      <w:r w:rsidR="006A3F13" w:rsidRPr="006A3F13">
        <w:tab/>
        <w:t xml:space="preserve">Hornung RW, Reed LD. Estimation of Average Concentration in the Presence of Nondetectable Values. </w:t>
      </w:r>
      <w:r w:rsidR="006A3F13" w:rsidRPr="006A3F13">
        <w:rPr>
          <w:i/>
          <w:iCs/>
        </w:rPr>
        <w:t>Applied Occupational and Environmental Hygiene</w:t>
      </w:r>
      <w:r w:rsidR="006A3F13" w:rsidRPr="006A3F13">
        <w:t>. 1990;5(1):46-51. doi:10.1080/1047322X.1990.10389587</w:t>
      </w:r>
    </w:p>
    <w:p w14:paraId="1F58F884" w14:textId="77777777" w:rsidR="006A3F13" w:rsidRPr="006A3F13" w:rsidRDefault="006A3F13" w:rsidP="006A3F13">
      <w:pPr>
        <w:pStyle w:val="Bibliography"/>
      </w:pPr>
      <w:r w:rsidRPr="006A3F13">
        <w:t xml:space="preserve">2. </w:t>
      </w:r>
      <w:r w:rsidRPr="006A3F13">
        <w:tab/>
        <w:t xml:space="preserve">Antweiler RC, Taylor HE. Evaluation of Statistical Treatments of Left-Censored Environmental Data using Coincident Uncensored Data Sets: I. Summary Statistics. </w:t>
      </w:r>
      <w:r w:rsidRPr="006A3F13">
        <w:rPr>
          <w:i/>
          <w:iCs/>
        </w:rPr>
        <w:t>Environ Sci Technol</w:t>
      </w:r>
      <w:r w:rsidRPr="006A3F13">
        <w:t>. 2008;42(10):3732-3738. doi:10.1021/es071301c</w:t>
      </w:r>
    </w:p>
    <w:p w14:paraId="3342B5E6" w14:textId="77777777" w:rsidR="006A3F13" w:rsidRPr="006A3F13" w:rsidRDefault="006A3F13" w:rsidP="006A3F13">
      <w:pPr>
        <w:pStyle w:val="Bibliography"/>
      </w:pPr>
      <w:r w:rsidRPr="006A3F13">
        <w:t xml:space="preserve">3. </w:t>
      </w:r>
      <w:r w:rsidRPr="006A3F13">
        <w:tab/>
        <w:t xml:space="preserve">Helsel. Much ado about next to nothing: incorporating nondetects in science. </w:t>
      </w:r>
      <w:r w:rsidRPr="006A3F13">
        <w:rPr>
          <w:i/>
          <w:iCs/>
        </w:rPr>
        <w:t>Ann Occup Hyg</w:t>
      </w:r>
      <w:r w:rsidRPr="006A3F13">
        <w:t>. 2010;54(3):257-262. doi:10.1093/annhyg/mep092</w:t>
      </w:r>
    </w:p>
    <w:p w14:paraId="2148F925" w14:textId="77777777" w:rsidR="006A3F13" w:rsidRPr="006A3F13" w:rsidRDefault="006A3F13" w:rsidP="006A3F13">
      <w:pPr>
        <w:pStyle w:val="Bibliography"/>
      </w:pPr>
      <w:r w:rsidRPr="006A3F13">
        <w:t xml:space="preserve">4. </w:t>
      </w:r>
      <w:r w:rsidRPr="006A3F13">
        <w:tab/>
        <w:t xml:space="preserve">Helsel. </w:t>
      </w:r>
      <w:r w:rsidRPr="006A3F13">
        <w:rPr>
          <w:i/>
          <w:iCs/>
        </w:rPr>
        <w:t>Statistics for Censored Environmental Data Using Minitab and R</w:t>
      </w:r>
      <w:r w:rsidRPr="006A3F13">
        <w:t>. Vol 77. John Wiley &amp; Sons; 2011.</w:t>
      </w:r>
    </w:p>
    <w:p w14:paraId="078AC9F3" w14:textId="77777777" w:rsidR="006A3F13" w:rsidRPr="006A3F13" w:rsidRDefault="006A3F13" w:rsidP="006A3F13">
      <w:pPr>
        <w:pStyle w:val="Bibliography"/>
      </w:pPr>
      <w:r w:rsidRPr="006A3F13">
        <w:t xml:space="preserve">5. </w:t>
      </w:r>
      <w:r w:rsidRPr="006A3F13">
        <w:tab/>
        <w:t xml:space="preserve">Huybrechts T, Thas O, Dewulf J, Van Langenhove H. How to estimate moments and quantiles of environmental data sets with non-detected observations? A case study on volatile organic compounds in marine water samples. </w:t>
      </w:r>
      <w:r w:rsidRPr="006A3F13">
        <w:rPr>
          <w:i/>
          <w:iCs/>
        </w:rPr>
        <w:t>Journal of Chromatography A</w:t>
      </w:r>
      <w:r w:rsidRPr="006A3F13">
        <w:t>. 2002;975(1):123-133. doi:10.1016/S0021-9673(02)01327-4</w:t>
      </w:r>
    </w:p>
    <w:p w14:paraId="72722A05" w14:textId="77777777" w:rsidR="006A3F13" w:rsidRPr="006A3F13" w:rsidRDefault="006A3F13" w:rsidP="006A3F13">
      <w:pPr>
        <w:pStyle w:val="Bibliography"/>
      </w:pPr>
      <w:r w:rsidRPr="006A3F13">
        <w:t xml:space="preserve">6. </w:t>
      </w:r>
      <w:r w:rsidRPr="006A3F13">
        <w:tab/>
        <w:t xml:space="preserve">Helsel, Cohn TA. Estimation of descriptive statistics for multiply censored water quality data. </w:t>
      </w:r>
      <w:r w:rsidRPr="006A3F13">
        <w:rPr>
          <w:i/>
          <w:iCs/>
        </w:rPr>
        <w:t>Water Resour Res</w:t>
      </w:r>
      <w:r w:rsidRPr="006A3F13">
        <w:t>. 1988;24(12):1997-2004. doi:10.1029/WR024i012p01997</w:t>
      </w:r>
    </w:p>
    <w:p w14:paraId="20C2EB3E" w14:textId="77777777" w:rsidR="006A3F13" w:rsidRPr="006A3F13" w:rsidRDefault="006A3F13" w:rsidP="006A3F13">
      <w:pPr>
        <w:pStyle w:val="Bibliography"/>
      </w:pPr>
      <w:r w:rsidRPr="006A3F13">
        <w:t xml:space="preserve">7. </w:t>
      </w:r>
      <w:r w:rsidRPr="006A3F13">
        <w:tab/>
        <w:t xml:space="preserve">Helsel. Less than obvious - statistical treatment of data below the detection limit. </w:t>
      </w:r>
      <w:r w:rsidRPr="006A3F13">
        <w:rPr>
          <w:i/>
          <w:iCs/>
        </w:rPr>
        <w:t>Environ Sci Technol</w:t>
      </w:r>
      <w:r w:rsidRPr="006A3F13">
        <w:t>. 1990;24(12):1766-1774. doi:10.1021/es00082a001</w:t>
      </w:r>
    </w:p>
    <w:p w14:paraId="70C772E0" w14:textId="77777777" w:rsidR="006A3F13" w:rsidRPr="006A3F13" w:rsidRDefault="006A3F13" w:rsidP="006A3F13">
      <w:pPr>
        <w:pStyle w:val="Bibliography"/>
      </w:pPr>
      <w:r w:rsidRPr="006A3F13">
        <w:t xml:space="preserve">8. </w:t>
      </w:r>
      <w:r w:rsidRPr="006A3F13">
        <w:tab/>
        <w:t>US EPA O. Guidance for Data Quality Assessment. US EPA. Published June 17, 2015. Accessed March 9, 2021. https://www.epa.gov/quality/guidance-data-quality-assessment</w:t>
      </w:r>
    </w:p>
    <w:p w14:paraId="2E8EF4E9" w14:textId="77777777" w:rsidR="006A3F13" w:rsidRPr="006A3F13" w:rsidRDefault="006A3F13" w:rsidP="006A3F13">
      <w:pPr>
        <w:pStyle w:val="Bibliography"/>
      </w:pPr>
      <w:r w:rsidRPr="006A3F13">
        <w:t xml:space="preserve">9. </w:t>
      </w:r>
      <w:r w:rsidRPr="006A3F13">
        <w:tab/>
        <w:t xml:space="preserve">Gillespie BW, Chen Q, Reichert H, et al. Estimating population distributions when some data are below a limit of detection by using a reverse Kaplan-Meier estimator. </w:t>
      </w:r>
      <w:r w:rsidRPr="006A3F13">
        <w:rPr>
          <w:i/>
          <w:iCs/>
        </w:rPr>
        <w:t>Epidemiology</w:t>
      </w:r>
      <w:r w:rsidRPr="006A3F13">
        <w:t>. 2010;21 Suppl 4:S64-70. doi:10.1097/EDE.0b013e3181ce9f08</w:t>
      </w:r>
    </w:p>
    <w:p w14:paraId="3D565A19" w14:textId="77777777" w:rsidR="006A3F13" w:rsidRPr="006A3F13" w:rsidRDefault="006A3F13" w:rsidP="006A3F13">
      <w:pPr>
        <w:pStyle w:val="Bibliography"/>
      </w:pPr>
      <w:r w:rsidRPr="006A3F13">
        <w:t xml:space="preserve">10. </w:t>
      </w:r>
      <w:r w:rsidRPr="006A3F13">
        <w:tab/>
        <w:t xml:space="preserve">Rubin DB. Inference and missing data. </w:t>
      </w:r>
      <w:r w:rsidRPr="006A3F13">
        <w:rPr>
          <w:i/>
          <w:iCs/>
        </w:rPr>
        <w:t>Biometrika</w:t>
      </w:r>
      <w:r w:rsidRPr="006A3F13">
        <w:t>. 1976;63(3):581-592.</w:t>
      </w:r>
    </w:p>
    <w:p w14:paraId="34CB478D" w14:textId="77777777" w:rsidR="006A3F13" w:rsidRPr="006A3F13" w:rsidRDefault="006A3F13" w:rsidP="006A3F13">
      <w:pPr>
        <w:pStyle w:val="Bibliography"/>
      </w:pPr>
      <w:r w:rsidRPr="006A3F13">
        <w:t xml:space="preserve">11. </w:t>
      </w:r>
      <w:r w:rsidRPr="006A3F13">
        <w:tab/>
        <w:t xml:space="preserve">Lockwood JR, Schervish MJ, Gurian PL, Small MJ. Analysis of Contaminant Co-Occurrence in Community Water Systems. </w:t>
      </w:r>
      <w:r w:rsidRPr="006A3F13">
        <w:rPr>
          <w:i/>
          <w:iCs/>
        </w:rPr>
        <w:t>Journal of the American Statistical Association</w:t>
      </w:r>
      <w:r w:rsidRPr="006A3F13">
        <w:t>. 2004;99(465):45-56. doi:10.1198/016214504000000061</w:t>
      </w:r>
    </w:p>
    <w:p w14:paraId="7584B739" w14:textId="77777777" w:rsidR="006A3F13" w:rsidRPr="006A3F13" w:rsidRDefault="006A3F13" w:rsidP="006A3F13">
      <w:pPr>
        <w:pStyle w:val="Bibliography"/>
      </w:pPr>
      <w:r w:rsidRPr="006A3F13">
        <w:t xml:space="preserve">12. </w:t>
      </w:r>
      <w:r w:rsidRPr="006A3F13">
        <w:tab/>
        <w:t xml:space="preserve">Lockwood JR, Schervish MJ. MCMC Strategies for Computing Bayesian Predictive Densities for Censored Multivariate Data. </w:t>
      </w:r>
      <w:r w:rsidRPr="006A3F13">
        <w:rPr>
          <w:i/>
          <w:iCs/>
        </w:rPr>
        <w:t>Journal of Computational and Graphical Statistics</w:t>
      </w:r>
      <w:r w:rsidRPr="006A3F13">
        <w:t>. 2005;14(2):395-414. doi:10.1198/106186005X47967</w:t>
      </w:r>
    </w:p>
    <w:p w14:paraId="7F75FF16" w14:textId="77777777" w:rsidR="006A3F13" w:rsidRPr="006A3F13" w:rsidRDefault="006A3F13" w:rsidP="006A3F13">
      <w:pPr>
        <w:pStyle w:val="Bibliography"/>
      </w:pPr>
      <w:r w:rsidRPr="006A3F13">
        <w:t xml:space="preserve">13. </w:t>
      </w:r>
      <w:r w:rsidRPr="006A3F13">
        <w:tab/>
        <w:t xml:space="preserve">Chen H, Quandt SA, Grzywacz JG, Arcury TA. A distribution-based multiple imputation method for handling bivariate pesticide data with values below the limit of detection. </w:t>
      </w:r>
      <w:r w:rsidRPr="006A3F13">
        <w:rPr>
          <w:i/>
          <w:iCs/>
        </w:rPr>
        <w:t>Environ Health Perspect</w:t>
      </w:r>
      <w:r w:rsidRPr="006A3F13">
        <w:t>. 2011;119(3):351-356. doi:10.1289/ehp.1002124</w:t>
      </w:r>
    </w:p>
    <w:p w14:paraId="6CC7F915" w14:textId="77777777" w:rsidR="006A3F13" w:rsidRPr="006A3F13" w:rsidRDefault="006A3F13" w:rsidP="006A3F13">
      <w:pPr>
        <w:pStyle w:val="Bibliography"/>
      </w:pPr>
      <w:r w:rsidRPr="006A3F13">
        <w:lastRenderedPageBreak/>
        <w:t xml:space="preserve">14. </w:t>
      </w:r>
      <w:r w:rsidRPr="006A3F13">
        <w:tab/>
        <w:t xml:space="preserve">Francis RA, Small MJ, VanBriesen JM. Multivariate distributions of disinfection by-products in chlorinated drinking water. </w:t>
      </w:r>
      <w:r w:rsidRPr="006A3F13">
        <w:rPr>
          <w:i/>
          <w:iCs/>
        </w:rPr>
        <w:t>Water Research</w:t>
      </w:r>
      <w:r w:rsidRPr="006A3F13">
        <w:t>. 2009;43(14):3453-3468. doi:10.1016/j.watres.2009.05.008</w:t>
      </w:r>
    </w:p>
    <w:p w14:paraId="4EAB91D7" w14:textId="77777777" w:rsidR="006A3F13" w:rsidRPr="006A3F13" w:rsidRDefault="006A3F13" w:rsidP="006A3F13">
      <w:pPr>
        <w:pStyle w:val="Bibliography"/>
      </w:pPr>
      <w:r w:rsidRPr="006A3F13">
        <w:t xml:space="preserve">15. </w:t>
      </w:r>
      <w:r w:rsidRPr="006A3F13">
        <w:tab/>
        <w:t xml:space="preserve">Hopke PK, Liu C, Rubin DB. Multiple Imputation for Multivariate Data with Missing and Below‐Threshold Measurements: Time‐Series Concentrations of Pollutants in the Arctic. </w:t>
      </w:r>
      <w:r w:rsidRPr="006A3F13">
        <w:rPr>
          <w:i/>
          <w:iCs/>
        </w:rPr>
        <w:t>Biometrics</w:t>
      </w:r>
      <w:r w:rsidRPr="006A3F13">
        <w:t>. 2001;57(1):22-33. doi:10.1111/j.0006-341X.2001.00022.x</w:t>
      </w:r>
    </w:p>
    <w:p w14:paraId="2706BEA6" w14:textId="77777777" w:rsidR="006A3F13" w:rsidRPr="006A3F13" w:rsidRDefault="006A3F13" w:rsidP="006A3F13">
      <w:pPr>
        <w:pStyle w:val="Bibliography"/>
      </w:pPr>
      <w:r w:rsidRPr="006A3F13">
        <w:t xml:space="preserve">16. </w:t>
      </w:r>
      <w:r w:rsidRPr="006A3F13">
        <w:tab/>
        <w:t xml:space="preserve">Navas-Acien Ana, Umans Jason G., Howard Barbara V., et al. Urine Arsenic Concentrations and Species Excretion Patterns in American Indian Communities Over a 10-year Period: The Strong Heart Study. </w:t>
      </w:r>
      <w:r w:rsidRPr="006A3F13">
        <w:rPr>
          <w:i/>
          <w:iCs/>
        </w:rPr>
        <w:t>Environmental Health Perspectives</w:t>
      </w:r>
      <w:r w:rsidRPr="006A3F13">
        <w:t>. 2009;117(9):1428-1433. doi:10.1289/ehp.0800509</w:t>
      </w:r>
    </w:p>
    <w:p w14:paraId="48CC9C1A" w14:textId="77777777" w:rsidR="006A3F13" w:rsidRPr="006A3F13" w:rsidRDefault="006A3F13" w:rsidP="006A3F13">
      <w:pPr>
        <w:pStyle w:val="Bibliography"/>
      </w:pPr>
      <w:r w:rsidRPr="006A3F13">
        <w:t xml:space="preserve">17. </w:t>
      </w:r>
      <w:r w:rsidRPr="006A3F13">
        <w:tab/>
        <w:t xml:space="preserve">Little RJ, Rubin DB. </w:t>
      </w:r>
      <w:r w:rsidRPr="006A3F13">
        <w:rPr>
          <w:i/>
          <w:iCs/>
        </w:rPr>
        <w:t>Statistical Analysis with Missing Data</w:t>
      </w:r>
      <w:r w:rsidRPr="006A3F13">
        <w:t>. Vol 793. John Wiley &amp; Sons; 2019.</w:t>
      </w:r>
    </w:p>
    <w:p w14:paraId="6C8D7B51" w14:textId="77777777" w:rsidR="006A3F13" w:rsidRPr="006A3F13" w:rsidRDefault="006A3F13" w:rsidP="006A3F13">
      <w:pPr>
        <w:pStyle w:val="Bibliography"/>
      </w:pPr>
      <w:r w:rsidRPr="006A3F13">
        <w:t xml:space="preserve">18. </w:t>
      </w:r>
      <w:r w:rsidRPr="006A3F13">
        <w:tab/>
        <w:t xml:space="preserve">Stoddard RA, Gee JE, Wilkins PP, McCaustland K, Hoffmaster AR. Detection of pathogenic Leptospira spp. through TaqMan polymerase chain reaction targeting the LipL32 gene. </w:t>
      </w:r>
      <w:r w:rsidRPr="006A3F13">
        <w:rPr>
          <w:i/>
          <w:iCs/>
        </w:rPr>
        <w:t>Diagn Microbiol Infect Dis</w:t>
      </w:r>
      <w:r w:rsidRPr="006A3F13">
        <w:t>. 2009;64(3):247-255. doi:10.1016/j.diagmicrobio.2009.03.014</w:t>
      </w:r>
    </w:p>
    <w:p w14:paraId="0AC0C585" w14:textId="77777777" w:rsidR="006A3F13" w:rsidRPr="006A3F13" w:rsidRDefault="006A3F13" w:rsidP="006A3F13">
      <w:pPr>
        <w:pStyle w:val="Bibliography"/>
      </w:pPr>
      <w:r w:rsidRPr="006A3F13">
        <w:t xml:space="preserve">19. </w:t>
      </w:r>
      <w:r w:rsidRPr="006A3F13">
        <w:tab/>
        <w:t xml:space="preserve">Lee ET, Welty TK, Fabsitz R, et al. The Strong Heart Study. A study of cardiovascular disease in American Indians: design and methods. </w:t>
      </w:r>
      <w:r w:rsidRPr="006A3F13">
        <w:rPr>
          <w:i/>
          <w:iCs/>
        </w:rPr>
        <w:t>Am J Epidemiol</w:t>
      </w:r>
      <w:r w:rsidRPr="006A3F13">
        <w:t>. 1990;132(6):1141-1155. doi:10.1093/oxfordjournals.aje.a115757</w:t>
      </w:r>
    </w:p>
    <w:p w14:paraId="206632CB" w14:textId="77777777" w:rsidR="006A3F13" w:rsidRPr="006A3F13" w:rsidRDefault="006A3F13" w:rsidP="006A3F13">
      <w:pPr>
        <w:pStyle w:val="Bibliography"/>
      </w:pPr>
      <w:r w:rsidRPr="006A3F13">
        <w:t xml:space="preserve">20. </w:t>
      </w:r>
      <w:r w:rsidRPr="006A3F13">
        <w:tab/>
        <w:t xml:space="preserve">North KE, MacCluer JW, Devereux RB, et al. Heritability of carotid artery structure and function: the Strong Heart Family Study. </w:t>
      </w:r>
      <w:r w:rsidRPr="006A3F13">
        <w:rPr>
          <w:i/>
          <w:iCs/>
        </w:rPr>
        <w:t>Arterioscler Thromb Vasc Biol</w:t>
      </w:r>
      <w:r w:rsidRPr="006A3F13">
        <w:t>. 2002;22(10):1698-1703. doi:10.1161/01.atv.0000032656.91352.5e</w:t>
      </w:r>
    </w:p>
    <w:p w14:paraId="0BB7676C" w14:textId="77777777" w:rsidR="006A3F13" w:rsidRPr="006A3F13" w:rsidRDefault="006A3F13" w:rsidP="006A3F13">
      <w:pPr>
        <w:pStyle w:val="Bibliography"/>
      </w:pPr>
      <w:r w:rsidRPr="006A3F13">
        <w:t xml:space="preserve">21. </w:t>
      </w:r>
      <w:r w:rsidRPr="006A3F13">
        <w:tab/>
        <w:t xml:space="preserve">Scheer J, Findenig S, Goessler W, et al. Arsenic species and selected metals in human urine: validation of HPLC/ICPMS and ICPMS procedures for a long-term population-based epidemiological study. </w:t>
      </w:r>
      <w:r w:rsidRPr="006A3F13">
        <w:rPr>
          <w:i/>
          <w:iCs/>
        </w:rPr>
        <w:t>Anal Methods</w:t>
      </w:r>
      <w:r w:rsidRPr="006A3F13">
        <w:t>. 2012;4(2):406-413. doi:10.1039/C2AY05638K</w:t>
      </w:r>
    </w:p>
    <w:p w14:paraId="16074D43" w14:textId="77777777" w:rsidR="006A3F13" w:rsidRPr="006A3F13" w:rsidRDefault="006A3F13" w:rsidP="006A3F13">
      <w:pPr>
        <w:pStyle w:val="Bibliography"/>
      </w:pPr>
      <w:r w:rsidRPr="006A3F13">
        <w:t xml:space="preserve">22. </w:t>
      </w:r>
      <w:r w:rsidRPr="006A3F13">
        <w:tab/>
        <w:t xml:space="preserve">Nigra AE, Olmedo P, Grau-Perez M, et al. Dietary determinants of inorganic arsenic exposure in the Strong Heart Family Study. </w:t>
      </w:r>
      <w:r w:rsidRPr="006A3F13">
        <w:rPr>
          <w:i/>
          <w:iCs/>
        </w:rPr>
        <w:t>Environ Res</w:t>
      </w:r>
      <w:r w:rsidRPr="006A3F13">
        <w:t>. 2019;177:108616. doi:10.1016/j.envres.2019.108616</w:t>
      </w:r>
    </w:p>
    <w:p w14:paraId="312BD191" w14:textId="77777777" w:rsidR="006A3F13" w:rsidRPr="006A3F13" w:rsidRDefault="006A3F13" w:rsidP="006A3F13">
      <w:pPr>
        <w:pStyle w:val="Bibliography"/>
      </w:pPr>
      <w:r w:rsidRPr="006A3F13">
        <w:t xml:space="preserve">23. </w:t>
      </w:r>
      <w:r w:rsidRPr="006A3F13">
        <w:tab/>
        <w:t xml:space="preserve">Nigra AE, Nachman KE, Love DC, Grau-Perez M, Navas-Acien A. Poultry Consumption and Arsenic Exposure in the U.S. Population. </w:t>
      </w:r>
      <w:r w:rsidRPr="006A3F13">
        <w:rPr>
          <w:i/>
          <w:iCs/>
        </w:rPr>
        <w:t>Environ Health Perspect</w:t>
      </w:r>
      <w:r w:rsidRPr="006A3F13">
        <w:t>. 2017;125(3):370-377. doi:10.1289/EHP351</w:t>
      </w:r>
    </w:p>
    <w:p w14:paraId="7913736D" w14:textId="77777777" w:rsidR="006A3F13" w:rsidRPr="006A3F13" w:rsidRDefault="006A3F13" w:rsidP="006A3F13">
      <w:pPr>
        <w:pStyle w:val="Bibliography"/>
      </w:pPr>
      <w:r w:rsidRPr="006A3F13">
        <w:t xml:space="preserve">24. </w:t>
      </w:r>
      <w:r w:rsidRPr="006A3F13">
        <w:tab/>
        <w:t xml:space="preserve">Rubin DB. Multiple imputations in sample surveys-a phenomenological Bayesian approach to nonresponse. In: </w:t>
      </w:r>
      <w:r w:rsidRPr="006A3F13">
        <w:rPr>
          <w:i/>
          <w:iCs/>
        </w:rPr>
        <w:t>Proceedings of the Survey Research Methods Section of the American Statistical Association</w:t>
      </w:r>
      <w:r w:rsidRPr="006A3F13">
        <w:t>. Vol 1. American Statistical Association; 1978:20-34.</w:t>
      </w:r>
    </w:p>
    <w:p w14:paraId="7A400EEF" w14:textId="77777777" w:rsidR="006A3F13" w:rsidRPr="006A3F13" w:rsidRDefault="006A3F13" w:rsidP="006A3F13">
      <w:pPr>
        <w:pStyle w:val="Bibliography"/>
      </w:pPr>
      <w:r w:rsidRPr="006A3F13">
        <w:t xml:space="preserve">25. </w:t>
      </w:r>
      <w:r w:rsidRPr="006A3F13">
        <w:tab/>
        <w:t xml:space="preserve">Blundell R, Meghir C. Bivariate alternatives to the Tobit model. </w:t>
      </w:r>
      <w:r w:rsidRPr="006A3F13">
        <w:rPr>
          <w:i/>
          <w:iCs/>
        </w:rPr>
        <w:t>Journal of Econometrics</w:t>
      </w:r>
      <w:r w:rsidRPr="006A3F13">
        <w:t>. 1987;34(1-2):179-200. doi:10.1016/0304-4076(87)90072-8</w:t>
      </w:r>
    </w:p>
    <w:p w14:paraId="0689EE39" w14:textId="77777777" w:rsidR="006A3F13" w:rsidRPr="006A3F13" w:rsidRDefault="006A3F13" w:rsidP="006A3F13">
      <w:pPr>
        <w:pStyle w:val="Bibliography"/>
      </w:pPr>
      <w:r w:rsidRPr="006A3F13">
        <w:lastRenderedPageBreak/>
        <w:t xml:space="preserve">26. </w:t>
      </w:r>
      <w:r w:rsidRPr="006A3F13">
        <w:tab/>
        <w:t xml:space="preserve">Buuren S van, Groothuis-Oudshoorn K. mice: Multivariate Imputation by Chained Equations in R. </w:t>
      </w:r>
      <w:r w:rsidRPr="006A3F13">
        <w:rPr>
          <w:i/>
          <w:iCs/>
        </w:rPr>
        <w:t>Journal of Statistical Software</w:t>
      </w:r>
      <w:r w:rsidRPr="006A3F13">
        <w:t>. 2011;45(1):1-67. doi:10.18637/jss.v045.i03</w:t>
      </w:r>
    </w:p>
    <w:p w14:paraId="7484BCDF" w14:textId="77777777" w:rsidR="006A3F13" w:rsidRPr="006A3F13" w:rsidRDefault="006A3F13" w:rsidP="006A3F13">
      <w:pPr>
        <w:pStyle w:val="Bibliography"/>
      </w:pPr>
      <w:r w:rsidRPr="006A3F13">
        <w:t xml:space="preserve">27. </w:t>
      </w:r>
      <w:r w:rsidRPr="006A3F13">
        <w:tab/>
        <w:t xml:space="preserve">Lewandowski D, Kurowicka D, Joe H. Generating random correlation matrices based on vines and extended onion method. </w:t>
      </w:r>
      <w:r w:rsidRPr="006A3F13">
        <w:rPr>
          <w:i/>
          <w:iCs/>
        </w:rPr>
        <w:t>Journal of Multivariate Analysis</w:t>
      </w:r>
      <w:r w:rsidRPr="006A3F13">
        <w:t>. 2009;100(9):1989-2001. doi:10.1016/j.jmva.2009.04.008</w:t>
      </w:r>
    </w:p>
    <w:p w14:paraId="234EB1BF" w14:textId="77777777" w:rsidR="006A3F13" w:rsidRPr="006A3F13" w:rsidRDefault="006A3F13" w:rsidP="006A3F13">
      <w:pPr>
        <w:pStyle w:val="Bibliography"/>
      </w:pPr>
      <w:r w:rsidRPr="006A3F13">
        <w:t xml:space="preserve">28. </w:t>
      </w:r>
      <w:r w:rsidRPr="006A3F13">
        <w:tab/>
        <w:t xml:space="preserve">Carpenter B, Gelman A, Hoffman MD, et al. Stan: A Probabilistic Programming Language. </w:t>
      </w:r>
      <w:r w:rsidRPr="006A3F13">
        <w:rPr>
          <w:i/>
          <w:iCs/>
        </w:rPr>
        <w:t>Journal of Statistical Software</w:t>
      </w:r>
      <w:r w:rsidRPr="006A3F13">
        <w:t>. 2017;76(1):1-32. doi:10.18637/jss.v076.i01</w:t>
      </w:r>
    </w:p>
    <w:p w14:paraId="1D05B43F" w14:textId="77777777" w:rsidR="006A3F13" w:rsidRPr="006A3F13" w:rsidRDefault="006A3F13" w:rsidP="006A3F13">
      <w:pPr>
        <w:pStyle w:val="Bibliography"/>
      </w:pPr>
      <w:r w:rsidRPr="006A3F13">
        <w:t xml:space="preserve">29. </w:t>
      </w:r>
      <w:r w:rsidRPr="006A3F13">
        <w:tab/>
        <w:t xml:space="preserve">Gelman A, Carlin JB, Stern HS, Dunson DB, Vehtari A, Rubin DB. </w:t>
      </w:r>
      <w:r w:rsidRPr="006A3F13">
        <w:rPr>
          <w:i/>
          <w:iCs/>
        </w:rPr>
        <w:t>Bayesian Data Analysis</w:t>
      </w:r>
      <w:r w:rsidRPr="006A3F13">
        <w:t>. 0 ed. Chapman and Hall/CRC; 2013. doi:10.1201/b16018</w:t>
      </w:r>
    </w:p>
    <w:p w14:paraId="7EE08FC7" w14:textId="77777777" w:rsidR="006A3F13" w:rsidRPr="006A3F13" w:rsidRDefault="006A3F13" w:rsidP="006A3F13">
      <w:pPr>
        <w:pStyle w:val="Bibliography"/>
      </w:pPr>
      <w:r w:rsidRPr="006A3F13">
        <w:t xml:space="preserve">30. </w:t>
      </w:r>
      <w:r w:rsidRPr="006A3F13">
        <w:tab/>
        <w:t xml:space="preserve">Raghunathan T, Berglund PA, Solenberger PW. </w:t>
      </w:r>
      <w:r w:rsidRPr="006A3F13">
        <w:rPr>
          <w:i/>
          <w:iCs/>
        </w:rPr>
        <w:t>Multiple Imputation in Practice: With Examples Using IVEware</w:t>
      </w:r>
      <w:r w:rsidRPr="006A3F13">
        <w:t>. CRC Press; 2018.</w:t>
      </w:r>
    </w:p>
    <w:p w14:paraId="42F703B3" w14:textId="12841024" w:rsidR="00AB3D2B" w:rsidRDefault="00564207" w:rsidP="00AB3D2B">
      <w:r>
        <w:fldChar w:fldCharType="end"/>
      </w:r>
    </w:p>
    <w:p w14:paraId="34394013" w14:textId="77777777" w:rsidR="00132FA1" w:rsidRDefault="00132FA1">
      <w:r>
        <w:br w:type="page"/>
      </w:r>
    </w:p>
    <w:p w14:paraId="5790D1CC" w14:textId="77777777" w:rsidR="00862BF9" w:rsidRDefault="00862BF9" w:rsidP="00862BF9"/>
    <w:p w14:paraId="69CD6C47" w14:textId="0AFF1B90" w:rsidR="00862BF9" w:rsidRDefault="00862BF9" w:rsidP="00862BF9">
      <w:pPr>
        <w:rPr>
          <w:b/>
          <w:bCs/>
          <w:sz w:val="20"/>
          <w:szCs w:val="20"/>
        </w:rPr>
      </w:pPr>
      <w:r>
        <w:rPr>
          <w:b/>
          <w:bCs/>
          <w:noProof/>
          <w:sz w:val="20"/>
          <w:szCs w:val="20"/>
        </w:rPr>
        <w:drawing>
          <wp:inline distT="0" distB="0" distL="0" distR="0" wp14:anchorId="71D0064F" wp14:editId="64FE7821">
            <wp:extent cx="6388707" cy="3709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2277" cy="3723178"/>
                    </a:xfrm>
                    <a:prstGeom prst="rect">
                      <a:avLst/>
                    </a:prstGeom>
                  </pic:spPr>
                </pic:pic>
              </a:graphicData>
            </a:graphic>
          </wp:inline>
        </w:drawing>
      </w:r>
    </w:p>
    <w:p w14:paraId="08BFD296" w14:textId="19B982DF" w:rsidR="00862BF9" w:rsidRPr="0038725A" w:rsidRDefault="00862BF9" w:rsidP="00862BF9">
      <w:pPr>
        <w:rPr>
          <w:sz w:val="20"/>
          <w:szCs w:val="20"/>
        </w:rPr>
      </w:pPr>
      <w:r w:rsidRPr="0038725A">
        <w:rPr>
          <w:b/>
          <w:bCs/>
          <w:sz w:val="20"/>
          <w:szCs w:val="20"/>
        </w:rPr>
        <w:t>Figure</w:t>
      </w:r>
      <w:r w:rsidR="00FA6BBE">
        <w:rPr>
          <w:b/>
          <w:bCs/>
          <w:sz w:val="20"/>
          <w:szCs w:val="20"/>
        </w:rPr>
        <w:t xml:space="preserve"> </w:t>
      </w:r>
      <w:r>
        <w:rPr>
          <w:b/>
          <w:bCs/>
          <w:sz w:val="20"/>
          <w:szCs w:val="20"/>
        </w:rPr>
        <w:t>1</w:t>
      </w:r>
      <w:r w:rsidRPr="0038725A">
        <w:rPr>
          <w:sz w:val="20"/>
          <w:szCs w:val="20"/>
        </w:rPr>
        <w:t xml:space="preserve">. </w:t>
      </w:r>
      <w:r w:rsidRPr="00733840">
        <w:rPr>
          <w:b/>
          <w:bCs/>
          <w:sz w:val="20"/>
          <w:szCs w:val="20"/>
        </w:rPr>
        <w:t>Strong Heart Family Study Arsenic data information</w:t>
      </w:r>
      <w:r w:rsidR="00FA6BBE">
        <w:rPr>
          <w:b/>
          <w:bCs/>
          <w:sz w:val="20"/>
          <w:szCs w:val="20"/>
        </w:rPr>
        <w:t>.</w:t>
      </w:r>
      <w:r>
        <w:rPr>
          <w:sz w:val="20"/>
          <w:szCs w:val="20"/>
        </w:rPr>
        <w:t xml:space="preserve"> </w:t>
      </w:r>
      <w:r w:rsidR="00FA6BBE">
        <w:rPr>
          <w:sz w:val="20"/>
          <w:szCs w:val="20"/>
        </w:rPr>
        <w:t>A</w:t>
      </w:r>
      <w:r w:rsidRPr="0038725A">
        <w:rPr>
          <w:sz w:val="20"/>
          <w:szCs w:val="20"/>
        </w:rPr>
        <w:t xml:space="preserve">) Correlation </w:t>
      </w:r>
      <w:r w:rsidR="00FA6BBE">
        <w:rPr>
          <w:sz w:val="20"/>
          <w:szCs w:val="20"/>
        </w:rPr>
        <w:t xml:space="preserve">matrix </w:t>
      </w:r>
      <w:r w:rsidRPr="0038725A">
        <w:rPr>
          <w:sz w:val="20"/>
          <w:szCs w:val="20"/>
        </w:rPr>
        <w:t>between covariates</w:t>
      </w:r>
      <w:r>
        <w:rPr>
          <w:sz w:val="20"/>
          <w:szCs w:val="20"/>
        </w:rPr>
        <w:t xml:space="preserve">: </w:t>
      </w:r>
      <w:r w:rsidR="00FA6BBE">
        <w:rPr>
          <w:sz w:val="20"/>
          <w:szCs w:val="20"/>
        </w:rPr>
        <w:t xml:space="preserve">red color for negative correlations and </w:t>
      </w:r>
      <w:r>
        <w:rPr>
          <w:sz w:val="20"/>
          <w:szCs w:val="20"/>
        </w:rPr>
        <w:t xml:space="preserve">blue </w:t>
      </w:r>
      <w:r w:rsidR="00FA6BBE">
        <w:rPr>
          <w:sz w:val="20"/>
          <w:szCs w:val="20"/>
        </w:rPr>
        <w:t>color for</w:t>
      </w:r>
      <w:r>
        <w:rPr>
          <w:sz w:val="20"/>
          <w:szCs w:val="20"/>
        </w:rPr>
        <w:t xml:space="preserve"> positive correlation; the darker the color is, the stronger the correlation is.</w:t>
      </w:r>
      <w:r w:rsidRPr="0038725A">
        <w:rPr>
          <w:sz w:val="20"/>
          <w:szCs w:val="20"/>
        </w:rPr>
        <w:t xml:space="preserve"> </w:t>
      </w:r>
      <w:r w:rsidR="00FA6BBE">
        <w:rPr>
          <w:sz w:val="20"/>
          <w:szCs w:val="20"/>
        </w:rPr>
        <w:t>B</w:t>
      </w:r>
      <w:r w:rsidR="00FA6BBE" w:rsidRPr="0038725A">
        <w:rPr>
          <w:sz w:val="20"/>
          <w:szCs w:val="20"/>
        </w:rPr>
        <w:t xml:space="preserve">) Density plots of </w:t>
      </w:r>
      <w:r w:rsidR="00FA6BBE">
        <w:rPr>
          <w:sz w:val="20"/>
          <w:szCs w:val="20"/>
        </w:rPr>
        <w:t>DMA, MMA, and iAs</w:t>
      </w:r>
      <w:r w:rsidR="00FA6BBE" w:rsidRPr="0038725A">
        <w:rPr>
          <w:sz w:val="20"/>
          <w:szCs w:val="20"/>
        </w:rPr>
        <w:t xml:space="preserve"> after log</w:t>
      </w:r>
      <w:r w:rsidR="00FA6BBE">
        <w:rPr>
          <w:sz w:val="20"/>
          <w:szCs w:val="20"/>
        </w:rPr>
        <w:t>-</w:t>
      </w:r>
      <w:r w:rsidR="00FA6BBE" w:rsidRPr="0038725A">
        <w:rPr>
          <w:sz w:val="20"/>
          <w:szCs w:val="20"/>
        </w:rPr>
        <w:t>transformation</w:t>
      </w:r>
      <w:r w:rsidR="00FA6BBE">
        <w:rPr>
          <w:sz w:val="20"/>
          <w:szCs w:val="20"/>
        </w:rPr>
        <w:t xml:space="preserve">: The marginal histogram plot shows the marginal density of each arsenic variable on the top and on the right edge of the plot. Inside the plot is the contour density plot between the two variables.  </w:t>
      </w:r>
    </w:p>
    <w:p w14:paraId="41FE8275" w14:textId="77777777" w:rsidR="00862BF9" w:rsidRDefault="00862BF9" w:rsidP="00862BF9"/>
    <w:p w14:paraId="5BDFA4A9" w14:textId="77777777" w:rsidR="00862BF9" w:rsidRDefault="00862BF9" w:rsidP="00862BF9"/>
    <w:p w14:paraId="2DBCBF49" w14:textId="43044257" w:rsidR="00862BF9" w:rsidRDefault="005B631A" w:rsidP="00862BF9">
      <w:r>
        <w:rPr>
          <w:noProof/>
        </w:rPr>
        <w:lastRenderedPageBreak/>
        <w:drawing>
          <wp:inline distT="0" distB="0" distL="0" distR="0" wp14:anchorId="561D531E" wp14:editId="52773A4B">
            <wp:extent cx="5943600" cy="37147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E17715C" w14:textId="77777777" w:rsidR="000E612B" w:rsidRDefault="000E612B" w:rsidP="00862BF9">
      <w:pPr>
        <w:rPr>
          <w:b/>
          <w:bCs/>
          <w:sz w:val="20"/>
          <w:szCs w:val="20"/>
        </w:rPr>
      </w:pPr>
    </w:p>
    <w:p w14:paraId="3D032FD5" w14:textId="74DA846E" w:rsidR="00862BF9" w:rsidRDefault="00862BF9" w:rsidP="00862BF9">
      <w:pPr>
        <w:rPr>
          <w:sz w:val="20"/>
          <w:szCs w:val="20"/>
        </w:rPr>
      </w:pPr>
      <w:r w:rsidRPr="002D690C">
        <w:rPr>
          <w:b/>
          <w:bCs/>
          <w:sz w:val="20"/>
          <w:szCs w:val="20"/>
        </w:rPr>
        <w:t>Figure</w:t>
      </w:r>
      <w:r w:rsidR="00FA6BBE">
        <w:rPr>
          <w:b/>
          <w:bCs/>
          <w:sz w:val="20"/>
          <w:szCs w:val="20"/>
        </w:rPr>
        <w:t xml:space="preserve"> </w:t>
      </w:r>
      <w:r>
        <w:rPr>
          <w:b/>
          <w:bCs/>
          <w:sz w:val="20"/>
          <w:szCs w:val="20"/>
        </w:rPr>
        <w:t>2</w:t>
      </w:r>
      <w:r w:rsidRPr="002D690C">
        <w:rPr>
          <w:sz w:val="20"/>
          <w:szCs w:val="20"/>
        </w:rPr>
        <w:t>.</w:t>
      </w:r>
      <w:r>
        <w:rPr>
          <w:sz w:val="20"/>
          <w:szCs w:val="20"/>
        </w:rPr>
        <w:t xml:space="preserve"> </w:t>
      </w:r>
      <w:r w:rsidRPr="006821A1">
        <w:rPr>
          <w:b/>
          <w:bCs/>
          <w:sz w:val="20"/>
          <w:szCs w:val="20"/>
        </w:rPr>
        <w:t xml:space="preserve">Simulation results in Scenario </w:t>
      </w:r>
      <w:r w:rsidR="00FA6BBE">
        <w:rPr>
          <w:b/>
          <w:bCs/>
          <w:sz w:val="20"/>
          <w:szCs w:val="20"/>
        </w:rPr>
        <w:t>S</w:t>
      </w:r>
      <w:r w:rsidRPr="006821A1">
        <w:rPr>
          <w:b/>
          <w:bCs/>
          <w:sz w:val="20"/>
          <w:szCs w:val="20"/>
        </w:rPr>
        <w:t>1</w:t>
      </w:r>
      <w:r>
        <w:rPr>
          <w:sz w:val="20"/>
          <w:szCs w:val="20"/>
        </w:rPr>
        <w:t>: 1</w:t>
      </w:r>
      <w:r w:rsidRPr="002D690C">
        <w:rPr>
          <w:sz w:val="20"/>
          <w:szCs w:val="20"/>
        </w:rPr>
        <w:t>0%</w:t>
      </w:r>
      <w:r>
        <w:rPr>
          <w:sz w:val="20"/>
          <w:szCs w:val="20"/>
        </w:rPr>
        <w:t xml:space="preserve"> missingness in DMA</w:t>
      </w:r>
      <w:r w:rsidRPr="002D690C">
        <w:rPr>
          <w:sz w:val="20"/>
          <w:szCs w:val="20"/>
        </w:rPr>
        <w:t xml:space="preserve">, </w:t>
      </w:r>
      <w:r>
        <w:rPr>
          <w:sz w:val="20"/>
          <w:szCs w:val="20"/>
        </w:rPr>
        <w:t>2</w:t>
      </w:r>
      <w:r w:rsidRPr="002D690C">
        <w:rPr>
          <w:sz w:val="20"/>
          <w:szCs w:val="20"/>
        </w:rPr>
        <w:t>0%</w:t>
      </w:r>
      <w:r>
        <w:rPr>
          <w:sz w:val="20"/>
          <w:szCs w:val="20"/>
        </w:rPr>
        <w:t xml:space="preserve"> missingness in </w:t>
      </w:r>
      <w:r w:rsidRPr="002D690C">
        <w:rPr>
          <w:sz w:val="20"/>
          <w:szCs w:val="20"/>
        </w:rPr>
        <w:t>MMA,</w:t>
      </w:r>
      <w:r w:rsidRPr="00CE2E8A">
        <w:rPr>
          <w:sz w:val="20"/>
          <w:szCs w:val="20"/>
        </w:rPr>
        <w:t xml:space="preserve"> </w:t>
      </w:r>
      <w:r>
        <w:rPr>
          <w:sz w:val="20"/>
          <w:szCs w:val="20"/>
        </w:rPr>
        <w:t>3</w:t>
      </w:r>
      <w:r w:rsidRPr="002D690C">
        <w:rPr>
          <w:sz w:val="20"/>
          <w:szCs w:val="20"/>
        </w:rPr>
        <w:t>0%</w:t>
      </w:r>
      <w:r>
        <w:rPr>
          <w:sz w:val="20"/>
          <w:szCs w:val="20"/>
        </w:rPr>
        <w:t xml:space="preserve"> missingness in iAs;</w:t>
      </w:r>
      <w:r w:rsidRPr="002D690C">
        <w:rPr>
          <w:sz w:val="20"/>
          <w:szCs w:val="20"/>
        </w:rPr>
        <w:t xml:space="preserve"> </w:t>
      </w:r>
      <w:r w:rsidR="00FA6BBE">
        <w:rPr>
          <w:sz w:val="20"/>
          <w:szCs w:val="20"/>
        </w:rPr>
        <w:t xml:space="preserve">Each plot shows the violin plots of the estimates from the 500 replicates of simulation using </w:t>
      </w:r>
      <w:r w:rsidR="00FA6BBE" w:rsidRPr="00FA6BBE">
        <w:rPr>
          <w:iCs/>
          <w:sz w:val="20"/>
          <w:szCs w:val="20"/>
        </w:rPr>
        <w:t>LOD/</w:t>
      </w:r>
      <m:oMath>
        <m:rad>
          <m:radPr>
            <m:degHide m:val="1"/>
            <m:ctrlPr>
              <w:rPr>
                <w:rFonts w:ascii="Cambria Math" w:hAnsi="Cambria Math"/>
                <w:i/>
                <w:iCs/>
                <w:sz w:val="20"/>
                <w:szCs w:val="20"/>
              </w:rPr>
            </m:ctrlPr>
          </m:radPr>
          <m:deg/>
          <m:e>
            <m:r>
              <w:rPr>
                <w:rFonts w:ascii="Cambria Math" w:hAnsi="Cambria Math"/>
                <w:sz w:val="20"/>
                <w:szCs w:val="20"/>
              </w:rPr>
              <m:t>2</m:t>
            </m:r>
          </m:e>
        </m:rad>
      </m:oMath>
      <w:r w:rsidR="00FA6BBE" w:rsidRPr="00FA6BBE">
        <w:rPr>
          <w:iCs/>
          <w:sz w:val="20"/>
          <w:szCs w:val="20"/>
        </w:rPr>
        <w:t xml:space="preserve">, </w:t>
      </w:r>
      <w:r w:rsidR="00FA6BBE">
        <w:rPr>
          <w:iCs/>
          <w:sz w:val="20"/>
          <w:szCs w:val="20"/>
        </w:rPr>
        <w:t>MICE-OLS, MICE-UTR, and BMTR</w:t>
      </w:r>
      <w:r w:rsidR="00FA6BBE">
        <w:rPr>
          <w:sz w:val="20"/>
          <w:szCs w:val="20"/>
        </w:rPr>
        <w:t xml:space="preserve">. The dash line represents the true parameter using the entire sample of 1,602 subjects. </w:t>
      </w:r>
    </w:p>
    <w:p w14:paraId="572FDCCB" w14:textId="77777777" w:rsidR="00B6315C" w:rsidRPr="002D690C" w:rsidRDefault="00B6315C" w:rsidP="00862BF9">
      <w:pPr>
        <w:rPr>
          <w:sz w:val="20"/>
          <w:szCs w:val="20"/>
        </w:rPr>
      </w:pPr>
    </w:p>
    <w:p w14:paraId="22575517" w14:textId="4910BA43" w:rsidR="008362EC" w:rsidRDefault="008362EC" w:rsidP="00862BF9"/>
    <w:p w14:paraId="21C683F8" w14:textId="77777777" w:rsidR="008362EC" w:rsidRDefault="008362EC">
      <w:r>
        <w:br w:type="page"/>
      </w:r>
    </w:p>
    <w:p w14:paraId="57C17C96" w14:textId="09D05A1C" w:rsidR="008362EC" w:rsidRDefault="005B631A" w:rsidP="008362EC">
      <w:pPr>
        <w:rPr>
          <w:b/>
          <w:bCs/>
          <w:sz w:val="20"/>
          <w:szCs w:val="20"/>
        </w:rPr>
      </w:pPr>
      <w:r>
        <w:rPr>
          <w:b/>
          <w:bCs/>
          <w:noProof/>
          <w:sz w:val="20"/>
          <w:szCs w:val="20"/>
        </w:rPr>
        <w:lastRenderedPageBreak/>
        <w:drawing>
          <wp:inline distT="0" distB="0" distL="0" distR="0" wp14:anchorId="191DA98F" wp14:editId="296BB853">
            <wp:extent cx="5943600" cy="3714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4D568E0" w14:textId="77777777" w:rsidR="008362EC" w:rsidRDefault="008362EC" w:rsidP="008362EC">
      <w:pPr>
        <w:rPr>
          <w:b/>
          <w:bCs/>
          <w:sz w:val="20"/>
          <w:szCs w:val="20"/>
        </w:rPr>
      </w:pPr>
    </w:p>
    <w:p w14:paraId="7A251FCE" w14:textId="77777777" w:rsidR="008362EC" w:rsidRPr="00ED4FAA" w:rsidRDefault="008362EC" w:rsidP="008362EC">
      <w:pPr>
        <w:rPr>
          <w:sz w:val="20"/>
          <w:szCs w:val="20"/>
        </w:rPr>
      </w:pPr>
      <w:r w:rsidRPr="002D690C">
        <w:rPr>
          <w:b/>
          <w:bCs/>
          <w:sz w:val="20"/>
          <w:szCs w:val="20"/>
        </w:rPr>
        <w:t>Figure</w:t>
      </w:r>
      <w:r>
        <w:rPr>
          <w:b/>
          <w:bCs/>
          <w:sz w:val="20"/>
          <w:szCs w:val="20"/>
        </w:rPr>
        <w:t xml:space="preserve"> 3</w:t>
      </w:r>
      <w:r w:rsidRPr="002D690C">
        <w:rPr>
          <w:sz w:val="20"/>
          <w:szCs w:val="20"/>
        </w:rPr>
        <w:t xml:space="preserve">. </w:t>
      </w:r>
      <w:r w:rsidRPr="006821A1">
        <w:rPr>
          <w:b/>
          <w:bCs/>
          <w:sz w:val="20"/>
          <w:szCs w:val="20"/>
        </w:rPr>
        <w:t xml:space="preserve">Simulation results in Scenario </w:t>
      </w:r>
      <w:r>
        <w:rPr>
          <w:b/>
          <w:bCs/>
          <w:sz w:val="20"/>
          <w:szCs w:val="20"/>
        </w:rPr>
        <w:t>1 coverage rate of 95% CI</w:t>
      </w:r>
      <w:r>
        <w:rPr>
          <w:sz w:val="20"/>
          <w:szCs w:val="20"/>
        </w:rPr>
        <w:t>: 1</w:t>
      </w:r>
      <w:r w:rsidRPr="002D690C">
        <w:rPr>
          <w:sz w:val="20"/>
          <w:szCs w:val="20"/>
        </w:rPr>
        <w:t>0%</w:t>
      </w:r>
      <w:r>
        <w:rPr>
          <w:sz w:val="20"/>
          <w:szCs w:val="20"/>
        </w:rPr>
        <w:t xml:space="preserve"> missingness in DMA</w:t>
      </w:r>
      <w:r w:rsidRPr="002D690C">
        <w:rPr>
          <w:sz w:val="20"/>
          <w:szCs w:val="20"/>
        </w:rPr>
        <w:t xml:space="preserve">, </w:t>
      </w:r>
      <w:r>
        <w:rPr>
          <w:sz w:val="20"/>
          <w:szCs w:val="20"/>
        </w:rPr>
        <w:t>2</w:t>
      </w:r>
      <w:r w:rsidRPr="002D690C">
        <w:rPr>
          <w:sz w:val="20"/>
          <w:szCs w:val="20"/>
        </w:rPr>
        <w:t>0%</w:t>
      </w:r>
      <w:r>
        <w:rPr>
          <w:sz w:val="20"/>
          <w:szCs w:val="20"/>
        </w:rPr>
        <w:t xml:space="preserve"> missingness in </w:t>
      </w:r>
      <w:r w:rsidRPr="002D690C">
        <w:rPr>
          <w:sz w:val="20"/>
          <w:szCs w:val="20"/>
        </w:rPr>
        <w:t>MMA,</w:t>
      </w:r>
      <w:r w:rsidRPr="00CE2E8A">
        <w:rPr>
          <w:sz w:val="20"/>
          <w:szCs w:val="20"/>
        </w:rPr>
        <w:t xml:space="preserve"> </w:t>
      </w:r>
      <w:r>
        <w:rPr>
          <w:sz w:val="20"/>
          <w:szCs w:val="20"/>
        </w:rPr>
        <w:t>3</w:t>
      </w:r>
      <w:r w:rsidRPr="002D690C">
        <w:rPr>
          <w:sz w:val="20"/>
          <w:szCs w:val="20"/>
        </w:rPr>
        <w:t>0%</w:t>
      </w:r>
      <w:r>
        <w:rPr>
          <w:sz w:val="20"/>
          <w:szCs w:val="20"/>
        </w:rPr>
        <w:t xml:space="preserve"> missingness in</w:t>
      </w:r>
      <w:r w:rsidRPr="002D690C">
        <w:rPr>
          <w:sz w:val="20"/>
          <w:szCs w:val="20"/>
        </w:rPr>
        <w:t xml:space="preserve"> </w:t>
      </w:r>
      <w:r>
        <w:rPr>
          <w:sz w:val="20"/>
          <w:szCs w:val="20"/>
        </w:rPr>
        <w:t>i</w:t>
      </w:r>
      <w:r w:rsidRPr="002D690C">
        <w:rPr>
          <w:sz w:val="20"/>
          <w:szCs w:val="20"/>
        </w:rPr>
        <w:t>A</w:t>
      </w:r>
      <w:r>
        <w:rPr>
          <w:sz w:val="20"/>
          <w:szCs w:val="20"/>
        </w:rPr>
        <w:t>s;</w:t>
      </w:r>
      <w:r w:rsidRPr="002D690C">
        <w:rPr>
          <w:sz w:val="20"/>
          <w:szCs w:val="20"/>
        </w:rPr>
        <w:t xml:space="preserve"> </w:t>
      </w:r>
    </w:p>
    <w:p w14:paraId="645FC4E0" w14:textId="34B8C7AE" w:rsidR="008362EC" w:rsidRDefault="008362EC">
      <w:r>
        <w:br w:type="page"/>
      </w:r>
    </w:p>
    <w:p w14:paraId="2FD13953" w14:textId="77777777" w:rsidR="00862BF9" w:rsidRDefault="00862BF9" w:rsidP="00862BF9"/>
    <w:p w14:paraId="0B681E10" w14:textId="51FE1BDF" w:rsidR="00862BF9" w:rsidRDefault="005B631A" w:rsidP="00862BF9">
      <w:r>
        <w:rPr>
          <w:noProof/>
        </w:rPr>
        <w:drawing>
          <wp:inline distT="0" distB="0" distL="0" distR="0" wp14:anchorId="1C802875" wp14:editId="6C884D18">
            <wp:extent cx="5943600" cy="37147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9CA1E0D" w14:textId="77777777" w:rsidR="000E612B" w:rsidRDefault="000E612B" w:rsidP="00A00323">
      <w:pPr>
        <w:rPr>
          <w:b/>
          <w:bCs/>
          <w:sz w:val="20"/>
          <w:szCs w:val="20"/>
        </w:rPr>
      </w:pPr>
    </w:p>
    <w:p w14:paraId="4DADE3D3" w14:textId="1DC5DFA5" w:rsidR="00A00323" w:rsidRDefault="00862BF9" w:rsidP="00A00323">
      <w:pPr>
        <w:rPr>
          <w:sz w:val="20"/>
          <w:szCs w:val="20"/>
        </w:rPr>
      </w:pPr>
      <w:r w:rsidRPr="002D690C">
        <w:rPr>
          <w:b/>
          <w:bCs/>
          <w:sz w:val="20"/>
          <w:szCs w:val="20"/>
        </w:rPr>
        <w:t>Figure</w:t>
      </w:r>
      <w:r w:rsidR="00D41547">
        <w:rPr>
          <w:b/>
          <w:bCs/>
          <w:sz w:val="20"/>
          <w:szCs w:val="20"/>
        </w:rPr>
        <w:t xml:space="preserve"> </w:t>
      </w:r>
      <w:r w:rsidR="008362EC">
        <w:rPr>
          <w:b/>
          <w:bCs/>
          <w:sz w:val="20"/>
          <w:szCs w:val="20"/>
        </w:rPr>
        <w:t>4</w:t>
      </w:r>
      <w:r w:rsidRPr="002D690C">
        <w:rPr>
          <w:sz w:val="20"/>
          <w:szCs w:val="20"/>
        </w:rPr>
        <w:t>.</w:t>
      </w:r>
      <w:r>
        <w:rPr>
          <w:sz w:val="20"/>
          <w:szCs w:val="20"/>
        </w:rPr>
        <w:t xml:space="preserve"> </w:t>
      </w:r>
      <w:r w:rsidRPr="006821A1">
        <w:rPr>
          <w:b/>
          <w:bCs/>
          <w:sz w:val="20"/>
          <w:szCs w:val="20"/>
        </w:rPr>
        <w:t xml:space="preserve">Simulation results in Scenario </w:t>
      </w:r>
      <w:r w:rsidR="00A00323">
        <w:rPr>
          <w:b/>
          <w:bCs/>
          <w:sz w:val="20"/>
          <w:szCs w:val="20"/>
        </w:rPr>
        <w:t>S2</w:t>
      </w:r>
      <w:r>
        <w:rPr>
          <w:sz w:val="20"/>
          <w:szCs w:val="20"/>
        </w:rPr>
        <w:t xml:space="preserve">: </w:t>
      </w:r>
      <w:r w:rsidR="00A00323">
        <w:rPr>
          <w:sz w:val="20"/>
          <w:szCs w:val="20"/>
        </w:rPr>
        <w:t>1</w:t>
      </w:r>
      <w:r w:rsidR="00A00323" w:rsidRPr="002D690C">
        <w:rPr>
          <w:sz w:val="20"/>
          <w:szCs w:val="20"/>
        </w:rPr>
        <w:t>0%</w:t>
      </w:r>
      <w:r w:rsidR="00A00323">
        <w:rPr>
          <w:sz w:val="20"/>
          <w:szCs w:val="20"/>
        </w:rPr>
        <w:t xml:space="preserve"> missingness in DMA</w:t>
      </w:r>
      <w:r w:rsidR="00A00323" w:rsidRPr="002D690C">
        <w:rPr>
          <w:sz w:val="20"/>
          <w:szCs w:val="20"/>
        </w:rPr>
        <w:t xml:space="preserve">, </w:t>
      </w:r>
      <w:r w:rsidR="00A00323">
        <w:rPr>
          <w:sz w:val="20"/>
          <w:szCs w:val="20"/>
        </w:rPr>
        <w:t>4</w:t>
      </w:r>
      <w:r w:rsidR="00A00323" w:rsidRPr="002D690C">
        <w:rPr>
          <w:sz w:val="20"/>
          <w:szCs w:val="20"/>
        </w:rPr>
        <w:t>0%</w:t>
      </w:r>
      <w:r w:rsidR="00A00323">
        <w:rPr>
          <w:sz w:val="20"/>
          <w:szCs w:val="20"/>
        </w:rPr>
        <w:t xml:space="preserve"> missingness in </w:t>
      </w:r>
      <w:r w:rsidR="00A00323" w:rsidRPr="002D690C">
        <w:rPr>
          <w:sz w:val="20"/>
          <w:szCs w:val="20"/>
        </w:rPr>
        <w:t>MMA,</w:t>
      </w:r>
      <w:r w:rsidR="00A00323" w:rsidRPr="00CE2E8A">
        <w:rPr>
          <w:sz w:val="20"/>
          <w:szCs w:val="20"/>
        </w:rPr>
        <w:t xml:space="preserve"> </w:t>
      </w:r>
      <w:r w:rsidR="00A00323">
        <w:rPr>
          <w:sz w:val="20"/>
          <w:szCs w:val="20"/>
        </w:rPr>
        <w:t>6</w:t>
      </w:r>
      <w:r w:rsidR="00A00323" w:rsidRPr="002D690C">
        <w:rPr>
          <w:sz w:val="20"/>
          <w:szCs w:val="20"/>
        </w:rPr>
        <w:t>0%</w:t>
      </w:r>
      <w:r w:rsidR="00A00323">
        <w:rPr>
          <w:sz w:val="20"/>
          <w:szCs w:val="20"/>
        </w:rPr>
        <w:t xml:space="preserve"> missingness in iAs;</w:t>
      </w:r>
      <w:r w:rsidR="00A00323" w:rsidRPr="002D690C">
        <w:rPr>
          <w:sz w:val="20"/>
          <w:szCs w:val="20"/>
        </w:rPr>
        <w:t xml:space="preserve"> </w:t>
      </w:r>
      <w:r w:rsidR="00A00323">
        <w:rPr>
          <w:sz w:val="20"/>
          <w:szCs w:val="20"/>
        </w:rPr>
        <w:t xml:space="preserve">Each plot shows the violin plots of the estimates from the 500 replicates of simulation using </w:t>
      </w:r>
      <w:r w:rsidR="00A00323" w:rsidRPr="00FA6BBE">
        <w:rPr>
          <w:iCs/>
          <w:sz w:val="20"/>
          <w:szCs w:val="20"/>
        </w:rPr>
        <w:t>LOD/</w:t>
      </w:r>
      <m:oMath>
        <m:rad>
          <m:radPr>
            <m:degHide m:val="1"/>
            <m:ctrlPr>
              <w:rPr>
                <w:rFonts w:ascii="Cambria Math" w:hAnsi="Cambria Math"/>
                <w:i/>
                <w:iCs/>
                <w:sz w:val="20"/>
                <w:szCs w:val="20"/>
              </w:rPr>
            </m:ctrlPr>
          </m:radPr>
          <m:deg/>
          <m:e>
            <m:r>
              <w:rPr>
                <w:rFonts w:ascii="Cambria Math" w:hAnsi="Cambria Math"/>
                <w:sz w:val="20"/>
                <w:szCs w:val="20"/>
              </w:rPr>
              <m:t>2</m:t>
            </m:r>
          </m:e>
        </m:rad>
      </m:oMath>
      <w:r w:rsidR="00A00323" w:rsidRPr="00FA6BBE">
        <w:rPr>
          <w:iCs/>
          <w:sz w:val="20"/>
          <w:szCs w:val="20"/>
        </w:rPr>
        <w:t xml:space="preserve">, </w:t>
      </w:r>
      <w:r w:rsidR="00A00323">
        <w:rPr>
          <w:iCs/>
          <w:sz w:val="20"/>
          <w:szCs w:val="20"/>
        </w:rPr>
        <w:t>MICE-OLS, MICE-UTR, and BMTR</w:t>
      </w:r>
      <w:r w:rsidR="00A00323">
        <w:rPr>
          <w:sz w:val="20"/>
          <w:szCs w:val="20"/>
        </w:rPr>
        <w:t>. The dash line represents the true parameter using the entire sample of 1,6</w:t>
      </w:r>
      <w:r w:rsidR="000C2611">
        <w:rPr>
          <w:sz w:val="20"/>
          <w:szCs w:val="20"/>
        </w:rPr>
        <w:t>02</w:t>
      </w:r>
      <w:r w:rsidR="00A00323">
        <w:rPr>
          <w:sz w:val="20"/>
          <w:szCs w:val="20"/>
        </w:rPr>
        <w:t xml:space="preserve"> subjects. </w:t>
      </w:r>
    </w:p>
    <w:p w14:paraId="5F6AF159" w14:textId="77777777" w:rsidR="008362EC" w:rsidRDefault="008362EC"/>
    <w:p w14:paraId="04E2EF6D" w14:textId="77777777" w:rsidR="008362EC" w:rsidRDefault="008362EC">
      <w:r>
        <w:br w:type="page"/>
      </w:r>
    </w:p>
    <w:p w14:paraId="1107E7B1" w14:textId="41CF5B2C" w:rsidR="008362EC" w:rsidRDefault="005B631A" w:rsidP="008362EC">
      <w:r>
        <w:rPr>
          <w:noProof/>
        </w:rPr>
        <w:lastRenderedPageBreak/>
        <w:drawing>
          <wp:inline distT="0" distB="0" distL="0" distR="0" wp14:anchorId="4AE96E77" wp14:editId="0AAF2445">
            <wp:extent cx="5943600" cy="3714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7502287" w14:textId="77777777" w:rsidR="008362EC" w:rsidRPr="00ED4FAA" w:rsidRDefault="008362EC" w:rsidP="008362EC">
      <w:pPr>
        <w:rPr>
          <w:sz w:val="20"/>
          <w:szCs w:val="20"/>
        </w:rPr>
      </w:pPr>
      <w:r w:rsidRPr="002D690C">
        <w:rPr>
          <w:b/>
          <w:bCs/>
          <w:sz w:val="20"/>
          <w:szCs w:val="20"/>
        </w:rPr>
        <w:t>Figure</w:t>
      </w:r>
      <w:r>
        <w:rPr>
          <w:b/>
          <w:bCs/>
          <w:sz w:val="20"/>
          <w:szCs w:val="20"/>
        </w:rPr>
        <w:t xml:space="preserve"> 5</w:t>
      </w:r>
      <w:r w:rsidRPr="002D690C">
        <w:rPr>
          <w:sz w:val="20"/>
          <w:szCs w:val="20"/>
        </w:rPr>
        <w:t xml:space="preserve">. </w:t>
      </w:r>
      <w:r w:rsidRPr="006821A1">
        <w:rPr>
          <w:b/>
          <w:bCs/>
          <w:sz w:val="20"/>
          <w:szCs w:val="20"/>
        </w:rPr>
        <w:t xml:space="preserve">Simulation results in Scenario </w:t>
      </w:r>
      <w:r>
        <w:rPr>
          <w:b/>
          <w:bCs/>
          <w:sz w:val="20"/>
          <w:szCs w:val="20"/>
        </w:rPr>
        <w:t>2 coverage rate of 95% CI</w:t>
      </w:r>
      <w:r>
        <w:rPr>
          <w:sz w:val="20"/>
          <w:szCs w:val="20"/>
        </w:rPr>
        <w:t>: 1</w:t>
      </w:r>
      <w:r w:rsidRPr="002D690C">
        <w:rPr>
          <w:sz w:val="20"/>
          <w:szCs w:val="20"/>
        </w:rPr>
        <w:t>0%</w:t>
      </w:r>
      <w:r>
        <w:rPr>
          <w:sz w:val="20"/>
          <w:szCs w:val="20"/>
        </w:rPr>
        <w:t xml:space="preserve"> missingness in DMA</w:t>
      </w:r>
      <w:r w:rsidRPr="002D690C">
        <w:rPr>
          <w:sz w:val="20"/>
          <w:szCs w:val="20"/>
        </w:rPr>
        <w:t xml:space="preserve">, </w:t>
      </w:r>
      <w:r>
        <w:rPr>
          <w:sz w:val="20"/>
          <w:szCs w:val="20"/>
        </w:rPr>
        <w:t>4</w:t>
      </w:r>
      <w:r w:rsidRPr="002D690C">
        <w:rPr>
          <w:sz w:val="20"/>
          <w:szCs w:val="20"/>
        </w:rPr>
        <w:t>0%</w:t>
      </w:r>
      <w:r>
        <w:rPr>
          <w:sz w:val="20"/>
          <w:szCs w:val="20"/>
        </w:rPr>
        <w:t xml:space="preserve"> missingness in </w:t>
      </w:r>
      <w:r w:rsidRPr="002D690C">
        <w:rPr>
          <w:sz w:val="20"/>
          <w:szCs w:val="20"/>
        </w:rPr>
        <w:t>MMA,</w:t>
      </w:r>
      <w:r w:rsidRPr="00CE2E8A">
        <w:rPr>
          <w:sz w:val="20"/>
          <w:szCs w:val="20"/>
        </w:rPr>
        <w:t xml:space="preserve"> </w:t>
      </w:r>
      <w:r>
        <w:rPr>
          <w:sz w:val="20"/>
          <w:szCs w:val="20"/>
        </w:rPr>
        <w:t>6</w:t>
      </w:r>
      <w:r w:rsidRPr="002D690C">
        <w:rPr>
          <w:sz w:val="20"/>
          <w:szCs w:val="20"/>
        </w:rPr>
        <w:t>0%</w:t>
      </w:r>
      <w:r>
        <w:rPr>
          <w:sz w:val="20"/>
          <w:szCs w:val="20"/>
        </w:rPr>
        <w:t xml:space="preserve"> missingness in</w:t>
      </w:r>
      <w:r w:rsidRPr="002D690C">
        <w:rPr>
          <w:sz w:val="20"/>
          <w:szCs w:val="20"/>
        </w:rPr>
        <w:t xml:space="preserve"> </w:t>
      </w:r>
      <w:r>
        <w:rPr>
          <w:sz w:val="20"/>
          <w:szCs w:val="20"/>
        </w:rPr>
        <w:t>i</w:t>
      </w:r>
      <w:r w:rsidRPr="002D690C">
        <w:rPr>
          <w:sz w:val="20"/>
          <w:szCs w:val="20"/>
        </w:rPr>
        <w:t>A</w:t>
      </w:r>
      <w:r>
        <w:rPr>
          <w:sz w:val="20"/>
          <w:szCs w:val="20"/>
        </w:rPr>
        <w:t>s;</w:t>
      </w:r>
      <w:r w:rsidRPr="002D690C">
        <w:rPr>
          <w:sz w:val="20"/>
          <w:szCs w:val="20"/>
        </w:rPr>
        <w:t xml:space="preserve"> </w:t>
      </w:r>
    </w:p>
    <w:p w14:paraId="345602F6" w14:textId="24B9BF0C" w:rsidR="008362EC" w:rsidRDefault="008362EC">
      <w:r>
        <w:br w:type="page"/>
      </w:r>
    </w:p>
    <w:p w14:paraId="7BEDD423" w14:textId="77777777" w:rsidR="00862BF9" w:rsidRDefault="00862BF9" w:rsidP="00862BF9"/>
    <w:p w14:paraId="62BC6537" w14:textId="25AE7370" w:rsidR="00862BF9" w:rsidRDefault="00862BF9" w:rsidP="00862BF9">
      <w:r w:rsidRPr="00024737">
        <w:rPr>
          <w:noProof/>
        </w:rPr>
        <w:drawing>
          <wp:inline distT="0" distB="0" distL="0" distR="0" wp14:anchorId="6FE5D739" wp14:editId="5F7EA41C">
            <wp:extent cx="5970179" cy="520354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9024" cy="5211255"/>
                    </a:xfrm>
                    <a:prstGeom prst="rect">
                      <a:avLst/>
                    </a:prstGeom>
                  </pic:spPr>
                </pic:pic>
              </a:graphicData>
            </a:graphic>
          </wp:inline>
        </w:drawing>
      </w:r>
    </w:p>
    <w:p w14:paraId="6577F6FB" w14:textId="77777777" w:rsidR="000E612B" w:rsidRDefault="000E612B" w:rsidP="00D41547">
      <w:pPr>
        <w:rPr>
          <w:b/>
          <w:bCs/>
          <w:sz w:val="20"/>
          <w:szCs w:val="20"/>
        </w:rPr>
      </w:pPr>
    </w:p>
    <w:p w14:paraId="6DAAE557" w14:textId="6FF20A03" w:rsidR="00D41547" w:rsidRPr="0038725A" w:rsidRDefault="00862BF9" w:rsidP="00D41547">
      <w:pPr>
        <w:rPr>
          <w:sz w:val="20"/>
          <w:szCs w:val="20"/>
        </w:rPr>
      </w:pPr>
      <w:r w:rsidRPr="0038725A">
        <w:rPr>
          <w:b/>
          <w:bCs/>
          <w:sz w:val="20"/>
          <w:szCs w:val="20"/>
        </w:rPr>
        <w:t>Figure</w:t>
      </w:r>
      <w:r w:rsidR="00D41547">
        <w:rPr>
          <w:b/>
          <w:bCs/>
          <w:sz w:val="20"/>
          <w:szCs w:val="20"/>
        </w:rPr>
        <w:t xml:space="preserve"> </w:t>
      </w:r>
      <w:r w:rsidR="008362EC">
        <w:rPr>
          <w:b/>
          <w:bCs/>
          <w:sz w:val="20"/>
          <w:szCs w:val="20"/>
        </w:rPr>
        <w:t>6</w:t>
      </w:r>
      <w:r w:rsidRPr="0038725A">
        <w:rPr>
          <w:sz w:val="20"/>
          <w:szCs w:val="20"/>
        </w:rPr>
        <w:t xml:space="preserve">. </w:t>
      </w:r>
      <w:r w:rsidRPr="00CE2E8A">
        <w:rPr>
          <w:b/>
          <w:bCs/>
          <w:sz w:val="20"/>
          <w:szCs w:val="20"/>
        </w:rPr>
        <w:t>N</w:t>
      </w:r>
      <w:r>
        <w:rPr>
          <w:b/>
          <w:bCs/>
          <w:sz w:val="20"/>
          <w:szCs w:val="20"/>
        </w:rPr>
        <w:t>HANES</w:t>
      </w:r>
      <w:r w:rsidRPr="00CE2E8A">
        <w:rPr>
          <w:b/>
          <w:bCs/>
          <w:sz w:val="20"/>
          <w:szCs w:val="20"/>
        </w:rPr>
        <w:t xml:space="preserve"> </w:t>
      </w:r>
      <w:r w:rsidR="00D41547">
        <w:rPr>
          <w:b/>
          <w:bCs/>
          <w:sz w:val="20"/>
          <w:szCs w:val="20"/>
        </w:rPr>
        <w:t>2013-2014</w:t>
      </w:r>
      <w:r w:rsidRPr="00CE2E8A">
        <w:rPr>
          <w:b/>
          <w:bCs/>
          <w:sz w:val="20"/>
          <w:szCs w:val="20"/>
        </w:rPr>
        <w:t xml:space="preserve"> Arsenic </w:t>
      </w:r>
      <w:r w:rsidR="00D41547">
        <w:rPr>
          <w:b/>
          <w:bCs/>
          <w:sz w:val="20"/>
          <w:szCs w:val="20"/>
        </w:rPr>
        <w:t>application.</w:t>
      </w:r>
      <w:r>
        <w:rPr>
          <w:sz w:val="20"/>
          <w:szCs w:val="20"/>
        </w:rPr>
        <w:t xml:space="preserve"> </w:t>
      </w:r>
      <w:r w:rsidRPr="0038725A">
        <w:rPr>
          <w:sz w:val="20"/>
          <w:szCs w:val="20"/>
        </w:rPr>
        <w:t>A) Missing pattern</w:t>
      </w:r>
      <w:r w:rsidR="00101933">
        <w:rPr>
          <w:sz w:val="20"/>
          <w:szCs w:val="20"/>
        </w:rPr>
        <w:t>s:</w:t>
      </w:r>
      <w:r>
        <w:rPr>
          <w:sz w:val="20"/>
          <w:szCs w:val="20"/>
        </w:rPr>
        <w:t xml:space="preserve"> each row represents one missing pattern with blue </w:t>
      </w:r>
      <w:r w:rsidR="00D41547">
        <w:rPr>
          <w:sz w:val="20"/>
          <w:szCs w:val="20"/>
        </w:rPr>
        <w:t>denoting</w:t>
      </w:r>
      <w:r>
        <w:rPr>
          <w:sz w:val="20"/>
          <w:szCs w:val="20"/>
        </w:rPr>
        <w:t xml:space="preserve"> observed</w:t>
      </w:r>
      <w:r w:rsidR="00D41547">
        <w:rPr>
          <w:sz w:val="20"/>
          <w:szCs w:val="20"/>
        </w:rPr>
        <w:t xml:space="preserve"> and</w:t>
      </w:r>
      <w:r>
        <w:rPr>
          <w:sz w:val="20"/>
          <w:szCs w:val="20"/>
        </w:rPr>
        <w:t xml:space="preserve"> red </w:t>
      </w:r>
      <w:r w:rsidR="00D41547">
        <w:rPr>
          <w:sz w:val="20"/>
          <w:szCs w:val="20"/>
        </w:rPr>
        <w:t>denoting</w:t>
      </w:r>
      <w:r>
        <w:rPr>
          <w:sz w:val="20"/>
          <w:szCs w:val="20"/>
        </w:rPr>
        <w:t xml:space="preserve"> missing.</w:t>
      </w:r>
      <w:r w:rsidRPr="0038725A">
        <w:rPr>
          <w:sz w:val="20"/>
          <w:szCs w:val="20"/>
        </w:rPr>
        <w:t xml:space="preserve"> </w:t>
      </w:r>
      <w:r w:rsidR="00D41547">
        <w:rPr>
          <w:sz w:val="20"/>
          <w:szCs w:val="20"/>
        </w:rPr>
        <w:t xml:space="preserve">B) </w:t>
      </w:r>
      <w:r w:rsidR="00D41547" w:rsidRPr="0038725A">
        <w:rPr>
          <w:sz w:val="20"/>
          <w:szCs w:val="20"/>
        </w:rPr>
        <w:t xml:space="preserve">Correlation </w:t>
      </w:r>
      <w:r w:rsidR="00D41547">
        <w:rPr>
          <w:sz w:val="20"/>
          <w:szCs w:val="20"/>
        </w:rPr>
        <w:t xml:space="preserve">matrix </w:t>
      </w:r>
      <w:r w:rsidR="00D41547" w:rsidRPr="0038725A">
        <w:rPr>
          <w:sz w:val="20"/>
          <w:szCs w:val="20"/>
        </w:rPr>
        <w:t>between covariates</w:t>
      </w:r>
      <w:r w:rsidR="00D41547">
        <w:rPr>
          <w:sz w:val="20"/>
          <w:szCs w:val="20"/>
        </w:rPr>
        <w:t>: red color for negative correlations and blue color for positive correlation; the darker the color is, the stronger the correlation is.</w:t>
      </w:r>
      <w:r w:rsidR="00D41547" w:rsidRPr="0038725A">
        <w:rPr>
          <w:sz w:val="20"/>
          <w:szCs w:val="20"/>
        </w:rPr>
        <w:t xml:space="preserve"> </w:t>
      </w:r>
      <w:r w:rsidR="00D41547">
        <w:rPr>
          <w:sz w:val="20"/>
          <w:szCs w:val="20"/>
        </w:rPr>
        <w:t>C</w:t>
      </w:r>
      <w:r w:rsidR="00D41547" w:rsidRPr="0038725A">
        <w:rPr>
          <w:sz w:val="20"/>
          <w:szCs w:val="20"/>
        </w:rPr>
        <w:t xml:space="preserve">) Density plots of </w:t>
      </w:r>
      <w:r w:rsidR="00D41547">
        <w:rPr>
          <w:sz w:val="20"/>
          <w:szCs w:val="20"/>
        </w:rPr>
        <w:t>DMA, MMA, and iAs</w:t>
      </w:r>
      <w:r w:rsidR="00D41547" w:rsidRPr="0038725A">
        <w:rPr>
          <w:sz w:val="20"/>
          <w:szCs w:val="20"/>
        </w:rPr>
        <w:t xml:space="preserve"> after log</w:t>
      </w:r>
      <w:r w:rsidR="00D41547">
        <w:rPr>
          <w:sz w:val="20"/>
          <w:szCs w:val="20"/>
        </w:rPr>
        <w:t>-</w:t>
      </w:r>
      <w:r w:rsidR="00D41547" w:rsidRPr="0038725A">
        <w:rPr>
          <w:sz w:val="20"/>
          <w:szCs w:val="20"/>
        </w:rPr>
        <w:t>transformation</w:t>
      </w:r>
      <w:r w:rsidR="00D41547">
        <w:rPr>
          <w:sz w:val="20"/>
          <w:szCs w:val="20"/>
        </w:rPr>
        <w:t xml:space="preserve">: The marginal histogram plot shows the marginal density of each arsenic variable on the top and on the right edge of the plot. Inside the plot is the contour density plot between the two variables.  </w:t>
      </w:r>
    </w:p>
    <w:p w14:paraId="7083E49E" w14:textId="7EF08F00" w:rsidR="00862BF9" w:rsidRDefault="00862BF9" w:rsidP="00862BF9"/>
    <w:p w14:paraId="0EE661FC" w14:textId="77777777" w:rsidR="00862BF9" w:rsidRPr="0038725A" w:rsidRDefault="00862BF9" w:rsidP="00862BF9">
      <w:pPr>
        <w:rPr>
          <w:sz w:val="20"/>
          <w:szCs w:val="20"/>
        </w:rPr>
      </w:pPr>
    </w:p>
    <w:p w14:paraId="3749B945" w14:textId="77777777" w:rsidR="00862BF9" w:rsidRDefault="00862BF9" w:rsidP="00862BF9"/>
    <w:p w14:paraId="225552CD" w14:textId="2B9488F5" w:rsidR="00862BF9" w:rsidRDefault="00530124" w:rsidP="00862BF9">
      <w:r>
        <w:rPr>
          <w:noProof/>
        </w:rPr>
        <w:lastRenderedPageBreak/>
        <w:drawing>
          <wp:inline distT="0" distB="0" distL="0" distR="0" wp14:anchorId="7C56F205" wp14:editId="1A617CB1">
            <wp:extent cx="5943600" cy="37147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5643918" w14:textId="77777777" w:rsidR="000E612B" w:rsidRDefault="000E612B" w:rsidP="00862BF9">
      <w:pPr>
        <w:rPr>
          <w:b/>
          <w:bCs/>
          <w:sz w:val="20"/>
          <w:szCs w:val="20"/>
        </w:rPr>
      </w:pPr>
    </w:p>
    <w:p w14:paraId="3E5647EE" w14:textId="7A89EF37" w:rsidR="00862BF9" w:rsidRPr="00CE2E8A" w:rsidRDefault="00862BF9" w:rsidP="00862BF9">
      <w:pPr>
        <w:rPr>
          <w:sz w:val="20"/>
          <w:szCs w:val="20"/>
        </w:rPr>
      </w:pPr>
      <w:r w:rsidRPr="00CE2E8A">
        <w:rPr>
          <w:b/>
          <w:bCs/>
          <w:sz w:val="20"/>
          <w:szCs w:val="20"/>
        </w:rPr>
        <w:t>Figure</w:t>
      </w:r>
      <w:r w:rsidR="000C2611">
        <w:rPr>
          <w:b/>
          <w:bCs/>
          <w:sz w:val="20"/>
          <w:szCs w:val="20"/>
        </w:rPr>
        <w:t xml:space="preserve"> </w:t>
      </w:r>
      <w:r w:rsidR="008362EC">
        <w:rPr>
          <w:b/>
          <w:bCs/>
          <w:sz w:val="20"/>
          <w:szCs w:val="20"/>
        </w:rPr>
        <w:t>7</w:t>
      </w:r>
      <w:r w:rsidRPr="00CE2E8A">
        <w:rPr>
          <w:sz w:val="20"/>
          <w:szCs w:val="20"/>
        </w:rPr>
        <w:t xml:space="preserve">. </w:t>
      </w:r>
      <w:r w:rsidRPr="00CE2E8A">
        <w:rPr>
          <w:b/>
          <w:bCs/>
          <w:sz w:val="20"/>
          <w:szCs w:val="20"/>
        </w:rPr>
        <w:t>N</w:t>
      </w:r>
      <w:r>
        <w:rPr>
          <w:b/>
          <w:bCs/>
          <w:sz w:val="20"/>
          <w:szCs w:val="20"/>
        </w:rPr>
        <w:t>HANES</w:t>
      </w:r>
      <w:r w:rsidRPr="00CE2E8A">
        <w:rPr>
          <w:b/>
          <w:bCs/>
          <w:sz w:val="20"/>
          <w:szCs w:val="20"/>
        </w:rPr>
        <w:t xml:space="preserve"> </w:t>
      </w:r>
      <w:r w:rsidR="000C2611">
        <w:rPr>
          <w:b/>
          <w:bCs/>
          <w:sz w:val="20"/>
          <w:szCs w:val="20"/>
        </w:rPr>
        <w:t xml:space="preserve">2013-2014 </w:t>
      </w:r>
      <w:r w:rsidRPr="00CE2E8A">
        <w:rPr>
          <w:b/>
          <w:bCs/>
          <w:sz w:val="20"/>
          <w:szCs w:val="20"/>
        </w:rPr>
        <w:t>Arsenic data</w:t>
      </w:r>
      <w:r>
        <w:rPr>
          <w:b/>
          <w:bCs/>
          <w:sz w:val="20"/>
          <w:szCs w:val="20"/>
        </w:rPr>
        <w:t xml:space="preserve"> </w:t>
      </w:r>
      <w:r w:rsidR="000C2611">
        <w:rPr>
          <w:b/>
          <w:bCs/>
          <w:sz w:val="20"/>
          <w:szCs w:val="20"/>
        </w:rPr>
        <w:t>application results</w:t>
      </w:r>
      <w:r w:rsidRPr="00CE2E8A">
        <w:rPr>
          <w:sz w:val="20"/>
          <w:szCs w:val="20"/>
        </w:rPr>
        <w:t xml:space="preserve">: </w:t>
      </w:r>
      <w:r w:rsidR="000C2611">
        <w:rPr>
          <w:sz w:val="20"/>
          <w:szCs w:val="20"/>
        </w:rPr>
        <w:t>Each plot</w:t>
      </w:r>
      <w:r w:rsidRPr="00CE2E8A">
        <w:rPr>
          <w:sz w:val="20"/>
          <w:szCs w:val="20"/>
        </w:rPr>
        <w:t xml:space="preserve"> shows </w:t>
      </w:r>
      <w:r w:rsidR="000C2611">
        <w:rPr>
          <w:sz w:val="20"/>
          <w:szCs w:val="20"/>
        </w:rPr>
        <w:t xml:space="preserve">the </w:t>
      </w:r>
      <w:r w:rsidRPr="00CE2E8A">
        <w:rPr>
          <w:sz w:val="20"/>
          <w:szCs w:val="20"/>
        </w:rPr>
        <w:t>estimate</w:t>
      </w:r>
      <w:r w:rsidR="000C2611">
        <w:rPr>
          <w:sz w:val="20"/>
          <w:szCs w:val="20"/>
        </w:rPr>
        <w:t>s</w:t>
      </w:r>
      <w:r w:rsidRPr="00CE2E8A">
        <w:rPr>
          <w:sz w:val="20"/>
          <w:szCs w:val="20"/>
        </w:rPr>
        <w:t xml:space="preserve"> </w:t>
      </w:r>
      <w:r w:rsidR="000C2611">
        <w:rPr>
          <w:sz w:val="20"/>
          <w:szCs w:val="20"/>
        </w:rPr>
        <w:t xml:space="preserve">and 95% CIs </w:t>
      </w:r>
      <w:r w:rsidRPr="00CE2E8A">
        <w:rPr>
          <w:sz w:val="20"/>
          <w:szCs w:val="20"/>
        </w:rPr>
        <w:t>of</w:t>
      </w:r>
      <w:r w:rsidR="000C2611">
        <w:rPr>
          <w:sz w:val="20"/>
          <w:szCs w:val="20"/>
        </w:rPr>
        <w:t xml:space="preserve"> </w:t>
      </w:r>
      <w:r w:rsidR="000C2611" w:rsidRPr="00FA6BBE">
        <w:rPr>
          <w:iCs/>
          <w:sz w:val="20"/>
          <w:szCs w:val="20"/>
        </w:rPr>
        <w:t>LOD/</w:t>
      </w:r>
      <m:oMath>
        <m:rad>
          <m:radPr>
            <m:degHide m:val="1"/>
            <m:ctrlPr>
              <w:rPr>
                <w:rFonts w:ascii="Cambria Math" w:hAnsi="Cambria Math"/>
                <w:i/>
                <w:iCs/>
                <w:sz w:val="20"/>
                <w:szCs w:val="20"/>
              </w:rPr>
            </m:ctrlPr>
          </m:radPr>
          <m:deg/>
          <m:e>
            <m:r>
              <w:rPr>
                <w:rFonts w:ascii="Cambria Math" w:hAnsi="Cambria Math"/>
                <w:sz w:val="20"/>
                <w:szCs w:val="20"/>
              </w:rPr>
              <m:t>2</m:t>
            </m:r>
          </m:e>
        </m:rad>
      </m:oMath>
      <w:r w:rsidR="000C2611" w:rsidRPr="00FA6BBE">
        <w:rPr>
          <w:iCs/>
          <w:sz w:val="20"/>
          <w:szCs w:val="20"/>
        </w:rPr>
        <w:t xml:space="preserve">, </w:t>
      </w:r>
      <w:r w:rsidR="000C2611">
        <w:rPr>
          <w:iCs/>
          <w:sz w:val="20"/>
          <w:szCs w:val="20"/>
        </w:rPr>
        <w:t>MICE-OLS, MICE-UTR, and BMTR</w:t>
      </w:r>
      <w:r w:rsidRPr="00CE2E8A">
        <w:rPr>
          <w:sz w:val="20"/>
          <w:szCs w:val="20"/>
        </w:rPr>
        <w:t xml:space="preserve">. The slope </w:t>
      </w:r>
      <w:r>
        <w:rPr>
          <w:sz w:val="20"/>
          <w:szCs w:val="20"/>
        </w:rPr>
        <w:t xml:space="preserve">is the </w:t>
      </w:r>
      <w:r w:rsidR="000C2611">
        <w:rPr>
          <w:sz w:val="20"/>
          <w:szCs w:val="20"/>
        </w:rPr>
        <w:t>regression coefficient of</w:t>
      </w:r>
      <w:r>
        <w:rPr>
          <w:sz w:val="20"/>
          <w:szCs w:val="20"/>
        </w:rPr>
        <w:t xml:space="preserve"> the </w:t>
      </w:r>
      <w:r w:rsidRPr="00CE2E8A">
        <w:rPr>
          <w:sz w:val="20"/>
          <w:szCs w:val="20"/>
        </w:rPr>
        <w:t xml:space="preserve">log transformed arsenic variable </w:t>
      </w:r>
      <w:r>
        <w:rPr>
          <w:sz w:val="20"/>
          <w:szCs w:val="20"/>
        </w:rPr>
        <w:t>on</w:t>
      </w:r>
      <w:r w:rsidRPr="00CE2E8A">
        <w:rPr>
          <w:sz w:val="20"/>
          <w:szCs w:val="20"/>
        </w:rPr>
        <w:t xml:space="preserve"> ag</w:t>
      </w:r>
      <w:r>
        <w:rPr>
          <w:sz w:val="20"/>
          <w:szCs w:val="20"/>
        </w:rPr>
        <w:t>e</w:t>
      </w:r>
      <w:r w:rsidRPr="00CE2E8A">
        <w:rPr>
          <w:sz w:val="20"/>
          <w:szCs w:val="20"/>
        </w:rPr>
        <w:t xml:space="preserve">. </w:t>
      </w:r>
    </w:p>
    <w:p w14:paraId="25B29A06" w14:textId="71938FBC" w:rsidR="00AB3D2B" w:rsidRDefault="00AB3D2B"/>
    <w:p w14:paraId="44FE11CA" w14:textId="61FD3AD6" w:rsidR="006A2FCA" w:rsidRDefault="006A2FCA"/>
    <w:p w14:paraId="7880C91E" w14:textId="77777777" w:rsidR="006A2FCA" w:rsidRDefault="006A2FCA" w:rsidP="006A2FCA"/>
    <w:p w14:paraId="7FB08DB0" w14:textId="77777777" w:rsidR="006A2FCA" w:rsidRDefault="006A2FCA" w:rsidP="006A2FCA"/>
    <w:p w14:paraId="69B383D2" w14:textId="7C4B90AC" w:rsidR="006A2FCA" w:rsidRDefault="006A2FCA" w:rsidP="006A2FCA"/>
    <w:p w14:paraId="26D50740" w14:textId="77777777" w:rsidR="006A2FCA" w:rsidRDefault="006A2FCA" w:rsidP="006A2FCA"/>
    <w:p w14:paraId="4AC71662" w14:textId="77777777" w:rsidR="006A2FCA" w:rsidRDefault="006A2FCA"/>
    <w:sectPr w:rsidR="006A2FCA" w:rsidSect="00AB3D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96009" w14:textId="77777777" w:rsidR="001F7E91" w:rsidRDefault="001F7E91">
      <w:r>
        <w:separator/>
      </w:r>
    </w:p>
  </w:endnote>
  <w:endnote w:type="continuationSeparator" w:id="0">
    <w:p w14:paraId="102A8A67" w14:textId="77777777" w:rsidR="001F7E91" w:rsidRDefault="001F7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6925145"/>
      <w:docPartObj>
        <w:docPartGallery w:val="Page Numbers (Bottom of Page)"/>
        <w:docPartUnique/>
      </w:docPartObj>
    </w:sdtPr>
    <w:sdtEndPr>
      <w:rPr>
        <w:rStyle w:val="PageNumber"/>
      </w:rPr>
    </w:sdtEndPr>
    <w:sdtContent>
      <w:p w14:paraId="49F17783" w14:textId="67CDC6E7" w:rsidR="00D46972" w:rsidRDefault="00D46972" w:rsidP="00132F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77407B" w14:textId="77777777" w:rsidR="00D46972" w:rsidRDefault="00D46972" w:rsidP="008762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72949720"/>
      <w:docPartObj>
        <w:docPartGallery w:val="Page Numbers (Bottom of Page)"/>
        <w:docPartUnique/>
      </w:docPartObj>
    </w:sdtPr>
    <w:sdtEndPr>
      <w:rPr>
        <w:rStyle w:val="PageNumber"/>
      </w:rPr>
    </w:sdtEndPr>
    <w:sdtContent>
      <w:p w14:paraId="7E793E2F" w14:textId="427D91BE" w:rsidR="00D46972" w:rsidRDefault="00D46972" w:rsidP="00132F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58EC97" w14:textId="77777777" w:rsidR="00D46972" w:rsidRDefault="00D46972" w:rsidP="008762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8A59A" w14:textId="77777777" w:rsidR="001F7E91" w:rsidRDefault="001F7E91">
      <w:r>
        <w:separator/>
      </w:r>
    </w:p>
  </w:footnote>
  <w:footnote w:type="continuationSeparator" w:id="0">
    <w:p w14:paraId="3B0F6C46" w14:textId="77777777" w:rsidR="001F7E91" w:rsidRDefault="001F7E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07519"/>
    <w:multiLevelType w:val="hybridMultilevel"/>
    <w:tmpl w:val="E356ED2A"/>
    <w:lvl w:ilvl="0" w:tplc="0FBAB3A8">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915EA"/>
    <w:multiLevelType w:val="hybridMultilevel"/>
    <w:tmpl w:val="A680F038"/>
    <w:lvl w:ilvl="0" w:tplc="04090011">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 w15:restartNumberingAfterBreak="0">
    <w:nsid w:val="3A8A7F44"/>
    <w:multiLevelType w:val="hybridMultilevel"/>
    <w:tmpl w:val="A846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543935"/>
    <w:multiLevelType w:val="hybridMultilevel"/>
    <w:tmpl w:val="7E3AD5E2"/>
    <w:lvl w:ilvl="0" w:tplc="F98AB2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4417AD"/>
    <w:multiLevelType w:val="hybridMultilevel"/>
    <w:tmpl w:val="B00C55E8"/>
    <w:lvl w:ilvl="0" w:tplc="D172A8E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C73B67"/>
    <w:multiLevelType w:val="hybridMultilevel"/>
    <w:tmpl w:val="C2FE1A6A"/>
    <w:lvl w:ilvl="0" w:tplc="44D2B9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A03B0E"/>
    <w:multiLevelType w:val="multilevel"/>
    <w:tmpl w:val="7C9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012AF"/>
    <w:multiLevelType w:val="hybridMultilevel"/>
    <w:tmpl w:val="CECC1D18"/>
    <w:lvl w:ilvl="0" w:tplc="BD9803EC">
      <w:start w:val="7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05DB4"/>
    <w:multiLevelType w:val="hybridMultilevel"/>
    <w:tmpl w:val="84CE4C0A"/>
    <w:lvl w:ilvl="0" w:tplc="210E8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C41846"/>
    <w:multiLevelType w:val="hybridMultilevel"/>
    <w:tmpl w:val="B5062552"/>
    <w:lvl w:ilvl="0" w:tplc="A28A1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D07207"/>
    <w:multiLevelType w:val="hybridMultilevel"/>
    <w:tmpl w:val="6B0A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0"/>
  </w:num>
  <w:num w:numId="4">
    <w:abstractNumId w:val="5"/>
  </w:num>
  <w:num w:numId="5">
    <w:abstractNumId w:val="4"/>
  </w:num>
  <w:num w:numId="6">
    <w:abstractNumId w:val="3"/>
  </w:num>
  <w:num w:numId="7">
    <w:abstractNumId w:val="0"/>
  </w:num>
  <w:num w:numId="8">
    <w:abstractNumId w:val="9"/>
  </w:num>
  <w:num w:numId="9">
    <w:abstractNumId w:val="8"/>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07"/>
    <w:rsid w:val="00006153"/>
    <w:rsid w:val="00010FDB"/>
    <w:rsid w:val="00014DF3"/>
    <w:rsid w:val="0001628F"/>
    <w:rsid w:val="00021190"/>
    <w:rsid w:val="00021872"/>
    <w:rsid w:val="00022516"/>
    <w:rsid w:val="00023469"/>
    <w:rsid w:val="000271D4"/>
    <w:rsid w:val="00030AC2"/>
    <w:rsid w:val="000367B2"/>
    <w:rsid w:val="00037699"/>
    <w:rsid w:val="00043015"/>
    <w:rsid w:val="000436F5"/>
    <w:rsid w:val="00045E0D"/>
    <w:rsid w:val="0005199B"/>
    <w:rsid w:val="00052A5E"/>
    <w:rsid w:val="00053648"/>
    <w:rsid w:val="00056BB3"/>
    <w:rsid w:val="000577B3"/>
    <w:rsid w:val="00062025"/>
    <w:rsid w:val="00063372"/>
    <w:rsid w:val="0006353B"/>
    <w:rsid w:val="00073283"/>
    <w:rsid w:val="000743CD"/>
    <w:rsid w:val="00075AFB"/>
    <w:rsid w:val="0007740C"/>
    <w:rsid w:val="00081F57"/>
    <w:rsid w:val="000830C2"/>
    <w:rsid w:val="0008577C"/>
    <w:rsid w:val="00085CEF"/>
    <w:rsid w:val="00086977"/>
    <w:rsid w:val="00090543"/>
    <w:rsid w:val="00093607"/>
    <w:rsid w:val="000936A6"/>
    <w:rsid w:val="00095A75"/>
    <w:rsid w:val="00095E4B"/>
    <w:rsid w:val="0009671C"/>
    <w:rsid w:val="000A3344"/>
    <w:rsid w:val="000A3E97"/>
    <w:rsid w:val="000A424F"/>
    <w:rsid w:val="000A58D3"/>
    <w:rsid w:val="000A6803"/>
    <w:rsid w:val="000A7C27"/>
    <w:rsid w:val="000B1D81"/>
    <w:rsid w:val="000B2B5D"/>
    <w:rsid w:val="000B2CA2"/>
    <w:rsid w:val="000B41BB"/>
    <w:rsid w:val="000B5314"/>
    <w:rsid w:val="000B7B7A"/>
    <w:rsid w:val="000C2611"/>
    <w:rsid w:val="000C2922"/>
    <w:rsid w:val="000C2BC3"/>
    <w:rsid w:val="000C314F"/>
    <w:rsid w:val="000C4252"/>
    <w:rsid w:val="000C48C2"/>
    <w:rsid w:val="000C4CF5"/>
    <w:rsid w:val="000C6DD7"/>
    <w:rsid w:val="000C7684"/>
    <w:rsid w:val="000D01AD"/>
    <w:rsid w:val="000D2B53"/>
    <w:rsid w:val="000D38EE"/>
    <w:rsid w:val="000E4D2A"/>
    <w:rsid w:val="000E59B7"/>
    <w:rsid w:val="000E612B"/>
    <w:rsid w:val="000E6CF9"/>
    <w:rsid w:val="000F42AF"/>
    <w:rsid w:val="000F4B29"/>
    <w:rsid w:val="000F60A1"/>
    <w:rsid w:val="000F65A1"/>
    <w:rsid w:val="000F7688"/>
    <w:rsid w:val="000F784C"/>
    <w:rsid w:val="001002F2"/>
    <w:rsid w:val="00100995"/>
    <w:rsid w:val="00100AD4"/>
    <w:rsid w:val="00101933"/>
    <w:rsid w:val="001035FC"/>
    <w:rsid w:val="001064A7"/>
    <w:rsid w:val="0010758E"/>
    <w:rsid w:val="00110D60"/>
    <w:rsid w:val="00112892"/>
    <w:rsid w:val="00117166"/>
    <w:rsid w:val="00121E64"/>
    <w:rsid w:val="00122523"/>
    <w:rsid w:val="001233B5"/>
    <w:rsid w:val="00125747"/>
    <w:rsid w:val="00127F98"/>
    <w:rsid w:val="00130FA6"/>
    <w:rsid w:val="00132FA1"/>
    <w:rsid w:val="00141DDC"/>
    <w:rsid w:val="00144F19"/>
    <w:rsid w:val="00150CA1"/>
    <w:rsid w:val="00152F6F"/>
    <w:rsid w:val="001601D6"/>
    <w:rsid w:val="00161B44"/>
    <w:rsid w:val="00163309"/>
    <w:rsid w:val="0016482F"/>
    <w:rsid w:val="00164CD4"/>
    <w:rsid w:val="001679DC"/>
    <w:rsid w:val="0017080B"/>
    <w:rsid w:val="001718C3"/>
    <w:rsid w:val="001728C7"/>
    <w:rsid w:val="00173F01"/>
    <w:rsid w:val="00174431"/>
    <w:rsid w:val="0018088A"/>
    <w:rsid w:val="00182F22"/>
    <w:rsid w:val="0018317F"/>
    <w:rsid w:val="00184E8F"/>
    <w:rsid w:val="001860D0"/>
    <w:rsid w:val="001870C8"/>
    <w:rsid w:val="001875A2"/>
    <w:rsid w:val="001904C3"/>
    <w:rsid w:val="00190E55"/>
    <w:rsid w:val="00191859"/>
    <w:rsid w:val="00192B67"/>
    <w:rsid w:val="001A129D"/>
    <w:rsid w:val="001A5BB4"/>
    <w:rsid w:val="001A740D"/>
    <w:rsid w:val="001B098D"/>
    <w:rsid w:val="001B0BDA"/>
    <w:rsid w:val="001B6729"/>
    <w:rsid w:val="001C11B7"/>
    <w:rsid w:val="001C2F70"/>
    <w:rsid w:val="001C3290"/>
    <w:rsid w:val="001C64EF"/>
    <w:rsid w:val="001C7BD0"/>
    <w:rsid w:val="001D1CDE"/>
    <w:rsid w:val="001D2618"/>
    <w:rsid w:val="001D2BE6"/>
    <w:rsid w:val="001D2C55"/>
    <w:rsid w:val="001D64FC"/>
    <w:rsid w:val="001D7A42"/>
    <w:rsid w:val="001E02E9"/>
    <w:rsid w:val="001E2815"/>
    <w:rsid w:val="001E28F3"/>
    <w:rsid w:val="001E2A40"/>
    <w:rsid w:val="001E3F35"/>
    <w:rsid w:val="001F6C98"/>
    <w:rsid w:val="001F7E46"/>
    <w:rsid w:val="001F7E91"/>
    <w:rsid w:val="00201247"/>
    <w:rsid w:val="00202B8C"/>
    <w:rsid w:val="00203848"/>
    <w:rsid w:val="00206298"/>
    <w:rsid w:val="00211214"/>
    <w:rsid w:val="002120D8"/>
    <w:rsid w:val="0021548F"/>
    <w:rsid w:val="00221117"/>
    <w:rsid w:val="002224FE"/>
    <w:rsid w:val="002235D9"/>
    <w:rsid w:val="00224437"/>
    <w:rsid w:val="002277B8"/>
    <w:rsid w:val="00230602"/>
    <w:rsid w:val="00240876"/>
    <w:rsid w:val="002437C9"/>
    <w:rsid w:val="00247BC5"/>
    <w:rsid w:val="00251D60"/>
    <w:rsid w:val="0025319D"/>
    <w:rsid w:val="002628C1"/>
    <w:rsid w:val="002660BF"/>
    <w:rsid w:val="0026701A"/>
    <w:rsid w:val="00272B11"/>
    <w:rsid w:val="00276062"/>
    <w:rsid w:val="0028132E"/>
    <w:rsid w:val="00283CB4"/>
    <w:rsid w:val="0028479D"/>
    <w:rsid w:val="0028772F"/>
    <w:rsid w:val="00290DE6"/>
    <w:rsid w:val="002923BA"/>
    <w:rsid w:val="0029785F"/>
    <w:rsid w:val="002A54B8"/>
    <w:rsid w:val="002A5D92"/>
    <w:rsid w:val="002B594C"/>
    <w:rsid w:val="002B65E4"/>
    <w:rsid w:val="002B708D"/>
    <w:rsid w:val="002B79CE"/>
    <w:rsid w:val="002C2466"/>
    <w:rsid w:val="002C487C"/>
    <w:rsid w:val="002C791F"/>
    <w:rsid w:val="002D085D"/>
    <w:rsid w:val="002D26E5"/>
    <w:rsid w:val="002D2D75"/>
    <w:rsid w:val="002D6ED3"/>
    <w:rsid w:val="002E14AC"/>
    <w:rsid w:val="002E5997"/>
    <w:rsid w:val="002E6AF1"/>
    <w:rsid w:val="002F224F"/>
    <w:rsid w:val="002F2AC4"/>
    <w:rsid w:val="002F38F4"/>
    <w:rsid w:val="002F4632"/>
    <w:rsid w:val="002F631F"/>
    <w:rsid w:val="00304276"/>
    <w:rsid w:val="00305D68"/>
    <w:rsid w:val="00313674"/>
    <w:rsid w:val="00316664"/>
    <w:rsid w:val="003167B8"/>
    <w:rsid w:val="00320C82"/>
    <w:rsid w:val="0032556D"/>
    <w:rsid w:val="00327A4C"/>
    <w:rsid w:val="00336A86"/>
    <w:rsid w:val="00342E6A"/>
    <w:rsid w:val="003467B8"/>
    <w:rsid w:val="00351B5B"/>
    <w:rsid w:val="00353635"/>
    <w:rsid w:val="00353F63"/>
    <w:rsid w:val="00364AE7"/>
    <w:rsid w:val="0036563D"/>
    <w:rsid w:val="0036564E"/>
    <w:rsid w:val="00371D41"/>
    <w:rsid w:val="00373B3F"/>
    <w:rsid w:val="0037537F"/>
    <w:rsid w:val="003842F1"/>
    <w:rsid w:val="0038488D"/>
    <w:rsid w:val="00384EF3"/>
    <w:rsid w:val="00384FBA"/>
    <w:rsid w:val="00390AA9"/>
    <w:rsid w:val="00391F27"/>
    <w:rsid w:val="00393EF1"/>
    <w:rsid w:val="0039706A"/>
    <w:rsid w:val="00397DEB"/>
    <w:rsid w:val="003A10A7"/>
    <w:rsid w:val="003A1FA1"/>
    <w:rsid w:val="003A3514"/>
    <w:rsid w:val="003A358A"/>
    <w:rsid w:val="003A6422"/>
    <w:rsid w:val="003B2C49"/>
    <w:rsid w:val="003B492F"/>
    <w:rsid w:val="003B76BF"/>
    <w:rsid w:val="003B7F9F"/>
    <w:rsid w:val="003C4480"/>
    <w:rsid w:val="003C4FB1"/>
    <w:rsid w:val="003D05C9"/>
    <w:rsid w:val="003D0E8F"/>
    <w:rsid w:val="003D3363"/>
    <w:rsid w:val="003D4B6E"/>
    <w:rsid w:val="003E2B68"/>
    <w:rsid w:val="003E30A2"/>
    <w:rsid w:val="003E4027"/>
    <w:rsid w:val="003E53A4"/>
    <w:rsid w:val="003E5F09"/>
    <w:rsid w:val="003E627E"/>
    <w:rsid w:val="003E752F"/>
    <w:rsid w:val="003F0365"/>
    <w:rsid w:val="003F1A7C"/>
    <w:rsid w:val="003F2964"/>
    <w:rsid w:val="003F3BC2"/>
    <w:rsid w:val="003F41A5"/>
    <w:rsid w:val="003F64FE"/>
    <w:rsid w:val="00400B46"/>
    <w:rsid w:val="00403EE3"/>
    <w:rsid w:val="004046BB"/>
    <w:rsid w:val="00410593"/>
    <w:rsid w:val="0041264A"/>
    <w:rsid w:val="004237FD"/>
    <w:rsid w:val="00432AF6"/>
    <w:rsid w:val="0043447D"/>
    <w:rsid w:val="00437036"/>
    <w:rsid w:val="00437BB4"/>
    <w:rsid w:val="00440850"/>
    <w:rsid w:val="004417EA"/>
    <w:rsid w:val="00442A29"/>
    <w:rsid w:val="00442CD3"/>
    <w:rsid w:val="00445611"/>
    <w:rsid w:val="0044787D"/>
    <w:rsid w:val="004567FC"/>
    <w:rsid w:val="004569E2"/>
    <w:rsid w:val="004604BF"/>
    <w:rsid w:val="004605AE"/>
    <w:rsid w:val="00462910"/>
    <w:rsid w:val="004656FA"/>
    <w:rsid w:val="0047431A"/>
    <w:rsid w:val="00474EE7"/>
    <w:rsid w:val="0048024B"/>
    <w:rsid w:val="00480566"/>
    <w:rsid w:val="004833AA"/>
    <w:rsid w:val="00483BD4"/>
    <w:rsid w:val="00484CA4"/>
    <w:rsid w:val="00485248"/>
    <w:rsid w:val="00486E23"/>
    <w:rsid w:val="00491FAA"/>
    <w:rsid w:val="0049279E"/>
    <w:rsid w:val="00493D26"/>
    <w:rsid w:val="004940E2"/>
    <w:rsid w:val="00494F3E"/>
    <w:rsid w:val="0049509B"/>
    <w:rsid w:val="004A107F"/>
    <w:rsid w:val="004B01DB"/>
    <w:rsid w:val="004B1D24"/>
    <w:rsid w:val="004B2402"/>
    <w:rsid w:val="004B5D08"/>
    <w:rsid w:val="004C2560"/>
    <w:rsid w:val="004C2B6E"/>
    <w:rsid w:val="004C2C8B"/>
    <w:rsid w:val="004C4C9F"/>
    <w:rsid w:val="004C6315"/>
    <w:rsid w:val="004D0E82"/>
    <w:rsid w:val="004D16D8"/>
    <w:rsid w:val="004D3372"/>
    <w:rsid w:val="004D46AB"/>
    <w:rsid w:val="004D762A"/>
    <w:rsid w:val="004E1D7F"/>
    <w:rsid w:val="004E5D92"/>
    <w:rsid w:val="004F1068"/>
    <w:rsid w:val="004F159F"/>
    <w:rsid w:val="004F162B"/>
    <w:rsid w:val="004F3576"/>
    <w:rsid w:val="004F62F8"/>
    <w:rsid w:val="004F656E"/>
    <w:rsid w:val="005003D5"/>
    <w:rsid w:val="00502A69"/>
    <w:rsid w:val="005039DB"/>
    <w:rsid w:val="005144FA"/>
    <w:rsid w:val="0051450F"/>
    <w:rsid w:val="00515CAF"/>
    <w:rsid w:val="0051679B"/>
    <w:rsid w:val="00517456"/>
    <w:rsid w:val="00520CE1"/>
    <w:rsid w:val="00521578"/>
    <w:rsid w:val="0052653E"/>
    <w:rsid w:val="00526FEE"/>
    <w:rsid w:val="00527433"/>
    <w:rsid w:val="00530124"/>
    <w:rsid w:val="00533031"/>
    <w:rsid w:val="00533FEB"/>
    <w:rsid w:val="00534AF9"/>
    <w:rsid w:val="005355C6"/>
    <w:rsid w:val="00536D6D"/>
    <w:rsid w:val="005370EA"/>
    <w:rsid w:val="00543310"/>
    <w:rsid w:val="00545201"/>
    <w:rsid w:val="00550C54"/>
    <w:rsid w:val="0055127D"/>
    <w:rsid w:val="0055473D"/>
    <w:rsid w:val="00554DEE"/>
    <w:rsid w:val="005554B7"/>
    <w:rsid w:val="005611AB"/>
    <w:rsid w:val="005614AB"/>
    <w:rsid w:val="005641C6"/>
    <w:rsid w:val="00564207"/>
    <w:rsid w:val="0056638F"/>
    <w:rsid w:val="00567050"/>
    <w:rsid w:val="00572AA3"/>
    <w:rsid w:val="00574C51"/>
    <w:rsid w:val="005752DC"/>
    <w:rsid w:val="0057686B"/>
    <w:rsid w:val="00576BD1"/>
    <w:rsid w:val="00581F36"/>
    <w:rsid w:val="0059033D"/>
    <w:rsid w:val="00590630"/>
    <w:rsid w:val="00593A89"/>
    <w:rsid w:val="005950AD"/>
    <w:rsid w:val="0059561A"/>
    <w:rsid w:val="0059583D"/>
    <w:rsid w:val="00595E94"/>
    <w:rsid w:val="005A0FEA"/>
    <w:rsid w:val="005A61B1"/>
    <w:rsid w:val="005B3036"/>
    <w:rsid w:val="005B5246"/>
    <w:rsid w:val="005B5B16"/>
    <w:rsid w:val="005B6188"/>
    <w:rsid w:val="005B631A"/>
    <w:rsid w:val="005C32D8"/>
    <w:rsid w:val="005C4A03"/>
    <w:rsid w:val="005C66D0"/>
    <w:rsid w:val="005D630C"/>
    <w:rsid w:val="005D7B22"/>
    <w:rsid w:val="005E77E7"/>
    <w:rsid w:val="005F3060"/>
    <w:rsid w:val="005F44D9"/>
    <w:rsid w:val="005F6799"/>
    <w:rsid w:val="005F6E04"/>
    <w:rsid w:val="0060216E"/>
    <w:rsid w:val="00606B17"/>
    <w:rsid w:val="00610C2B"/>
    <w:rsid w:val="00611578"/>
    <w:rsid w:val="00612A82"/>
    <w:rsid w:val="00614E47"/>
    <w:rsid w:val="00615B14"/>
    <w:rsid w:val="00616846"/>
    <w:rsid w:val="006326AC"/>
    <w:rsid w:val="0063449F"/>
    <w:rsid w:val="006363C4"/>
    <w:rsid w:val="00636D47"/>
    <w:rsid w:val="00640316"/>
    <w:rsid w:val="0064063A"/>
    <w:rsid w:val="00642B77"/>
    <w:rsid w:val="00642F9F"/>
    <w:rsid w:val="006458AC"/>
    <w:rsid w:val="00645E18"/>
    <w:rsid w:val="00646DFA"/>
    <w:rsid w:val="00650BB4"/>
    <w:rsid w:val="00652835"/>
    <w:rsid w:val="00654974"/>
    <w:rsid w:val="00660770"/>
    <w:rsid w:val="00663B6B"/>
    <w:rsid w:val="00667B05"/>
    <w:rsid w:val="0067035B"/>
    <w:rsid w:val="0067081F"/>
    <w:rsid w:val="00674A72"/>
    <w:rsid w:val="006766BA"/>
    <w:rsid w:val="0068040A"/>
    <w:rsid w:val="006821F4"/>
    <w:rsid w:val="0068745C"/>
    <w:rsid w:val="006876A8"/>
    <w:rsid w:val="0069051D"/>
    <w:rsid w:val="00693C26"/>
    <w:rsid w:val="00695F4A"/>
    <w:rsid w:val="006969DA"/>
    <w:rsid w:val="00696FE8"/>
    <w:rsid w:val="006A0EDE"/>
    <w:rsid w:val="006A2FCA"/>
    <w:rsid w:val="006A3F13"/>
    <w:rsid w:val="006B209E"/>
    <w:rsid w:val="006B3CFE"/>
    <w:rsid w:val="006B3F5F"/>
    <w:rsid w:val="006B4D5B"/>
    <w:rsid w:val="006B4E21"/>
    <w:rsid w:val="006B7051"/>
    <w:rsid w:val="006C0BD6"/>
    <w:rsid w:val="006C11E0"/>
    <w:rsid w:val="006C1361"/>
    <w:rsid w:val="006C4176"/>
    <w:rsid w:val="006C7201"/>
    <w:rsid w:val="006C7EEF"/>
    <w:rsid w:val="006D31FA"/>
    <w:rsid w:val="006D3CB9"/>
    <w:rsid w:val="006D4FE9"/>
    <w:rsid w:val="006D54D3"/>
    <w:rsid w:val="006E14EA"/>
    <w:rsid w:val="006E42AA"/>
    <w:rsid w:val="006E4C16"/>
    <w:rsid w:val="006E78EB"/>
    <w:rsid w:val="006F1887"/>
    <w:rsid w:val="00702B71"/>
    <w:rsid w:val="007038F0"/>
    <w:rsid w:val="00703E01"/>
    <w:rsid w:val="007066BC"/>
    <w:rsid w:val="00724E68"/>
    <w:rsid w:val="007258CD"/>
    <w:rsid w:val="00730E3F"/>
    <w:rsid w:val="00734A8F"/>
    <w:rsid w:val="0073792A"/>
    <w:rsid w:val="007405EC"/>
    <w:rsid w:val="007413B4"/>
    <w:rsid w:val="007419CF"/>
    <w:rsid w:val="00751191"/>
    <w:rsid w:val="007547FB"/>
    <w:rsid w:val="00754BFE"/>
    <w:rsid w:val="007567F1"/>
    <w:rsid w:val="00756F2B"/>
    <w:rsid w:val="00760A96"/>
    <w:rsid w:val="00761422"/>
    <w:rsid w:val="00765DB0"/>
    <w:rsid w:val="00765FAB"/>
    <w:rsid w:val="00767F17"/>
    <w:rsid w:val="007719DF"/>
    <w:rsid w:val="00776B72"/>
    <w:rsid w:val="0078056E"/>
    <w:rsid w:val="0078428F"/>
    <w:rsid w:val="00784A28"/>
    <w:rsid w:val="00787474"/>
    <w:rsid w:val="00787CCE"/>
    <w:rsid w:val="00791D51"/>
    <w:rsid w:val="007955D0"/>
    <w:rsid w:val="007962AD"/>
    <w:rsid w:val="007A0CC0"/>
    <w:rsid w:val="007A2137"/>
    <w:rsid w:val="007A2EEF"/>
    <w:rsid w:val="007A3155"/>
    <w:rsid w:val="007A459F"/>
    <w:rsid w:val="007A54E4"/>
    <w:rsid w:val="007A6C0E"/>
    <w:rsid w:val="007A7A80"/>
    <w:rsid w:val="007B6A0D"/>
    <w:rsid w:val="007B7ECE"/>
    <w:rsid w:val="007C2672"/>
    <w:rsid w:val="007C308F"/>
    <w:rsid w:val="007D38AF"/>
    <w:rsid w:val="007D4620"/>
    <w:rsid w:val="007D6371"/>
    <w:rsid w:val="007D67F7"/>
    <w:rsid w:val="007D7396"/>
    <w:rsid w:val="007D7E5A"/>
    <w:rsid w:val="007E26B2"/>
    <w:rsid w:val="007F1001"/>
    <w:rsid w:val="007F279A"/>
    <w:rsid w:val="007F2B35"/>
    <w:rsid w:val="007F5877"/>
    <w:rsid w:val="007F7244"/>
    <w:rsid w:val="0080145D"/>
    <w:rsid w:val="008049AB"/>
    <w:rsid w:val="00804B61"/>
    <w:rsid w:val="0080636A"/>
    <w:rsid w:val="0081073A"/>
    <w:rsid w:val="00810B92"/>
    <w:rsid w:val="008159B9"/>
    <w:rsid w:val="00815B23"/>
    <w:rsid w:val="00817083"/>
    <w:rsid w:val="008266F3"/>
    <w:rsid w:val="00827019"/>
    <w:rsid w:val="00834298"/>
    <w:rsid w:val="008362EC"/>
    <w:rsid w:val="00840022"/>
    <w:rsid w:val="00841993"/>
    <w:rsid w:val="008458BB"/>
    <w:rsid w:val="0084710F"/>
    <w:rsid w:val="0085118D"/>
    <w:rsid w:val="00851789"/>
    <w:rsid w:val="00861C1D"/>
    <w:rsid w:val="00862BF9"/>
    <w:rsid w:val="00865F63"/>
    <w:rsid w:val="00866259"/>
    <w:rsid w:val="0086717E"/>
    <w:rsid w:val="008717F4"/>
    <w:rsid w:val="0087309D"/>
    <w:rsid w:val="00873EB6"/>
    <w:rsid w:val="008762DA"/>
    <w:rsid w:val="008769AA"/>
    <w:rsid w:val="0087747F"/>
    <w:rsid w:val="00885CCD"/>
    <w:rsid w:val="008863C5"/>
    <w:rsid w:val="00891588"/>
    <w:rsid w:val="00892498"/>
    <w:rsid w:val="00897C77"/>
    <w:rsid w:val="008A3BC8"/>
    <w:rsid w:val="008A7E97"/>
    <w:rsid w:val="008A7FA7"/>
    <w:rsid w:val="008B0BE0"/>
    <w:rsid w:val="008B13C0"/>
    <w:rsid w:val="008B1874"/>
    <w:rsid w:val="008B509F"/>
    <w:rsid w:val="008C0077"/>
    <w:rsid w:val="008C399E"/>
    <w:rsid w:val="008C51B2"/>
    <w:rsid w:val="008D41C8"/>
    <w:rsid w:val="008D4818"/>
    <w:rsid w:val="008D7484"/>
    <w:rsid w:val="008D7CC7"/>
    <w:rsid w:val="008E29AC"/>
    <w:rsid w:val="008E2CC3"/>
    <w:rsid w:val="008E3A9D"/>
    <w:rsid w:val="008E47DA"/>
    <w:rsid w:val="008F45F2"/>
    <w:rsid w:val="008F5C9C"/>
    <w:rsid w:val="00907E6F"/>
    <w:rsid w:val="009125DA"/>
    <w:rsid w:val="00913609"/>
    <w:rsid w:val="00923321"/>
    <w:rsid w:val="00924BE7"/>
    <w:rsid w:val="00934B29"/>
    <w:rsid w:val="00935589"/>
    <w:rsid w:val="00935A3B"/>
    <w:rsid w:val="00935B2C"/>
    <w:rsid w:val="00935D24"/>
    <w:rsid w:val="00942259"/>
    <w:rsid w:val="00942444"/>
    <w:rsid w:val="00946BEE"/>
    <w:rsid w:val="00946DBE"/>
    <w:rsid w:val="009474FF"/>
    <w:rsid w:val="009508E0"/>
    <w:rsid w:val="00952A5F"/>
    <w:rsid w:val="00957A3F"/>
    <w:rsid w:val="00964525"/>
    <w:rsid w:val="0096482B"/>
    <w:rsid w:val="00966D94"/>
    <w:rsid w:val="00967068"/>
    <w:rsid w:val="009701CD"/>
    <w:rsid w:val="00970BF1"/>
    <w:rsid w:val="009713CA"/>
    <w:rsid w:val="0097191E"/>
    <w:rsid w:val="00972205"/>
    <w:rsid w:val="0097401A"/>
    <w:rsid w:val="00974400"/>
    <w:rsid w:val="0098410D"/>
    <w:rsid w:val="00984382"/>
    <w:rsid w:val="009849B6"/>
    <w:rsid w:val="00987FCF"/>
    <w:rsid w:val="00992D76"/>
    <w:rsid w:val="00993281"/>
    <w:rsid w:val="009A1A1D"/>
    <w:rsid w:val="009A44FE"/>
    <w:rsid w:val="009A6479"/>
    <w:rsid w:val="009B35CB"/>
    <w:rsid w:val="009C0EE1"/>
    <w:rsid w:val="009C179F"/>
    <w:rsid w:val="009C3303"/>
    <w:rsid w:val="009C4F54"/>
    <w:rsid w:val="009C500A"/>
    <w:rsid w:val="009D0501"/>
    <w:rsid w:val="009D3C11"/>
    <w:rsid w:val="009D5717"/>
    <w:rsid w:val="009D5ACB"/>
    <w:rsid w:val="009D63CE"/>
    <w:rsid w:val="009E683C"/>
    <w:rsid w:val="009E7297"/>
    <w:rsid w:val="009F0369"/>
    <w:rsid w:val="009F2E85"/>
    <w:rsid w:val="009F3747"/>
    <w:rsid w:val="009F6333"/>
    <w:rsid w:val="009F7B80"/>
    <w:rsid w:val="00A00323"/>
    <w:rsid w:val="00A0249A"/>
    <w:rsid w:val="00A03F59"/>
    <w:rsid w:val="00A044A6"/>
    <w:rsid w:val="00A049DC"/>
    <w:rsid w:val="00A04CA9"/>
    <w:rsid w:val="00A05005"/>
    <w:rsid w:val="00A05800"/>
    <w:rsid w:val="00A077B7"/>
    <w:rsid w:val="00A101EC"/>
    <w:rsid w:val="00A10B17"/>
    <w:rsid w:val="00A10CF0"/>
    <w:rsid w:val="00A13C57"/>
    <w:rsid w:val="00A153A7"/>
    <w:rsid w:val="00A17D50"/>
    <w:rsid w:val="00A20D2D"/>
    <w:rsid w:val="00A26049"/>
    <w:rsid w:val="00A32AB1"/>
    <w:rsid w:val="00A3468D"/>
    <w:rsid w:val="00A354F5"/>
    <w:rsid w:val="00A36F3F"/>
    <w:rsid w:val="00A4008B"/>
    <w:rsid w:val="00A41767"/>
    <w:rsid w:val="00A41AF6"/>
    <w:rsid w:val="00A4252A"/>
    <w:rsid w:val="00A4509C"/>
    <w:rsid w:val="00A45F5E"/>
    <w:rsid w:val="00A5260C"/>
    <w:rsid w:val="00A55FA2"/>
    <w:rsid w:val="00A61F5B"/>
    <w:rsid w:val="00A65DB0"/>
    <w:rsid w:val="00A77635"/>
    <w:rsid w:val="00A81258"/>
    <w:rsid w:val="00A8176F"/>
    <w:rsid w:val="00A83BFF"/>
    <w:rsid w:val="00A8431F"/>
    <w:rsid w:val="00A85B4E"/>
    <w:rsid w:val="00A86098"/>
    <w:rsid w:val="00A91D8D"/>
    <w:rsid w:val="00A9368E"/>
    <w:rsid w:val="00A94E8A"/>
    <w:rsid w:val="00A95FE1"/>
    <w:rsid w:val="00A97FF1"/>
    <w:rsid w:val="00AA2561"/>
    <w:rsid w:val="00AA398F"/>
    <w:rsid w:val="00AA489E"/>
    <w:rsid w:val="00AA4997"/>
    <w:rsid w:val="00AA5076"/>
    <w:rsid w:val="00AA7E21"/>
    <w:rsid w:val="00AA7E6D"/>
    <w:rsid w:val="00AB3D2B"/>
    <w:rsid w:val="00AB5AE8"/>
    <w:rsid w:val="00AC146B"/>
    <w:rsid w:val="00AC21D1"/>
    <w:rsid w:val="00AC270B"/>
    <w:rsid w:val="00AC3017"/>
    <w:rsid w:val="00AC411B"/>
    <w:rsid w:val="00AD3C0E"/>
    <w:rsid w:val="00AE0255"/>
    <w:rsid w:val="00AE2EC6"/>
    <w:rsid w:val="00AE7844"/>
    <w:rsid w:val="00AE7BFC"/>
    <w:rsid w:val="00AE7C3D"/>
    <w:rsid w:val="00AF1AA2"/>
    <w:rsid w:val="00AF2C64"/>
    <w:rsid w:val="00AF3425"/>
    <w:rsid w:val="00B0046E"/>
    <w:rsid w:val="00B00AEA"/>
    <w:rsid w:val="00B00F8D"/>
    <w:rsid w:val="00B02FC4"/>
    <w:rsid w:val="00B063E4"/>
    <w:rsid w:val="00B122F4"/>
    <w:rsid w:val="00B139C0"/>
    <w:rsid w:val="00B23A9E"/>
    <w:rsid w:val="00B24854"/>
    <w:rsid w:val="00B24C4A"/>
    <w:rsid w:val="00B30FF8"/>
    <w:rsid w:val="00B326DA"/>
    <w:rsid w:val="00B32BE9"/>
    <w:rsid w:val="00B32F95"/>
    <w:rsid w:val="00B33B98"/>
    <w:rsid w:val="00B346C4"/>
    <w:rsid w:val="00B356B0"/>
    <w:rsid w:val="00B370B8"/>
    <w:rsid w:val="00B43690"/>
    <w:rsid w:val="00B43AA0"/>
    <w:rsid w:val="00B43DC7"/>
    <w:rsid w:val="00B46391"/>
    <w:rsid w:val="00B4767A"/>
    <w:rsid w:val="00B513EA"/>
    <w:rsid w:val="00B52C74"/>
    <w:rsid w:val="00B53FB1"/>
    <w:rsid w:val="00B54043"/>
    <w:rsid w:val="00B6315C"/>
    <w:rsid w:val="00B64A47"/>
    <w:rsid w:val="00B73D8C"/>
    <w:rsid w:val="00B86439"/>
    <w:rsid w:val="00B901E8"/>
    <w:rsid w:val="00B90F6A"/>
    <w:rsid w:val="00B91BE0"/>
    <w:rsid w:val="00BA1163"/>
    <w:rsid w:val="00BA4309"/>
    <w:rsid w:val="00BA43F3"/>
    <w:rsid w:val="00BA4A72"/>
    <w:rsid w:val="00BA4D3D"/>
    <w:rsid w:val="00BA667C"/>
    <w:rsid w:val="00BA6E2B"/>
    <w:rsid w:val="00BB0401"/>
    <w:rsid w:val="00BB0841"/>
    <w:rsid w:val="00BC0DFA"/>
    <w:rsid w:val="00BC0FF2"/>
    <w:rsid w:val="00BC1875"/>
    <w:rsid w:val="00BD1A00"/>
    <w:rsid w:val="00BD3029"/>
    <w:rsid w:val="00BD44A1"/>
    <w:rsid w:val="00BD5B22"/>
    <w:rsid w:val="00BE1C2E"/>
    <w:rsid w:val="00BE3468"/>
    <w:rsid w:val="00BE6444"/>
    <w:rsid w:val="00BE6523"/>
    <w:rsid w:val="00BE697B"/>
    <w:rsid w:val="00BF00F7"/>
    <w:rsid w:val="00BF1089"/>
    <w:rsid w:val="00BF10D7"/>
    <w:rsid w:val="00BF1D6E"/>
    <w:rsid w:val="00BF5B16"/>
    <w:rsid w:val="00BF7CEE"/>
    <w:rsid w:val="00C00AB2"/>
    <w:rsid w:val="00C00B47"/>
    <w:rsid w:val="00C02FF0"/>
    <w:rsid w:val="00C0435E"/>
    <w:rsid w:val="00C0504F"/>
    <w:rsid w:val="00C11718"/>
    <w:rsid w:val="00C12E80"/>
    <w:rsid w:val="00C15565"/>
    <w:rsid w:val="00C175E7"/>
    <w:rsid w:val="00C20249"/>
    <w:rsid w:val="00C202DF"/>
    <w:rsid w:val="00C2134A"/>
    <w:rsid w:val="00C219C9"/>
    <w:rsid w:val="00C22872"/>
    <w:rsid w:val="00C229AE"/>
    <w:rsid w:val="00C246DA"/>
    <w:rsid w:val="00C25A95"/>
    <w:rsid w:val="00C277CF"/>
    <w:rsid w:val="00C307BA"/>
    <w:rsid w:val="00C30A14"/>
    <w:rsid w:val="00C31A73"/>
    <w:rsid w:val="00C320F1"/>
    <w:rsid w:val="00C3217E"/>
    <w:rsid w:val="00C413C3"/>
    <w:rsid w:val="00C42D04"/>
    <w:rsid w:val="00C51AC3"/>
    <w:rsid w:val="00C51AD7"/>
    <w:rsid w:val="00C5399A"/>
    <w:rsid w:val="00C618B1"/>
    <w:rsid w:val="00C641DA"/>
    <w:rsid w:val="00C725C5"/>
    <w:rsid w:val="00C7387F"/>
    <w:rsid w:val="00C7779B"/>
    <w:rsid w:val="00C8056A"/>
    <w:rsid w:val="00C82E3D"/>
    <w:rsid w:val="00C86EB5"/>
    <w:rsid w:val="00C96EDB"/>
    <w:rsid w:val="00C97F84"/>
    <w:rsid w:val="00CB1515"/>
    <w:rsid w:val="00CB1C54"/>
    <w:rsid w:val="00CB548F"/>
    <w:rsid w:val="00CC3FFC"/>
    <w:rsid w:val="00CD30EB"/>
    <w:rsid w:val="00CD561C"/>
    <w:rsid w:val="00CE4ABE"/>
    <w:rsid w:val="00CE70E8"/>
    <w:rsid w:val="00CE71BB"/>
    <w:rsid w:val="00CF1A9C"/>
    <w:rsid w:val="00CF1CED"/>
    <w:rsid w:val="00CF289E"/>
    <w:rsid w:val="00CF35EF"/>
    <w:rsid w:val="00CF39F1"/>
    <w:rsid w:val="00CF7B48"/>
    <w:rsid w:val="00D003AA"/>
    <w:rsid w:val="00D03CF2"/>
    <w:rsid w:val="00D03DAA"/>
    <w:rsid w:val="00D05773"/>
    <w:rsid w:val="00D05D90"/>
    <w:rsid w:val="00D10266"/>
    <w:rsid w:val="00D12C5C"/>
    <w:rsid w:val="00D164D1"/>
    <w:rsid w:val="00D20757"/>
    <w:rsid w:val="00D21AD0"/>
    <w:rsid w:val="00D30E54"/>
    <w:rsid w:val="00D32ACA"/>
    <w:rsid w:val="00D34DD3"/>
    <w:rsid w:val="00D3540D"/>
    <w:rsid w:val="00D365BC"/>
    <w:rsid w:val="00D41547"/>
    <w:rsid w:val="00D44DCD"/>
    <w:rsid w:val="00D46972"/>
    <w:rsid w:val="00D46C3A"/>
    <w:rsid w:val="00D56ED4"/>
    <w:rsid w:val="00D57428"/>
    <w:rsid w:val="00D60ED1"/>
    <w:rsid w:val="00D653F0"/>
    <w:rsid w:val="00D65EA8"/>
    <w:rsid w:val="00D711E4"/>
    <w:rsid w:val="00D71BB4"/>
    <w:rsid w:val="00D73C21"/>
    <w:rsid w:val="00D745B0"/>
    <w:rsid w:val="00D75E5B"/>
    <w:rsid w:val="00D76B95"/>
    <w:rsid w:val="00D774BF"/>
    <w:rsid w:val="00D818A2"/>
    <w:rsid w:val="00D82161"/>
    <w:rsid w:val="00D8692A"/>
    <w:rsid w:val="00D86DEC"/>
    <w:rsid w:val="00D878E6"/>
    <w:rsid w:val="00D87F0A"/>
    <w:rsid w:val="00D90804"/>
    <w:rsid w:val="00D929ED"/>
    <w:rsid w:val="00D92B6C"/>
    <w:rsid w:val="00D94A7D"/>
    <w:rsid w:val="00DA09E2"/>
    <w:rsid w:val="00DA5B54"/>
    <w:rsid w:val="00DA71B9"/>
    <w:rsid w:val="00DB0022"/>
    <w:rsid w:val="00DB5342"/>
    <w:rsid w:val="00DB5985"/>
    <w:rsid w:val="00DB5D8D"/>
    <w:rsid w:val="00DB6438"/>
    <w:rsid w:val="00DC2039"/>
    <w:rsid w:val="00DC4004"/>
    <w:rsid w:val="00DC74A3"/>
    <w:rsid w:val="00DC757D"/>
    <w:rsid w:val="00DD1140"/>
    <w:rsid w:val="00DD7CD0"/>
    <w:rsid w:val="00DE3396"/>
    <w:rsid w:val="00DF1601"/>
    <w:rsid w:val="00DF274E"/>
    <w:rsid w:val="00DF2AB7"/>
    <w:rsid w:val="00DF384C"/>
    <w:rsid w:val="00E04350"/>
    <w:rsid w:val="00E05674"/>
    <w:rsid w:val="00E069DE"/>
    <w:rsid w:val="00E06BA9"/>
    <w:rsid w:val="00E07934"/>
    <w:rsid w:val="00E100D4"/>
    <w:rsid w:val="00E1483F"/>
    <w:rsid w:val="00E171C7"/>
    <w:rsid w:val="00E22DF1"/>
    <w:rsid w:val="00E24100"/>
    <w:rsid w:val="00E262CF"/>
    <w:rsid w:val="00E26EDE"/>
    <w:rsid w:val="00E26FB7"/>
    <w:rsid w:val="00E27012"/>
    <w:rsid w:val="00E32619"/>
    <w:rsid w:val="00E33500"/>
    <w:rsid w:val="00E33AB2"/>
    <w:rsid w:val="00E37947"/>
    <w:rsid w:val="00E533E4"/>
    <w:rsid w:val="00E53977"/>
    <w:rsid w:val="00E61795"/>
    <w:rsid w:val="00E62A81"/>
    <w:rsid w:val="00E6441A"/>
    <w:rsid w:val="00E652F6"/>
    <w:rsid w:val="00E6609F"/>
    <w:rsid w:val="00E70CD1"/>
    <w:rsid w:val="00E72A5D"/>
    <w:rsid w:val="00E7590B"/>
    <w:rsid w:val="00E75B13"/>
    <w:rsid w:val="00E76841"/>
    <w:rsid w:val="00E77845"/>
    <w:rsid w:val="00E80454"/>
    <w:rsid w:val="00E80C75"/>
    <w:rsid w:val="00E818D3"/>
    <w:rsid w:val="00E8278B"/>
    <w:rsid w:val="00E85DB6"/>
    <w:rsid w:val="00E87A7B"/>
    <w:rsid w:val="00E87AD2"/>
    <w:rsid w:val="00E900B4"/>
    <w:rsid w:val="00E90821"/>
    <w:rsid w:val="00E924DD"/>
    <w:rsid w:val="00E95DEF"/>
    <w:rsid w:val="00E97BA5"/>
    <w:rsid w:val="00EA1018"/>
    <w:rsid w:val="00EA5B56"/>
    <w:rsid w:val="00EB05D2"/>
    <w:rsid w:val="00EB14CD"/>
    <w:rsid w:val="00EB1B0A"/>
    <w:rsid w:val="00EB1F50"/>
    <w:rsid w:val="00EB1F85"/>
    <w:rsid w:val="00EB2BE3"/>
    <w:rsid w:val="00EB2C11"/>
    <w:rsid w:val="00EB5C5C"/>
    <w:rsid w:val="00EB5F1F"/>
    <w:rsid w:val="00EB69A3"/>
    <w:rsid w:val="00EC30A9"/>
    <w:rsid w:val="00EC6447"/>
    <w:rsid w:val="00ED0D59"/>
    <w:rsid w:val="00ED390C"/>
    <w:rsid w:val="00ED3E23"/>
    <w:rsid w:val="00ED4E03"/>
    <w:rsid w:val="00ED5CFF"/>
    <w:rsid w:val="00EE1202"/>
    <w:rsid w:val="00EE4518"/>
    <w:rsid w:val="00EE63D3"/>
    <w:rsid w:val="00EE6F30"/>
    <w:rsid w:val="00EF0E76"/>
    <w:rsid w:val="00EF7A52"/>
    <w:rsid w:val="00F00E4A"/>
    <w:rsid w:val="00F02012"/>
    <w:rsid w:val="00F0363E"/>
    <w:rsid w:val="00F03D4F"/>
    <w:rsid w:val="00F055E7"/>
    <w:rsid w:val="00F058E8"/>
    <w:rsid w:val="00F05B59"/>
    <w:rsid w:val="00F12220"/>
    <w:rsid w:val="00F147C0"/>
    <w:rsid w:val="00F17A2F"/>
    <w:rsid w:val="00F20C79"/>
    <w:rsid w:val="00F409B2"/>
    <w:rsid w:val="00F476D0"/>
    <w:rsid w:val="00F47AC1"/>
    <w:rsid w:val="00F502E6"/>
    <w:rsid w:val="00F50654"/>
    <w:rsid w:val="00F51978"/>
    <w:rsid w:val="00F5232F"/>
    <w:rsid w:val="00F532FE"/>
    <w:rsid w:val="00F5341C"/>
    <w:rsid w:val="00F54788"/>
    <w:rsid w:val="00F55C02"/>
    <w:rsid w:val="00F56778"/>
    <w:rsid w:val="00F62225"/>
    <w:rsid w:val="00F64CBA"/>
    <w:rsid w:val="00F64F58"/>
    <w:rsid w:val="00F6611F"/>
    <w:rsid w:val="00F71AC3"/>
    <w:rsid w:val="00F73454"/>
    <w:rsid w:val="00F736A6"/>
    <w:rsid w:val="00F75EE7"/>
    <w:rsid w:val="00F77EE2"/>
    <w:rsid w:val="00F852F4"/>
    <w:rsid w:val="00F861C1"/>
    <w:rsid w:val="00F9450F"/>
    <w:rsid w:val="00F9535E"/>
    <w:rsid w:val="00F958B6"/>
    <w:rsid w:val="00FA1A1D"/>
    <w:rsid w:val="00FA233B"/>
    <w:rsid w:val="00FA2795"/>
    <w:rsid w:val="00FA47D5"/>
    <w:rsid w:val="00FA6BBE"/>
    <w:rsid w:val="00FA76FF"/>
    <w:rsid w:val="00FB062A"/>
    <w:rsid w:val="00FB4526"/>
    <w:rsid w:val="00FC1081"/>
    <w:rsid w:val="00FC3E01"/>
    <w:rsid w:val="00FC5B4B"/>
    <w:rsid w:val="00FD4F04"/>
    <w:rsid w:val="00FD64CB"/>
    <w:rsid w:val="00FD7827"/>
    <w:rsid w:val="00FF0444"/>
    <w:rsid w:val="00FF0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65D82D"/>
  <w15:chartTrackingRefBased/>
  <w15:docId w15:val="{A2979DD5-BD03-334E-8AFE-1E834F86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in Body Text"/>
    <w:qFormat/>
    <w:rsid w:val="00564207"/>
    <w:rPr>
      <w:rFonts w:ascii="Times New Roman" w:eastAsia="Times New Roman" w:hAnsi="Times New Roman" w:cs="Times New Roman"/>
    </w:rPr>
  </w:style>
  <w:style w:type="paragraph" w:styleId="Heading1">
    <w:name w:val="heading 1"/>
    <w:basedOn w:val="Normal"/>
    <w:next w:val="Normal"/>
    <w:link w:val="Heading1Char"/>
    <w:autoRedefine/>
    <w:qFormat/>
    <w:rsid w:val="00564207"/>
    <w:pPr>
      <w:keepNext/>
      <w:keepLines/>
      <w:spacing w:before="240" w:line="480" w:lineRule="auto"/>
      <w:contextualSpacing/>
      <w:jc w:val="center"/>
      <w:outlineLvl w:val="0"/>
    </w:pPr>
    <w:rPr>
      <w:rFonts w:eastAsiaTheme="majorEastAsia" w:cstheme="majorBidi"/>
      <w:b/>
      <w:sz w:val="32"/>
      <w:szCs w:val="32"/>
      <w:lang w:eastAsia="en-US"/>
    </w:rPr>
  </w:style>
  <w:style w:type="paragraph" w:styleId="Heading2">
    <w:name w:val="heading 2"/>
    <w:basedOn w:val="Normal"/>
    <w:next w:val="Normal"/>
    <w:link w:val="Heading2Char"/>
    <w:autoRedefine/>
    <w:unhideWhenUsed/>
    <w:qFormat/>
    <w:rsid w:val="00E33AB2"/>
    <w:pPr>
      <w:keepNext/>
      <w:keepLines/>
      <w:spacing w:line="480" w:lineRule="auto"/>
      <w:contextualSpacing/>
      <w:outlineLvl w:val="1"/>
    </w:pPr>
    <w:rPr>
      <w:rFonts w:eastAsiaTheme="majorEastAsia" w:cstheme="majorBidi"/>
      <w:b/>
      <w:lang w:eastAsia="en-US"/>
    </w:rPr>
  </w:style>
  <w:style w:type="paragraph" w:styleId="Heading3">
    <w:name w:val="heading 3"/>
    <w:basedOn w:val="Normal"/>
    <w:next w:val="Normal"/>
    <w:link w:val="Heading3Char"/>
    <w:rsid w:val="00564207"/>
    <w:pPr>
      <w:keepNext/>
      <w:keepLines/>
      <w:spacing w:before="320" w:line="360" w:lineRule="auto"/>
      <w:outlineLvl w:val="2"/>
    </w:pPr>
    <w:rPr>
      <w:rFonts w:ascii="Cambria" w:eastAsia="Cambria" w:hAnsi="Cambria" w:cs="Cambria"/>
      <w:b/>
      <w:i/>
      <w:sz w:val="26"/>
      <w:szCs w:val="26"/>
      <w:lang w:eastAsia="en-US"/>
    </w:rPr>
  </w:style>
  <w:style w:type="paragraph" w:styleId="Heading4">
    <w:name w:val="heading 4"/>
    <w:basedOn w:val="Normal"/>
    <w:next w:val="Normal"/>
    <w:link w:val="Heading4Char"/>
    <w:rsid w:val="00564207"/>
    <w:pPr>
      <w:keepNext/>
      <w:keepLines/>
      <w:spacing w:before="280" w:line="360" w:lineRule="auto"/>
      <w:outlineLvl w:val="3"/>
    </w:pPr>
    <w:rPr>
      <w:rFonts w:ascii="Cambria" w:eastAsia="Cambria" w:hAnsi="Cambria" w:cs="Cambria"/>
      <w:b/>
      <w:i/>
      <w:lang w:eastAsia="en-US"/>
    </w:rPr>
  </w:style>
  <w:style w:type="paragraph" w:styleId="Heading5">
    <w:name w:val="heading 5"/>
    <w:basedOn w:val="Normal"/>
    <w:next w:val="Normal"/>
    <w:link w:val="Heading5Char"/>
    <w:rsid w:val="00564207"/>
    <w:pPr>
      <w:keepNext/>
      <w:keepLines/>
      <w:spacing w:before="280" w:line="360" w:lineRule="auto"/>
      <w:outlineLvl w:val="4"/>
    </w:pPr>
    <w:rPr>
      <w:rFonts w:ascii="Cambria" w:eastAsia="Cambria" w:hAnsi="Cambria" w:cs="Cambria"/>
      <w:b/>
      <w:i/>
      <w:sz w:val="20"/>
      <w:szCs w:val="20"/>
      <w:lang w:eastAsia="en-US"/>
    </w:rPr>
  </w:style>
  <w:style w:type="paragraph" w:styleId="Heading6">
    <w:name w:val="heading 6"/>
    <w:basedOn w:val="Normal"/>
    <w:next w:val="Normal"/>
    <w:link w:val="Heading6Char"/>
    <w:rsid w:val="00564207"/>
    <w:pPr>
      <w:keepNext/>
      <w:keepLines/>
      <w:spacing w:before="280" w:after="80" w:line="360" w:lineRule="auto"/>
      <w:outlineLvl w:val="5"/>
    </w:pPr>
    <w:rPr>
      <w:rFonts w:ascii="Cambria" w:eastAsia="Cambria" w:hAnsi="Cambria" w:cs="Cambria"/>
      <w:b/>
      <w:i/>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4207"/>
    <w:rPr>
      <w:rFonts w:ascii="Times New Roman" w:eastAsiaTheme="majorEastAsia" w:hAnsi="Times New Roman" w:cstheme="majorBidi"/>
      <w:b/>
      <w:sz w:val="32"/>
      <w:szCs w:val="32"/>
      <w:lang w:eastAsia="en-US"/>
    </w:rPr>
  </w:style>
  <w:style w:type="character" w:customStyle="1" w:styleId="Heading2Char">
    <w:name w:val="Heading 2 Char"/>
    <w:basedOn w:val="DefaultParagraphFont"/>
    <w:link w:val="Heading2"/>
    <w:rsid w:val="00E33AB2"/>
    <w:rPr>
      <w:rFonts w:ascii="Times New Roman" w:eastAsiaTheme="majorEastAsia" w:hAnsi="Times New Roman" w:cstheme="majorBidi"/>
      <w:b/>
      <w:lang w:eastAsia="en-US"/>
    </w:rPr>
  </w:style>
  <w:style w:type="character" w:customStyle="1" w:styleId="Heading3Char">
    <w:name w:val="Heading 3 Char"/>
    <w:basedOn w:val="DefaultParagraphFont"/>
    <w:link w:val="Heading3"/>
    <w:rsid w:val="00564207"/>
    <w:rPr>
      <w:rFonts w:ascii="Cambria" w:eastAsia="Cambria" w:hAnsi="Cambria" w:cs="Cambria"/>
      <w:b/>
      <w:i/>
      <w:sz w:val="26"/>
      <w:szCs w:val="26"/>
      <w:lang w:eastAsia="en-US"/>
    </w:rPr>
  </w:style>
  <w:style w:type="character" w:customStyle="1" w:styleId="Heading4Char">
    <w:name w:val="Heading 4 Char"/>
    <w:basedOn w:val="DefaultParagraphFont"/>
    <w:link w:val="Heading4"/>
    <w:rsid w:val="00564207"/>
    <w:rPr>
      <w:rFonts w:ascii="Cambria" w:eastAsia="Cambria" w:hAnsi="Cambria" w:cs="Cambria"/>
      <w:b/>
      <w:i/>
      <w:lang w:eastAsia="en-US"/>
    </w:rPr>
  </w:style>
  <w:style w:type="character" w:customStyle="1" w:styleId="Heading5Char">
    <w:name w:val="Heading 5 Char"/>
    <w:basedOn w:val="DefaultParagraphFont"/>
    <w:link w:val="Heading5"/>
    <w:rsid w:val="00564207"/>
    <w:rPr>
      <w:rFonts w:ascii="Cambria" w:eastAsia="Cambria" w:hAnsi="Cambria" w:cs="Cambria"/>
      <w:b/>
      <w:i/>
      <w:sz w:val="20"/>
      <w:szCs w:val="20"/>
      <w:lang w:eastAsia="en-US"/>
    </w:rPr>
  </w:style>
  <w:style w:type="character" w:customStyle="1" w:styleId="Heading6Char">
    <w:name w:val="Heading 6 Char"/>
    <w:basedOn w:val="DefaultParagraphFont"/>
    <w:link w:val="Heading6"/>
    <w:rsid w:val="00564207"/>
    <w:rPr>
      <w:rFonts w:ascii="Cambria" w:eastAsia="Cambria" w:hAnsi="Cambria" w:cs="Cambria"/>
      <w:b/>
      <w:i/>
      <w:sz w:val="20"/>
      <w:szCs w:val="20"/>
      <w:lang w:eastAsia="en-US"/>
    </w:rPr>
  </w:style>
  <w:style w:type="paragraph" w:styleId="Header">
    <w:name w:val="header"/>
    <w:basedOn w:val="Normal"/>
    <w:link w:val="HeaderChar"/>
    <w:uiPriority w:val="99"/>
    <w:unhideWhenUsed/>
    <w:rsid w:val="00564207"/>
    <w:pPr>
      <w:tabs>
        <w:tab w:val="center" w:pos="4680"/>
        <w:tab w:val="right" w:pos="9360"/>
      </w:tabs>
      <w:contextualSpacing/>
    </w:pPr>
    <w:rPr>
      <w:rFonts w:eastAsiaTheme="minorHAnsi" w:cstheme="minorBidi"/>
      <w:szCs w:val="22"/>
      <w:lang w:eastAsia="en-US"/>
    </w:rPr>
  </w:style>
  <w:style w:type="character" w:customStyle="1" w:styleId="HeaderChar">
    <w:name w:val="Header Char"/>
    <w:basedOn w:val="DefaultParagraphFont"/>
    <w:link w:val="Header"/>
    <w:uiPriority w:val="99"/>
    <w:rsid w:val="00564207"/>
    <w:rPr>
      <w:rFonts w:ascii="Times New Roman" w:eastAsiaTheme="minorHAnsi" w:hAnsi="Times New Roman"/>
      <w:szCs w:val="22"/>
      <w:lang w:eastAsia="en-US"/>
    </w:rPr>
  </w:style>
  <w:style w:type="paragraph" w:styleId="Footer">
    <w:name w:val="footer"/>
    <w:basedOn w:val="Normal"/>
    <w:link w:val="FooterChar"/>
    <w:uiPriority w:val="99"/>
    <w:unhideWhenUsed/>
    <w:rsid w:val="00564207"/>
    <w:pPr>
      <w:tabs>
        <w:tab w:val="center" w:pos="4680"/>
        <w:tab w:val="right" w:pos="9360"/>
      </w:tabs>
      <w:contextualSpacing/>
    </w:pPr>
    <w:rPr>
      <w:rFonts w:eastAsiaTheme="minorHAnsi" w:cstheme="minorBidi"/>
      <w:szCs w:val="22"/>
      <w:lang w:eastAsia="en-US"/>
    </w:rPr>
  </w:style>
  <w:style w:type="character" w:customStyle="1" w:styleId="FooterChar">
    <w:name w:val="Footer Char"/>
    <w:basedOn w:val="DefaultParagraphFont"/>
    <w:link w:val="Footer"/>
    <w:uiPriority w:val="99"/>
    <w:rsid w:val="00564207"/>
    <w:rPr>
      <w:rFonts w:ascii="Times New Roman" w:eastAsiaTheme="minorHAnsi" w:hAnsi="Times New Roman"/>
      <w:szCs w:val="22"/>
      <w:lang w:eastAsia="en-US"/>
    </w:rPr>
  </w:style>
  <w:style w:type="paragraph" w:styleId="TOCHeading">
    <w:name w:val="TOC Heading"/>
    <w:basedOn w:val="Heading1"/>
    <w:next w:val="Normal"/>
    <w:uiPriority w:val="39"/>
    <w:unhideWhenUsed/>
    <w:qFormat/>
    <w:rsid w:val="00564207"/>
    <w:pPr>
      <w:spacing w:line="259" w:lineRule="auto"/>
      <w:contextualSpacing w:val="0"/>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564207"/>
    <w:pPr>
      <w:spacing w:after="100" w:line="480" w:lineRule="auto"/>
      <w:contextualSpacing/>
    </w:pPr>
    <w:rPr>
      <w:rFonts w:eastAsiaTheme="minorHAnsi" w:cstheme="minorBidi"/>
      <w:szCs w:val="22"/>
      <w:lang w:eastAsia="en-US"/>
    </w:rPr>
  </w:style>
  <w:style w:type="character" w:styleId="Hyperlink">
    <w:name w:val="Hyperlink"/>
    <w:basedOn w:val="DefaultParagraphFont"/>
    <w:uiPriority w:val="99"/>
    <w:unhideWhenUsed/>
    <w:rsid w:val="00564207"/>
    <w:rPr>
      <w:color w:val="0563C1" w:themeColor="hyperlink"/>
      <w:u w:val="single"/>
    </w:rPr>
  </w:style>
  <w:style w:type="paragraph" w:styleId="TOC2">
    <w:name w:val="toc 2"/>
    <w:basedOn w:val="Normal"/>
    <w:next w:val="Normal"/>
    <w:autoRedefine/>
    <w:uiPriority w:val="39"/>
    <w:unhideWhenUsed/>
    <w:rsid w:val="00564207"/>
    <w:pPr>
      <w:tabs>
        <w:tab w:val="right" w:leader="dot" w:pos="9350"/>
      </w:tabs>
      <w:spacing w:after="100" w:line="480" w:lineRule="auto"/>
      <w:ind w:left="240"/>
      <w:contextualSpacing/>
    </w:pPr>
    <w:rPr>
      <w:rFonts w:eastAsiaTheme="minorHAnsi" w:cstheme="minorBidi"/>
      <w:i/>
      <w:noProof/>
      <w:szCs w:val="22"/>
      <w:lang w:eastAsia="en-US"/>
    </w:rPr>
  </w:style>
  <w:style w:type="paragraph" w:styleId="Caption">
    <w:name w:val="caption"/>
    <w:basedOn w:val="Normal"/>
    <w:next w:val="Normal"/>
    <w:uiPriority w:val="35"/>
    <w:qFormat/>
    <w:rsid w:val="00564207"/>
    <w:pPr>
      <w:spacing w:after="240"/>
      <w:ind w:firstLine="720"/>
      <w:jc w:val="center"/>
    </w:pPr>
    <w:rPr>
      <w:rFonts w:ascii="Palatino Linotype" w:hAnsi="Palatino Linotype"/>
      <w:b/>
      <w:bCs/>
      <w:sz w:val="22"/>
      <w:lang w:eastAsia="en-US"/>
    </w:rPr>
  </w:style>
  <w:style w:type="paragraph" w:customStyle="1" w:styleId="Reference">
    <w:name w:val="Reference"/>
    <w:basedOn w:val="Normal"/>
    <w:rsid w:val="00564207"/>
    <w:pPr>
      <w:spacing w:after="240"/>
      <w:ind w:left="720" w:hanging="720"/>
    </w:pPr>
    <w:rPr>
      <w:rFonts w:ascii="Palatino Linotype" w:hAnsi="Palatino Linotype"/>
      <w:sz w:val="22"/>
      <w:lang w:eastAsia="en-US"/>
    </w:rPr>
  </w:style>
  <w:style w:type="paragraph" w:styleId="FootnoteText">
    <w:name w:val="footnote text"/>
    <w:basedOn w:val="Normal"/>
    <w:link w:val="FootnoteTextChar"/>
    <w:uiPriority w:val="99"/>
    <w:semiHidden/>
    <w:unhideWhenUsed/>
    <w:rsid w:val="00564207"/>
    <w:pPr>
      <w:contextualSpacing/>
    </w:pPr>
    <w:rPr>
      <w:rFonts w:eastAsia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564207"/>
    <w:rPr>
      <w:rFonts w:ascii="Times New Roman" w:eastAsiaTheme="minorHAnsi" w:hAnsi="Times New Roman"/>
      <w:sz w:val="20"/>
      <w:szCs w:val="20"/>
      <w:lang w:eastAsia="en-US"/>
    </w:rPr>
  </w:style>
  <w:style w:type="character" w:styleId="SubtleEmphasis">
    <w:name w:val="Subtle Emphasis"/>
    <w:basedOn w:val="DefaultParagraphFont"/>
    <w:uiPriority w:val="19"/>
    <w:qFormat/>
    <w:rsid w:val="00564207"/>
    <w:rPr>
      <w:i/>
      <w:iCs/>
      <w:color w:val="404040" w:themeColor="text1" w:themeTint="BF"/>
    </w:rPr>
  </w:style>
  <w:style w:type="paragraph" w:styleId="ListParagraph">
    <w:name w:val="List Paragraph"/>
    <w:basedOn w:val="Normal"/>
    <w:uiPriority w:val="34"/>
    <w:qFormat/>
    <w:rsid w:val="00564207"/>
    <w:pPr>
      <w:ind w:left="720"/>
      <w:contextualSpacing/>
    </w:pPr>
    <w:rPr>
      <w:lang w:eastAsia="en-US"/>
    </w:rPr>
  </w:style>
  <w:style w:type="paragraph" w:styleId="Title">
    <w:name w:val="Title"/>
    <w:basedOn w:val="Normal"/>
    <w:next w:val="Normal"/>
    <w:link w:val="TitleChar"/>
    <w:rsid w:val="00564207"/>
    <w:pPr>
      <w:keepNext/>
      <w:keepLines/>
      <w:spacing w:after="240"/>
    </w:pPr>
    <w:rPr>
      <w:rFonts w:ascii="Cambria" w:eastAsia="Cambria" w:hAnsi="Cambria" w:cs="Cambria"/>
      <w:b/>
      <w:i/>
      <w:sz w:val="60"/>
      <w:szCs w:val="60"/>
      <w:lang w:eastAsia="en-US"/>
    </w:rPr>
  </w:style>
  <w:style w:type="character" w:customStyle="1" w:styleId="TitleChar">
    <w:name w:val="Title Char"/>
    <w:basedOn w:val="DefaultParagraphFont"/>
    <w:link w:val="Title"/>
    <w:rsid w:val="00564207"/>
    <w:rPr>
      <w:rFonts w:ascii="Cambria" w:eastAsia="Cambria" w:hAnsi="Cambria" w:cs="Cambria"/>
      <w:b/>
      <w:i/>
      <w:sz w:val="60"/>
      <w:szCs w:val="60"/>
      <w:lang w:eastAsia="en-US"/>
    </w:rPr>
  </w:style>
  <w:style w:type="paragraph" w:styleId="Subtitle">
    <w:name w:val="Subtitle"/>
    <w:basedOn w:val="Normal"/>
    <w:next w:val="Normal"/>
    <w:link w:val="SubtitleChar"/>
    <w:rsid w:val="00564207"/>
    <w:pPr>
      <w:keepNext/>
      <w:keepLines/>
      <w:spacing w:after="320" w:line="480" w:lineRule="auto"/>
      <w:ind w:firstLine="360"/>
      <w:jc w:val="right"/>
    </w:pPr>
    <w:rPr>
      <w:rFonts w:ascii="Calibri" w:eastAsia="Calibri" w:hAnsi="Calibri" w:cs="Calibri"/>
      <w:i/>
      <w:color w:val="808080"/>
      <w:lang w:eastAsia="en-US"/>
    </w:rPr>
  </w:style>
  <w:style w:type="character" w:customStyle="1" w:styleId="SubtitleChar">
    <w:name w:val="Subtitle Char"/>
    <w:basedOn w:val="DefaultParagraphFont"/>
    <w:link w:val="Subtitle"/>
    <w:rsid w:val="00564207"/>
    <w:rPr>
      <w:rFonts w:ascii="Calibri" w:eastAsia="Calibri" w:hAnsi="Calibri" w:cs="Calibri"/>
      <w:i/>
      <w:color w:val="808080"/>
      <w:lang w:eastAsia="en-US"/>
    </w:rPr>
  </w:style>
  <w:style w:type="character" w:styleId="CommentReference">
    <w:name w:val="annotation reference"/>
    <w:basedOn w:val="DefaultParagraphFont"/>
    <w:uiPriority w:val="99"/>
    <w:semiHidden/>
    <w:unhideWhenUsed/>
    <w:rsid w:val="00564207"/>
    <w:rPr>
      <w:sz w:val="16"/>
      <w:szCs w:val="16"/>
    </w:rPr>
  </w:style>
  <w:style w:type="paragraph" w:styleId="CommentText">
    <w:name w:val="annotation text"/>
    <w:basedOn w:val="Normal"/>
    <w:link w:val="CommentTextChar"/>
    <w:uiPriority w:val="99"/>
    <w:unhideWhenUsed/>
    <w:rsid w:val="00564207"/>
    <w:rPr>
      <w:sz w:val="20"/>
      <w:szCs w:val="20"/>
      <w:lang w:eastAsia="en-US"/>
    </w:rPr>
  </w:style>
  <w:style w:type="character" w:customStyle="1" w:styleId="CommentTextChar">
    <w:name w:val="Comment Text Char"/>
    <w:basedOn w:val="DefaultParagraphFont"/>
    <w:link w:val="CommentText"/>
    <w:uiPriority w:val="99"/>
    <w:rsid w:val="00564207"/>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uiPriority w:val="99"/>
    <w:semiHidden/>
    <w:rsid w:val="00564207"/>
    <w:rPr>
      <w:rFonts w:ascii="Times New Roman" w:eastAsia="Times New Roman" w:hAnsi="Times New Roman" w:cs="Times New Roman"/>
      <w:b/>
      <w:bCs/>
      <w:sz w:val="20"/>
      <w:szCs w:val="20"/>
      <w:lang w:eastAsia="en-US"/>
    </w:rPr>
  </w:style>
  <w:style w:type="paragraph" w:styleId="CommentSubject">
    <w:name w:val="annotation subject"/>
    <w:basedOn w:val="CommentText"/>
    <w:next w:val="CommentText"/>
    <w:link w:val="CommentSubjectChar"/>
    <w:uiPriority w:val="99"/>
    <w:semiHidden/>
    <w:unhideWhenUsed/>
    <w:rsid w:val="00564207"/>
    <w:rPr>
      <w:b/>
      <w:bCs/>
    </w:rPr>
  </w:style>
  <w:style w:type="paragraph" w:styleId="BalloonText">
    <w:name w:val="Balloon Text"/>
    <w:basedOn w:val="Normal"/>
    <w:link w:val="BalloonTextChar"/>
    <w:uiPriority w:val="99"/>
    <w:semiHidden/>
    <w:unhideWhenUsed/>
    <w:rsid w:val="00564207"/>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564207"/>
    <w:rPr>
      <w:rFonts w:ascii="Segoe UI" w:eastAsia="Times New Roman" w:hAnsi="Segoe UI" w:cs="Segoe UI"/>
      <w:sz w:val="18"/>
      <w:szCs w:val="18"/>
      <w:lang w:eastAsia="en-US"/>
    </w:rPr>
  </w:style>
  <w:style w:type="character" w:customStyle="1" w:styleId="apple-converted-space">
    <w:name w:val="apple-converted-space"/>
    <w:basedOn w:val="DefaultParagraphFont"/>
    <w:rsid w:val="00564207"/>
  </w:style>
  <w:style w:type="paragraph" w:customStyle="1" w:styleId="EndNoteBibliographyTitle">
    <w:name w:val="EndNote Bibliography Title"/>
    <w:basedOn w:val="Normal"/>
    <w:link w:val="EndNoteBibliographyTitleChar"/>
    <w:rsid w:val="00564207"/>
    <w:pPr>
      <w:jc w:val="center"/>
    </w:pPr>
    <w:rPr>
      <w:noProof/>
      <w:lang w:eastAsia="en-US"/>
    </w:rPr>
  </w:style>
  <w:style w:type="character" w:customStyle="1" w:styleId="EndNoteBibliographyTitleChar">
    <w:name w:val="EndNote Bibliography Title Char"/>
    <w:basedOn w:val="DefaultParagraphFont"/>
    <w:link w:val="EndNoteBibliographyTitle"/>
    <w:rsid w:val="00564207"/>
    <w:rPr>
      <w:rFonts w:ascii="Times New Roman" w:eastAsia="Times New Roman" w:hAnsi="Times New Roman" w:cs="Times New Roman"/>
      <w:noProof/>
      <w:lang w:eastAsia="en-US"/>
    </w:rPr>
  </w:style>
  <w:style w:type="paragraph" w:customStyle="1" w:styleId="EndNoteBibliography">
    <w:name w:val="EndNote Bibliography"/>
    <w:basedOn w:val="Normal"/>
    <w:link w:val="EndNoteBibliographyChar"/>
    <w:rsid w:val="00564207"/>
    <w:rPr>
      <w:noProof/>
      <w:lang w:eastAsia="en-US"/>
    </w:rPr>
  </w:style>
  <w:style w:type="character" w:customStyle="1" w:styleId="EndNoteBibliographyChar">
    <w:name w:val="EndNote Bibliography Char"/>
    <w:basedOn w:val="DefaultParagraphFont"/>
    <w:link w:val="EndNoteBibliography"/>
    <w:rsid w:val="00564207"/>
    <w:rPr>
      <w:rFonts w:ascii="Times New Roman" w:eastAsia="Times New Roman" w:hAnsi="Times New Roman" w:cs="Times New Roman"/>
      <w:noProof/>
      <w:lang w:eastAsia="en-US"/>
    </w:rPr>
  </w:style>
  <w:style w:type="character" w:customStyle="1" w:styleId="UnresolvedMention1">
    <w:name w:val="Unresolved Mention1"/>
    <w:basedOn w:val="DefaultParagraphFont"/>
    <w:uiPriority w:val="99"/>
    <w:unhideWhenUsed/>
    <w:rsid w:val="00564207"/>
    <w:rPr>
      <w:color w:val="808080"/>
      <w:shd w:val="clear" w:color="auto" w:fill="E6E6E6"/>
    </w:rPr>
  </w:style>
  <w:style w:type="paragraph" w:customStyle="1" w:styleId="msonormal0">
    <w:name w:val="msonormal"/>
    <w:basedOn w:val="Normal"/>
    <w:rsid w:val="00564207"/>
    <w:pPr>
      <w:spacing w:before="100" w:beforeAutospacing="1" w:after="100" w:afterAutospacing="1"/>
    </w:pPr>
    <w:rPr>
      <w:lang w:eastAsia="en-US"/>
    </w:rPr>
  </w:style>
  <w:style w:type="paragraph" w:customStyle="1" w:styleId="xl65">
    <w:name w:val="xl65"/>
    <w:basedOn w:val="Normal"/>
    <w:rsid w:val="00564207"/>
    <w:pPr>
      <w:spacing w:before="100" w:beforeAutospacing="1" w:after="100" w:afterAutospacing="1"/>
    </w:pPr>
    <w:rPr>
      <w:lang w:eastAsia="en-US"/>
    </w:rPr>
  </w:style>
  <w:style w:type="paragraph" w:customStyle="1" w:styleId="xl66">
    <w:name w:val="xl66"/>
    <w:basedOn w:val="Normal"/>
    <w:rsid w:val="00564207"/>
    <w:pPr>
      <w:spacing w:before="100" w:beforeAutospacing="1" w:after="100" w:afterAutospacing="1"/>
    </w:pPr>
    <w:rPr>
      <w:b/>
      <w:bCs/>
      <w:lang w:eastAsia="en-US"/>
    </w:rPr>
  </w:style>
  <w:style w:type="paragraph" w:customStyle="1" w:styleId="xl67">
    <w:name w:val="xl67"/>
    <w:basedOn w:val="Normal"/>
    <w:rsid w:val="00564207"/>
    <w:pPr>
      <w:pBdr>
        <w:bottom w:val="single" w:sz="4" w:space="0" w:color="auto"/>
      </w:pBdr>
      <w:spacing w:before="100" w:beforeAutospacing="1" w:after="100" w:afterAutospacing="1"/>
    </w:pPr>
    <w:rPr>
      <w:lang w:eastAsia="en-US"/>
    </w:rPr>
  </w:style>
  <w:style w:type="paragraph" w:customStyle="1" w:styleId="xl68">
    <w:name w:val="xl68"/>
    <w:basedOn w:val="Normal"/>
    <w:rsid w:val="00564207"/>
    <w:pPr>
      <w:spacing w:before="100" w:beforeAutospacing="1" w:after="100" w:afterAutospacing="1"/>
    </w:pPr>
    <w:rPr>
      <w:lang w:eastAsia="en-US"/>
    </w:rPr>
  </w:style>
  <w:style w:type="paragraph" w:customStyle="1" w:styleId="xl69">
    <w:name w:val="xl69"/>
    <w:basedOn w:val="Normal"/>
    <w:rsid w:val="00564207"/>
    <w:pPr>
      <w:spacing w:before="100" w:beforeAutospacing="1" w:after="100" w:afterAutospacing="1"/>
    </w:pPr>
    <w:rPr>
      <w:lang w:eastAsia="en-US"/>
    </w:rPr>
  </w:style>
  <w:style w:type="paragraph" w:customStyle="1" w:styleId="xl70">
    <w:name w:val="xl70"/>
    <w:basedOn w:val="Normal"/>
    <w:rsid w:val="00564207"/>
    <w:pPr>
      <w:spacing w:before="100" w:beforeAutospacing="1" w:after="100" w:afterAutospacing="1"/>
      <w:jc w:val="right"/>
    </w:pPr>
    <w:rPr>
      <w:lang w:eastAsia="en-US"/>
    </w:rPr>
  </w:style>
  <w:style w:type="paragraph" w:customStyle="1" w:styleId="xl71">
    <w:name w:val="xl71"/>
    <w:basedOn w:val="Normal"/>
    <w:rsid w:val="00564207"/>
    <w:pPr>
      <w:pBdr>
        <w:top w:val="single" w:sz="4" w:space="0" w:color="auto"/>
      </w:pBdr>
      <w:spacing w:before="100" w:beforeAutospacing="1" w:after="100" w:afterAutospacing="1"/>
    </w:pPr>
    <w:rPr>
      <w:lang w:eastAsia="en-US"/>
    </w:rPr>
  </w:style>
  <w:style w:type="paragraph" w:customStyle="1" w:styleId="xl72">
    <w:name w:val="xl72"/>
    <w:basedOn w:val="Normal"/>
    <w:rsid w:val="00564207"/>
    <w:pPr>
      <w:pBdr>
        <w:bottom w:val="single" w:sz="4" w:space="0" w:color="auto"/>
      </w:pBdr>
      <w:spacing w:before="100" w:beforeAutospacing="1" w:after="100" w:afterAutospacing="1"/>
    </w:pPr>
    <w:rPr>
      <w:lang w:eastAsia="en-US"/>
    </w:rPr>
  </w:style>
  <w:style w:type="paragraph" w:customStyle="1" w:styleId="xl74">
    <w:name w:val="xl74"/>
    <w:basedOn w:val="Normal"/>
    <w:rsid w:val="00564207"/>
    <w:pPr>
      <w:spacing w:before="100" w:beforeAutospacing="1" w:after="100" w:afterAutospacing="1"/>
      <w:jc w:val="right"/>
    </w:pPr>
    <w:rPr>
      <w:lang w:eastAsia="en-US"/>
    </w:rPr>
  </w:style>
  <w:style w:type="paragraph" w:customStyle="1" w:styleId="xl75">
    <w:name w:val="xl75"/>
    <w:basedOn w:val="Normal"/>
    <w:rsid w:val="00564207"/>
    <w:pPr>
      <w:pBdr>
        <w:bottom w:val="single" w:sz="4" w:space="0" w:color="auto"/>
      </w:pBdr>
      <w:spacing w:before="100" w:beforeAutospacing="1" w:after="100" w:afterAutospacing="1"/>
    </w:pPr>
    <w:rPr>
      <w:color w:val="000000"/>
      <w:lang w:eastAsia="en-US"/>
    </w:rPr>
  </w:style>
  <w:style w:type="paragraph" w:customStyle="1" w:styleId="xl76">
    <w:name w:val="xl76"/>
    <w:basedOn w:val="Normal"/>
    <w:rsid w:val="00564207"/>
    <w:pPr>
      <w:spacing w:before="100" w:beforeAutospacing="1" w:after="100" w:afterAutospacing="1"/>
    </w:pPr>
    <w:rPr>
      <w:color w:val="000000"/>
      <w:lang w:eastAsia="en-US"/>
    </w:rPr>
  </w:style>
  <w:style w:type="paragraph" w:customStyle="1" w:styleId="xl77">
    <w:name w:val="xl77"/>
    <w:basedOn w:val="Normal"/>
    <w:rsid w:val="00564207"/>
    <w:pPr>
      <w:spacing w:before="100" w:beforeAutospacing="1" w:after="100" w:afterAutospacing="1"/>
      <w:jc w:val="right"/>
    </w:pPr>
    <w:rPr>
      <w:color w:val="000000"/>
      <w:lang w:eastAsia="en-US"/>
    </w:rPr>
  </w:style>
  <w:style w:type="paragraph" w:customStyle="1" w:styleId="xl78">
    <w:name w:val="xl78"/>
    <w:basedOn w:val="Normal"/>
    <w:rsid w:val="00564207"/>
    <w:pPr>
      <w:spacing w:before="100" w:beforeAutospacing="1" w:after="100" w:afterAutospacing="1"/>
    </w:pPr>
    <w:rPr>
      <w:color w:val="000000"/>
      <w:lang w:eastAsia="en-US"/>
    </w:rPr>
  </w:style>
  <w:style w:type="paragraph" w:customStyle="1" w:styleId="xl79">
    <w:name w:val="xl79"/>
    <w:basedOn w:val="Normal"/>
    <w:rsid w:val="00564207"/>
    <w:pPr>
      <w:spacing w:before="100" w:beforeAutospacing="1" w:after="100" w:afterAutospacing="1"/>
    </w:pPr>
    <w:rPr>
      <w:color w:val="000000"/>
      <w:lang w:eastAsia="en-US"/>
    </w:rPr>
  </w:style>
  <w:style w:type="paragraph" w:customStyle="1" w:styleId="xl80">
    <w:name w:val="xl80"/>
    <w:basedOn w:val="Normal"/>
    <w:rsid w:val="00564207"/>
    <w:pPr>
      <w:pBdr>
        <w:top w:val="single" w:sz="4" w:space="0" w:color="auto"/>
      </w:pBdr>
      <w:spacing w:before="100" w:beforeAutospacing="1" w:after="100" w:afterAutospacing="1"/>
    </w:pPr>
    <w:rPr>
      <w:color w:val="000000"/>
      <w:lang w:eastAsia="en-US"/>
    </w:rPr>
  </w:style>
  <w:style w:type="paragraph" w:customStyle="1" w:styleId="xl81">
    <w:name w:val="xl81"/>
    <w:basedOn w:val="Normal"/>
    <w:rsid w:val="00564207"/>
    <w:pPr>
      <w:spacing w:before="100" w:beforeAutospacing="1" w:after="100" w:afterAutospacing="1"/>
      <w:jc w:val="right"/>
    </w:pPr>
    <w:rPr>
      <w:lang w:eastAsia="en-US"/>
    </w:rPr>
  </w:style>
  <w:style w:type="paragraph" w:customStyle="1" w:styleId="xl82">
    <w:name w:val="xl82"/>
    <w:basedOn w:val="Normal"/>
    <w:rsid w:val="00564207"/>
    <w:pPr>
      <w:spacing w:before="100" w:beforeAutospacing="1" w:after="100" w:afterAutospacing="1"/>
      <w:jc w:val="center"/>
    </w:pPr>
    <w:rPr>
      <w:b/>
      <w:bCs/>
      <w:lang w:eastAsia="en-US"/>
    </w:rPr>
  </w:style>
  <w:style w:type="paragraph" w:customStyle="1" w:styleId="xl83">
    <w:name w:val="xl83"/>
    <w:basedOn w:val="Normal"/>
    <w:rsid w:val="00564207"/>
    <w:pPr>
      <w:spacing w:before="100" w:beforeAutospacing="1" w:after="100" w:afterAutospacing="1"/>
      <w:jc w:val="center"/>
    </w:pPr>
    <w:rPr>
      <w:b/>
      <w:bCs/>
      <w:color w:val="000000"/>
      <w:lang w:eastAsia="en-US"/>
    </w:rPr>
  </w:style>
  <w:style w:type="paragraph" w:customStyle="1" w:styleId="xl84">
    <w:name w:val="xl84"/>
    <w:basedOn w:val="Normal"/>
    <w:rsid w:val="00564207"/>
    <w:pPr>
      <w:spacing w:before="100" w:beforeAutospacing="1" w:after="100" w:afterAutospacing="1"/>
      <w:jc w:val="center"/>
    </w:pPr>
    <w:rPr>
      <w:b/>
      <w:bCs/>
      <w:lang w:eastAsia="en-US"/>
    </w:rPr>
  </w:style>
  <w:style w:type="character" w:styleId="UnresolvedMention">
    <w:name w:val="Unresolved Mention"/>
    <w:basedOn w:val="DefaultParagraphFont"/>
    <w:uiPriority w:val="99"/>
    <w:unhideWhenUsed/>
    <w:rsid w:val="00564207"/>
    <w:rPr>
      <w:color w:val="605E5C"/>
      <w:shd w:val="clear" w:color="auto" w:fill="E1DFDD"/>
    </w:rPr>
  </w:style>
  <w:style w:type="paragraph" w:styleId="TableofFigures">
    <w:name w:val="table of figures"/>
    <w:basedOn w:val="Normal"/>
    <w:next w:val="Normal"/>
    <w:uiPriority w:val="99"/>
    <w:unhideWhenUsed/>
    <w:rsid w:val="00564207"/>
    <w:pPr>
      <w:ind w:left="480" w:hanging="480"/>
    </w:pPr>
    <w:rPr>
      <w:rFonts w:asciiTheme="minorHAnsi" w:hAnsiTheme="minorHAnsi"/>
      <w:smallCaps/>
      <w:sz w:val="20"/>
      <w:szCs w:val="20"/>
      <w:lang w:eastAsia="en-US"/>
    </w:rPr>
  </w:style>
  <w:style w:type="paragraph" w:customStyle="1" w:styleId="font5">
    <w:name w:val="font5"/>
    <w:basedOn w:val="Normal"/>
    <w:rsid w:val="00564207"/>
    <w:pPr>
      <w:spacing w:before="100" w:beforeAutospacing="1" w:after="100" w:afterAutospacing="1"/>
    </w:pPr>
    <w:rPr>
      <w:b/>
      <w:bCs/>
      <w:color w:val="000000"/>
      <w:lang w:eastAsia="en-US"/>
    </w:rPr>
  </w:style>
  <w:style w:type="paragraph" w:customStyle="1" w:styleId="font6">
    <w:name w:val="font6"/>
    <w:basedOn w:val="Normal"/>
    <w:rsid w:val="00564207"/>
    <w:pPr>
      <w:spacing w:before="100" w:beforeAutospacing="1" w:after="100" w:afterAutospacing="1"/>
    </w:pPr>
    <w:rPr>
      <w:color w:val="000000"/>
      <w:sz w:val="16"/>
      <w:szCs w:val="16"/>
      <w:lang w:eastAsia="en-US"/>
    </w:rPr>
  </w:style>
  <w:style w:type="paragraph" w:customStyle="1" w:styleId="font7">
    <w:name w:val="font7"/>
    <w:basedOn w:val="Normal"/>
    <w:rsid w:val="00564207"/>
    <w:pPr>
      <w:spacing w:before="100" w:beforeAutospacing="1" w:after="100" w:afterAutospacing="1"/>
    </w:pPr>
    <w:rPr>
      <w:color w:val="000000"/>
      <w:lang w:eastAsia="en-US"/>
    </w:rPr>
  </w:style>
  <w:style w:type="paragraph" w:customStyle="1" w:styleId="xl63">
    <w:name w:val="xl63"/>
    <w:basedOn w:val="Normal"/>
    <w:rsid w:val="00564207"/>
    <w:pPr>
      <w:spacing w:before="100" w:beforeAutospacing="1" w:after="100" w:afterAutospacing="1"/>
    </w:pPr>
    <w:rPr>
      <w:lang w:eastAsia="en-US"/>
    </w:rPr>
  </w:style>
  <w:style w:type="paragraph" w:customStyle="1" w:styleId="xl64">
    <w:name w:val="xl64"/>
    <w:basedOn w:val="Normal"/>
    <w:rsid w:val="00564207"/>
    <w:pPr>
      <w:pBdr>
        <w:bottom w:val="single" w:sz="4" w:space="0" w:color="auto"/>
      </w:pBdr>
      <w:spacing w:before="100" w:beforeAutospacing="1" w:after="100" w:afterAutospacing="1"/>
    </w:pPr>
    <w:rPr>
      <w:lang w:eastAsia="en-US"/>
    </w:rPr>
  </w:style>
  <w:style w:type="paragraph" w:customStyle="1" w:styleId="xl73">
    <w:name w:val="xl73"/>
    <w:basedOn w:val="Normal"/>
    <w:rsid w:val="00564207"/>
    <w:pPr>
      <w:spacing w:before="100" w:beforeAutospacing="1" w:after="100" w:afterAutospacing="1"/>
      <w:jc w:val="center"/>
    </w:pPr>
    <w:rPr>
      <w:lang w:eastAsia="en-US"/>
    </w:rPr>
  </w:style>
  <w:style w:type="paragraph" w:styleId="Bibliography">
    <w:name w:val="Bibliography"/>
    <w:basedOn w:val="Normal"/>
    <w:next w:val="Normal"/>
    <w:uiPriority w:val="37"/>
    <w:unhideWhenUsed/>
    <w:rsid w:val="00564207"/>
    <w:pPr>
      <w:tabs>
        <w:tab w:val="left" w:pos="500"/>
      </w:tabs>
      <w:spacing w:after="240"/>
      <w:ind w:left="504" w:hanging="504"/>
    </w:pPr>
    <w:rPr>
      <w:lang w:eastAsia="en-US"/>
    </w:rPr>
  </w:style>
  <w:style w:type="character" w:customStyle="1" w:styleId="EndnoteTextChar">
    <w:name w:val="Endnote Text Char"/>
    <w:basedOn w:val="DefaultParagraphFont"/>
    <w:link w:val="EndnoteText"/>
    <w:uiPriority w:val="99"/>
    <w:semiHidden/>
    <w:rsid w:val="00564207"/>
    <w:rPr>
      <w:rFonts w:ascii="Times New Roman" w:eastAsia="Times New Roman" w:hAnsi="Times New Roman" w:cs="Times New Roman"/>
      <w:sz w:val="20"/>
      <w:szCs w:val="20"/>
    </w:rPr>
  </w:style>
  <w:style w:type="paragraph" w:styleId="EndnoteText">
    <w:name w:val="endnote text"/>
    <w:basedOn w:val="Normal"/>
    <w:link w:val="EndnoteTextChar"/>
    <w:uiPriority w:val="99"/>
    <w:semiHidden/>
    <w:unhideWhenUsed/>
    <w:rsid w:val="00564207"/>
    <w:rPr>
      <w:sz w:val="20"/>
      <w:szCs w:val="20"/>
    </w:rPr>
  </w:style>
  <w:style w:type="character" w:styleId="Emphasis">
    <w:name w:val="Emphasis"/>
    <w:basedOn w:val="DefaultParagraphFont"/>
    <w:uiPriority w:val="20"/>
    <w:qFormat/>
    <w:rsid w:val="00564207"/>
    <w:rPr>
      <w:i/>
      <w:iCs/>
    </w:rPr>
  </w:style>
  <w:style w:type="character" w:styleId="PlaceholderText">
    <w:name w:val="Placeholder Text"/>
    <w:basedOn w:val="DefaultParagraphFont"/>
    <w:uiPriority w:val="99"/>
    <w:semiHidden/>
    <w:rsid w:val="00F852F4"/>
    <w:rPr>
      <w:color w:val="808080"/>
    </w:rPr>
  </w:style>
  <w:style w:type="paragraph" w:styleId="Revision">
    <w:name w:val="Revision"/>
    <w:hidden/>
    <w:uiPriority w:val="99"/>
    <w:semiHidden/>
    <w:rsid w:val="000743CD"/>
    <w:rPr>
      <w:rFonts w:ascii="Times New Roman" w:eastAsia="Times New Roman" w:hAnsi="Times New Roman" w:cs="Times New Roman"/>
    </w:rPr>
  </w:style>
  <w:style w:type="paragraph" w:styleId="NormalWeb">
    <w:name w:val="Normal (Web)"/>
    <w:basedOn w:val="Normal"/>
    <w:uiPriority w:val="99"/>
    <w:unhideWhenUsed/>
    <w:rsid w:val="00730E3F"/>
    <w:pPr>
      <w:spacing w:before="100" w:beforeAutospacing="1" w:after="100" w:afterAutospacing="1"/>
    </w:pPr>
  </w:style>
  <w:style w:type="character" w:styleId="PageNumber">
    <w:name w:val="page number"/>
    <w:basedOn w:val="DefaultParagraphFont"/>
    <w:uiPriority w:val="99"/>
    <w:semiHidden/>
    <w:unhideWhenUsed/>
    <w:rsid w:val="008762DA"/>
  </w:style>
  <w:style w:type="character" w:customStyle="1" w:styleId="fm-citation-ids-label">
    <w:name w:val="fm-citation-ids-label"/>
    <w:basedOn w:val="DefaultParagraphFont"/>
    <w:rsid w:val="00C229AE"/>
  </w:style>
  <w:style w:type="character" w:customStyle="1" w:styleId="identifier">
    <w:name w:val="identifier"/>
    <w:basedOn w:val="DefaultParagraphFont"/>
    <w:rsid w:val="00F71AC3"/>
  </w:style>
  <w:style w:type="character" w:customStyle="1" w:styleId="id-label">
    <w:name w:val="id-label"/>
    <w:basedOn w:val="DefaultParagraphFont"/>
    <w:rsid w:val="00F71AC3"/>
  </w:style>
  <w:style w:type="table" w:styleId="TableGridLight">
    <w:name w:val="Grid Table Light"/>
    <w:basedOn w:val="TableNormal"/>
    <w:uiPriority w:val="40"/>
    <w:rsid w:val="006A2F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part">
    <w:name w:val="citation-part"/>
    <w:basedOn w:val="DefaultParagraphFont"/>
    <w:rsid w:val="00A10CF0"/>
  </w:style>
  <w:style w:type="character" w:customStyle="1" w:styleId="docsum-pmid">
    <w:name w:val="docsum-pmid"/>
    <w:basedOn w:val="DefaultParagraphFont"/>
    <w:rsid w:val="00A10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76133">
      <w:bodyDiv w:val="1"/>
      <w:marLeft w:val="0"/>
      <w:marRight w:val="0"/>
      <w:marTop w:val="0"/>
      <w:marBottom w:val="0"/>
      <w:divBdr>
        <w:top w:val="none" w:sz="0" w:space="0" w:color="auto"/>
        <w:left w:val="none" w:sz="0" w:space="0" w:color="auto"/>
        <w:bottom w:val="none" w:sz="0" w:space="0" w:color="auto"/>
        <w:right w:val="none" w:sz="0" w:space="0" w:color="auto"/>
      </w:divBdr>
    </w:div>
    <w:div w:id="215555375">
      <w:bodyDiv w:val="1"/>
      <w:marLeft w:val="0"/>
      <w:marRight w:val="0"/>
      <w:marTop w:val="0"/>
      <w:marBottom w:val="0"/>
      <w:divBdr>
        <w:top w:val="none" w:sz="0" w:space="0" w:color="auto"/>
        <w:left w:val="none" w:sz="0" w:space="0" w:color="auto"/>
        <w:bottom w:val="none" w:sz="0" w:space="0" w:color="auto"/>
        <w:right w:val="none" w:sz="0" w:space="0" w:color="auto"/>
      </w:divBdr>
    </w:div>
    <w:div w:id="303122640">
      <w:bodyDiv w:val="1"/>
      <w:marLeft w:val="0"/>
      <w:marRight w:val="0"/>
      <w:marTop w:val="0"/>
      <w:marBottom w:val="0"/>
      <w:divBdr>
        <w:top w:val="none" w:sz="0" w:space="0" w:color="auto"/>
        <w:left w:val="none" w:sz="0" w:space="0" w:color="auto"/>
        <w:bottom w:val="none" w:sz="0" w:space="0" w:color="auto"/>
        <w:right w:val="none" w:sz="0" w:space="0" w:color="auto"/>
      </w:divBdr>
    </w:div>
    <w:div w:id="344485094">
      <w:bodyDiv w:val="1"/>
      <w:marLeft w:val="0"/>
      <w:marRight w:val="0"/>
      <w:marTop w:val="0"/>
      <w:marBottom w:val="0"/>
      <w:divBdr>
        <w:top w:val="none" w:sz="0" w:space="0" w:color="auto"/>
        <w:left w:val="none" w:sz="0" w:space="0" w:color="auto"/>
        <w:bottom w:val="none" w:sz="0" w:space="0" w:color="auto"/>
        <w:right w:val="none" w:sz="0" w:space="0" w:color="auto"/>
      </w:divBdr>
    </w:div>
    <w:div w:id="767582776">
      <w:bodyDiv w:val="1"/>
      <w:marLeft w:val="0"/>
      <w:marRight w:val="0"/>
      <w:marTop w:val="0"/>
      <w:marBottom w:val="0"/>
      <w:divBdr>
        <w:top w:val="none" w:sz="0" w:space="0" w:color="auto"/>
        <w:left w:val="none" w:sz="0" w:space="0" w:color="auto"/>
        <w:bottom w:val="none" w:sz="0" w:space="0" w:color="auto"/>
        <w:right w:val="none" w:sz="0" w:space="0" w:color="auto"/>
      </w:divBdr>
    </w:div>
    <w:div w:id="961379634">
      <w:bodyDiv w:val="1"/>
      <w:marLeft w:val="0"/>
      <w:marRight w:val="0"/>
      <w:marTop w:val="0"/>
      <w:marBottom w:val="0"/>
      <w:divBdr>
        <w:top w:val="none" w:sz="0" w:space="0" w:color="auto"/>
        <w:left w:val="none" w:sz="0" w:space="0" w:color="auto"/>
        <w:bottom w:val="none" w:sz="0" w:space="0" w:color="auto"/>
        <w:right w:val="none" w:sz="0" w:space="0" w:color="auto"/>
      </w:divBdr>
    </w:div>
    <w:div w:id="975375291">
      <w:bodyDiv w:val="1"/>
      <w:marLeft w:val="0"/>
      <w:marRight w:val="0"/>
      <w:marTop w:val="0"/>
      <w:marBottom w:val="0"/>
      <w:divBdr>
        <w:top w:val="none" w:sz="0" w:space="0" w:color="auto"/>
        <w:left w:val="none" w:sz="0" w:space="0" w:color="auto"/>
        <w:bottom w:val="none" w:sz="0" w:space="0" w:color="auto"/>
        <w:right w:val="none" w:sz="0" w:space="0" w:color="auto"/>
      </w:divBdr>
    </w:div>
    <w:div w:id="1289582777">
      <w:bodyDiv w:val="1"/>
      <w:marLeft w:val="0"/>
      <w:marRight w:val="0"/>
      <w:marTop w:val="0"/>
      <w:marBottom w:val="0"/>
      <w:divBdr>
        <w:top w:val="none" w:sz="0" w:space="0" w:color="auto"/>
        <w:left w:val="none" w:sz="0" w:space="0" w:color="auto"/>
        <w:bottom w:val="none" w:sz="0" w:space="0" w:color="auto"/>
        <w:right w:val="none" w:sz="0" w:space="0" w:color="auto"/>
      </w:divBdr>
      <w:divsChild>
        <w:div w:id="52509502">
          <w:marLeft w:val="0"/>
          <w:marRight w:val="0"/>
          <w:marTop w:val="0"/>
          <w:marBottom w:val="0"/>
          <w:divBdr>
            <w:top w:val="none" w:sz="0" w:space="0" w:color="auto"/>
            <w:left w:val="none" w:sz="0" w:space="0" w:color="auto"/>
            <w:bottom w:val="none" w:sz="0" w:space="0" w:color="auto"/>
            <w:right w:val="none" w:sz="0" w:space="0" w:color="auto"/>
          </w:divBdr>
          <w:divsChild>
            <w:div w:id="994451011">
              <w:marLeft w:val="0"/>
              <w:marRight w:val="0"/>
              <w:marTop w:val="0"/>
              <w:marBottom w:val="0"/>
              <w:divBdr>
                <w:top w:val="none" w:sz="0" w:space="0" w:color="auto"/>
                <w:left w:val="none" w:sz="0" w:space="0" w:color="auto"/>
                <w:bottom w:val="none" w:sz="0" w:space="0" w:color="auto"/>
                <w:right w:val="none" w:sz="0" w:space="0" w:color="auto"/>
              </w:divBdr>
              <w:divsChild>
                <w:div w:id="1972053903">
                  <w:marLeft w:val="0"/>
                  <w:marRight w:val="0"/>
                  <w:marTop w:val="0"/>
                  <w:marBottom w:val="0"/>
                  <w:divBdr>
                    <w:top w:val="none" w:sz="0" w:space="0" w:color="auto"/>
                    <w:left w:val="none" w:sz="0" w:space="0" w:color="auto"/>
                    <w:bottom w:val="none" w:sz="0" w:space="0" w:color="auto"/>
                    <w:right w:val="none" w:sz="0" w:space="0" w:color="auto"/>
                  </w:divBdr>
                  <w:divsChild>
                    <w:div w:id="99572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062046">
      <w:bodyDiv w:val="1"/>
      <w:marLeft w:val="0"/>
      <w:marRight w:val="0"/>
      <w:marTop w:val="0"/>
      <w:marBottom w:val="0"/>
      <w:divBdr>
        <w:top w:val="none" w:sz="0" w:space="0" w:color="auto"/>
        <w:left w:val="none" w:sz="0" w:space="0" w:color="auto"/>
        <w:bottom w:val="none" w:sz="0" w:space="0" w:color="auto"/>
        <w:right w:val="none" w:sz="0" w:space="0" w:color="auto"/>
      </w:divBdr>
    </w:div>
    <w:div w:id="1409424919">
      <w:bodyDiv w:val="1"/>
      <w:marLeft w:val="0"/>
      <w:marRight w:val="0"/>
      <w:marTop w:val="0"/>
      <w:marBottom w:val="0"/>
      <w:divBdr>
        <w:top w:val="none" w:sz="0" w:space="0" w:color="auto"/>
        <w:left w:val="none" w:sz="0" w:space="0" w:color="auto"/>
        <w:bottom w:val="none" w:sz="0" w:space="0" w:color="auto"/>
        <w:right w:val="none" w:sz="0" w:space="0" w:color="auto"/>
      </w:divBdr>
    </w:div>
    <w:div w:id="1459882160">
      <w:bodyDiv w:val="1"/>
      <w:marLeft w:val="0"/>
      <w:marRight w:val="0"/>
      <w:marTop w:val="0"/>
      <w:marBottom w:val="0"/>
      <w:divBdr>
        <w:top w:val="none" w:sz="0" w:space="0" w:color="auto"/>
        <w:left w:val="none" w:sz="0" w:space="0" w:color="auto"/>
        <w:bottom w:val="none" w:sz="0" w:space="0" w:color="auto"/>
        <w:right w:val="none" w:sz="0" w:space="0" w:color="auto"/>
      </w:divBdr>
      <w:divsChild>
        <w:div w:id="474567468">
          <w:marLeft w:val="0"/>
          <w:marRight w:val="0"/>
          <w:marTop w:val="0"/>
          <w:marBottom w:val="0"/>
          <w:divBdr>
            <w:top w:val="none" w:sz="0" w:space="0" w:color="auto"/>
            <w:left w:val="none" w:sz="0" w:space="0" w:color="auto"/>
            <w:bottom w:val="none" w:sz="0" w:space="0" w:color="auto"/>
            <w:right w:val="none" w:sz="0" w:space="0" w:color="auto"/>
          </w:divBdr>
          <w:divsChild>
            <w:div w:id="544098079">
              <w:marLeft w:val="0"/>
              <w:marRight w:val="0"/>
              <w:marTop w:val="0"/>
              <w:marBottom w:val="0"/>
              <w:divBdr>
                <w:top w:val="none" w:sz="0" w:space="0" w:color="auto"/>
                <w:left w:val="none" w:sz="0" w:space="0" w:color="auto"/>
                <w:bottom w:val="none" w:sz="0" w:space="0" w:color="auto"/>
                <w:right w:val="none" w:sz="0" w:space="0" w:color="auto"/>
              </w:divBdr>
              <w:divsChild>
                <w:div w:id="1080560418">
                  <w:marLeft w:val="0"/>
                  <w:marRight w:val="0"/>
                  <w:marTop w:val="0"/>
                  <w:marBottom w:val="0"/>
                  <w:divBdr>
                    <w:top w:val="none" w:sz="0" w:space="0" w:color="auto"/>
                    <w:left w:val="none" w:sz="0" w:space="0" w:color="auto"/>
                    <w:bottom w:val="none" w:sz="0" w:space="0" w:color="auto"/>
                    <w:right w:val="none" w:sz="0" w:space="0" w:color="auto"/>
                  </w:divBdr>
                  <w:divsChild>
                    <w:div w:id="20359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631041">
      <w:bodyDiv w:val="1"/>
      <w:marLeft w:val="0"/>
      <w:marRight w:val="0"/>
      <w:marTop w:val="0"/>
      <w:marBottom w:val="0"/>
      <w:divBdr>
        <w:top w:val="none" w:sz="0" w:space="0" w:color="auto"/>
        <w:left w:val="none" w:sz="0" w:space="0" w:color="auto"/>
        <w:bottom w:val="none" w:sz="0" w:space="0" w:color="auto"/>
        <w:right w:val="none" w:sz="0" w:space="0" w:color="auto"/>
      </w:divBdr>
    </w:div>
    <w:div w:id="1492987096">
      <w:bodyDiv w:val="1"/>
      <w:marLeft w:val="0"/>
      <w:marRight w:val="0"/>
      <w:marTop w:val="0"/>
      <w:marBottom w:val="0"/>
      <w:divBdr>
        <w:top w:val="none" w:sz="0" w:space="0" w:color="auto"/>
        <w:left w:val="none" w:sz="0" w:space="0" w:color="auto"/>
        <w:bottom w:val="none" w:sz="0" w:space="0" w:color="auto"/>
        <w:right w:val="none" w:sz="0" w:space="0" w:color="auto"/>
      </w:divBdr>
    </w:div>
    <w:div w:id="1740132862">
      <w:bodyDiv w:val="1"/>
      <w:marLeft w:val="0"/>
      <w:marRight w:val="0"/>
      <w:marTop w:val="0"/>
      <w:marBottom w:val="0"/>
      <w:divBdr>
        <w:top w:val="none" w:sz="0" w:space="0" w:color="auto"/>
        <w:left w:val="none" w:sz="0" w:space="0" w:color="auto"/>
        <w:bottom w:val="none" w:sz="0" w:space="0" w:color="auto"/>
        <w:right w:val="none" w:sz="0" w:space="0" w:color="auto"/>
      </w:divBdr>
    </w:div>
    <w:div w:id="183823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15494</Words>
  <Characters>88317</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Qixuan</dc:creator>
  <cp:keywords/>
  <dc:description/>
  <cp:lastModifiedBy>Wendy Lawrence</cp:lastModifiedBy>
  <cp:revision>2</cp:revision>
  <dcterms:created xsi:type="dcterms:W3CDTF">2021-05-10T15:51:00Z</dcterms:created>
  <dcterms:modified xsi:type="dcterms:W3CDTF">2021-05-10T15:51:00Z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id="FULVJ1it"/&gt;&lt;style id="http://www.zotero.org/styles/american-medical-association" hasBibliography="1" bibliographyStyleHasBeenSet="1"/&gt;&lt;prefs&gt;&lt;pref name="fieldType" value="Field"/&gt;&lt;pref name="do</vt:lpwstr>
  </property>
  <property fmtid="{D5CDD505-2E9C-101B-9397-08002B2CF9AE}" pid="3" name="ZOTERO_PREF_2">
    <vt:lpwstr>ntAskDelayCitationUpdates" value="true"/&gt;&lt;/prefs&gt;&lt;/data&gt;</vt:lpwstr>
  </property>
</Properties>
</file>