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Validation of the Celeris-WebGPU Model Against NTHMP Tsunami Inundation Benchmarks</w:t>
      </w:r>
    </w:p>
    <w:p>
      <w:pPr>
        <w:jc w:val="center"/>
      </w:pPr>
      <w:r>
        <w:rPr>
          <w:i/>
        </w:rPr>
        <w:t>Standalone benchmarking report prepared from completed Celeris-WebGPU simulations</w:t>
      </w:r>
    </w:p>
    <w:p/>
    <w:p>
      <w:pPr>
        <w:pStyle w:val="Heading1"/>
      </w:pPr>
      <w:r>
        <w:t>Abstract</w:t>
      </w:r>
    </w:p>
    <w:p>
      <w:r>
        <w:t>This report documents validation of the Celeris-WebGPU coastal wave model against the required National Tsunami Hazard Mitigation Program tsunami inundation benchmark set. The validation suite includes analytical, laboratory, and field-scale cases: BP01, BP04, BP06, BP07, and BP09. Celeris-WebGPU was run in nonlinear shallow-water mode through the browser-based WebGPU implementation. Benchmark comparisons were performed from saved two-dimensional free-surface and maximum-free-surface outputs, with gauge histories extracted from written eta surfaces where applicable. The completed comparisons show that the model reproduces the required simple-beach, conical-island, Monai Valley, and Okushiri benchmark responses with accuracy appropriate for the NTHMP validation targets.</w:t>
      </w:r>
    </w:p>
    <w:p>
      <w:pPr>
        <w:pStyle w:val="Heading1"/>
      </w:pPr>
      <w:r>
        <w:t>1. Introduction</w:t>
      </w:r>
    </w:p>
    <w:p>
      <w:r>
        <w:t>Tsunami inundation models used for hazard assessment require systematic verification against analytical solutions, controlled laboratory experiments, and field observations. The NTHMP benchmark process provides a common basis for evaluating model skill across runup, drawdown, wave transformation, nested grid propagation, and complex bathymetry. The present report applies those requirements to Celeris-WebGPU, a browser-based implementation of the Celeris family of GPU-accelerated coastal wave models.</w:t>
      </w:r>
    </w:p>
    <w:p>
      <w:r>
        <w:t>The original Celeris work established an interactive GPU-accelerated Boussinesq-type wave solver for nearshore applications. Celeris-WebGPU extends the same real-time modeling concept to the web platform using WebGPU compute shaders and browser-managed GPU resources. For this NTHMP validation, the model was used in nonlinear shallow-water mode because the required tsunami inundation cases emphasize long-wave propagation, moving shorelines, runup, and flooding.</w:t>
      </w:r>
    </w:p>
    <w:p>
      <w:pPr>
        <w:pStyle w:val="Heading1"/>
      </w:pPr>
      <w:r>
        <w:t>2. NTHMP Benchmark Requirements</w:t>
      </w:r>
    </w:p>
    <w:p>
      <w:r>
        <w:t>The required NTHMP tsunami inundation benchmark set comprises BP01, BP04, BP06, BP07, and BP09. These cases progress from analytical solitary-wave runup to field-scale nested-grid tsunami inundation. The comparison products used here follow the benchmark checklists: maximum runup, free-surface profiles, wave-gauge histories, movie-frame snapshots, tide gauges, and maximum-free-surface maps.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1008"/>
            <w:shd w:fill="F2F4F7"/>
            <w:tcMar>
              <w:top w:w="80" w:type="dxa"/>
              <w:start w:w="120" w:type="dxa"/>
              <w:bottom w:w="80" w:type="dxa"/>
              <w:end w:w="120" w:type="dxa"/>
            </w:tcMar>
            <w:vAlign w:val="center"/>
          </w:tcPr>
          <w:p>
            <w:pPr>
              <w:spacing w:after="0"/>
            </w:pPr>
            <w:r>
              <w:rPr>
                <w:b/>
                <w:sz w:val="18"/>
              </w:rPr>
              <w:t>Case</w:t>
            </w:r>
          </w:p>
        </w:tc>
        <w:tc>
          <w:tcPr>
            <w:tcW w:type="dxa" w:w="2160"/>
            <w:shd w:fill="F2F4F7"/>
            <w:tcMar>
              <w:top w:w="80" w:type="dxa"/>
              <w:start w:w="120" w:type="dxa"/>
              <w:bottom w:w="80" w:type="dxa"/>
              <w:end w:w="120" w:type="dxa"/>
            </w:tcMar>
            <w:vAlign w:val="center"/>
          </w:tcPr>
          <w:p>
            <w:pPr>
              <w:spacing w:after="0"/>
            </w:pPr>
            <w:r>
              <w:rPr>
                <w:b/>
                <w:sz w:val="18"/>
              </w:rPr>
              <w:t>Problem type</w:t>
            </w:r>
          </w:p>
        </w:tc>
        <w:tc>
          <w:tcPr>
            <w:tcW w:type="dxa" w:w="4320"/>
            <w:shd w:fill="F2F4F7"/>
            <w:tcMar>
              <w:top w:w="80" w:type="dxa"/>
              <w:start w:w="120" w:type="dxa"/>
              <w:bottom w:w="80" w:type="dxa"/>
              <w:end w:w="120" w:type="dxa"/>
            </w:tcMar>
            <w:vAlign w:val="center"/>
          </w:tcPr>
          <w:p>
            <w:pPr>
              <w:spacing w:after="0"/>
            </w:pPr>
            <w:r>
              <w:rPr>
                <w:b/>
                <w:sz w:val="18"/>
              </w:rPr>
              <w:t>Required comparison products</w:t>
            </w:r>
          </w:p>
        </w:tc>
        <w:tc>
          <w:tcPr>
            <w:tcW w:type="dxa" w:w="1872"/>
            <w:shd w:fill="F2F4F7"/>
            <w:tcMar>
              <w:top w:w="80" w:type="dxa"/>
              <w:start w:w="120" w:type="dxa"/>
              <w:bottom w:w="80" w:type="dxa"/>
              <w:end w:w="120" w:type="dxa"/>
            </w:tcMar>
            <w:vAlign w:val="center"/>
          </w:tcPr>
          <w:p>
            <w:pPr>
              <w:spacing w:after="0"/>
            </w:pPr>
            <w:r>
              <w:rPr>
                <w:b/>
                <w:sz w:val="18"/>
              </w:rPr>
              <w:t>Primary target</w:t>
            </w:r>
          </w:p>
        </w:tc>
      </w:tr>
      <w:tr>
        <w:trPr>
          <w:cantSplit/>
        </w:trPr>
        <w:tc>
          <w:tcPr>
            <w:tcW w:type="dxa" w:w="1008"/>
            <w:tcMar>
              <w:top w:w="80" w:type="dxa"/>
              <w:start w:w="120" w:type="dxa"/>
              <w:bottom w:w="80" w:type="dxa"/>
              <w:end w:w="120" w:type="dxa"/>
            </w:tcMar>
            <w:vAlign w:val="center"/>
          </w:tcPr>
          <w:p>
            <w:pPr>
              <w:spacing w:after="0"/>
            </w:pPr>
            <w:r>
              <w:rPr>
                <w:sz w:val="18"/>
              </w:rPr>
              <w:t>BP01</w:t>
            </w:r>
          </w:p>
        </w:tc>
        <w:tc>
          <w:tcPr>
            <w:tcW w:type="dxa" w:w="2160"/>
            <w:tcMar>
              <w:top w:w="80" w:type="dxa"/>
              <w:start w:w="120" w:type="dxa"/>
              <w:bottom w:w="80" w:type="dxa"/>
              <w:end w:w="120" w:type="dxa"/>
            </w:tcMar>
            <w:vAlign w:val="center"/>
          </w:tcPr>
          <w:p>
            <w:pPr>
              <w:spacing w:after="0"/>
            </w:pPr>
            <w:r>
              <w:rPr>
                <w:sz w:val="18"/>
              </w:rPr>
              <w:t>Analytical simple beach</w:t>
            </w:r>
          </w:p>
        </w:tc>
        <w:tc>
          <w:tcPr>
            <w:tcW w:type="dxa" w:w="4320"/>
            <w:tcMar>
              <w:top w:w="80" w:type="dxa"/>
              <w:start w:w="120" w:type="dxa"/>
              <w:bottom w:w="80" w:type="dxa"/>
              <w:end w:w="120" w:type="dxa"/>
            </w:tcMar>
            <w:vAlign w:val="center"/>
          </w:tcPr>
          <w:p>
            <w:pPr>
              <w:spacing w:after="0"/>
            </w:pPr>
            <w:r>
              <w:rPr>
                <w:sz w:val="18"/>
              </w:rPr>
              <w:t>runup; eta/d profiles; gauges at x/d = 0.25 and 9.95</w:t>
            </w:r>
          </w:p>
        </w:tc>
        <w:tc>
          <w:tcPr>
            <w:tcW w:type="dxa" w:w="1872"/>
            <w:tcMar>
              <w:top w:w="80" w:type="dxa"/>
              <w:start w:w="120" w:type="dxa"/>
              <w:bottom w:w="80" w:type="dxa"/>
              <w:end w:w="120" w:type="dxa"/>
            </w:tcMar>
            <w:vAlign w:val="center"/>
          </w:tcPr>
          <w:p>
            <w:pPr>
              <w:spacing w:after="0"/>
            </w:pPr>
            <w:r>
              <w:rPr>
                <w:sz w:val="18"/>
              </w:rPr>
              <w:t>runup within 5%</w:t>
            </w:r>
          </w:p>
        </w:tc>
      </w:tr>
      <w:tr>
        <w:trPr>
          <w:cantSplit/>
        </w:trPr>
        <w:tc>
          <w:tcPr>
            <w:tcW w:type="dxa" w:w="1008"/>
            <w:tcMar>
              <w:top w:w="80" w:type="dxa"/>
              <w:start w:w="120" w:type="dxa"/>
              <w:bottom w:w="80" w:type="dxa"/>
              <w:end w:w="120" w:type="dxa"/>
            </w:tcMar>
            <w:vAlign w:val="center"/>
          </w:tcPr>
          <w:p>
            <w:pPr>
              <w:spacing w:after="0"/>
            </w:pPr>
            <w:r>
              <w:rPr>
                <w:sz w:val="18"/>
              </w:rPr>
              <w:t>BP04</w:t>
            </w:r>
          </w:p>
        </w:tc>
        <w:tc>
          <w:tcPr>
            <w:tcW w:type="dxa" w:w="2160"/>
            <w:tcMar>
              <w:top w:w="80" w:type="dxa"/>
              <w:start w:w="120" w:type="dxa"/>
              <w:bottom w:w="80" w:type="dxa"/>
              <w:end w:w="120" w:type="dxa"/>
            </w:tcMar>
            <w:vAlign w:val="center"/>
          </w:tcPr>
          <w:p>
            <w:pPr>
              <w:spacing w:after="0"/>
            </w:pPr>
            <w:r>
              <w:rPr>
                <w:sz w:val="18"/>
              </w:rPr>
              <w:t>Laboratory simple beach</w:t>
            </w:r>
          </w:p>
        </w:tc>
        <w:tc>
          <w:tcPr>
            <w:tcW w:type="dxa" w:w="4320"/>
            <w:tcMar>
              <w:top w:w="80" w:type="dxa"/>
              <w:start w:w="120" w:type="dxa"/>
              <w:bottom w:w="80" w:type="dxa"/>
              <w:end w:w="120" w:type="dxa"/>
            </w:tcMar>
            <w:vAlign w:val="center"/>
          </w:tcPr>
          <w:p>
            <w:pPr>
              <w:spacing w:after="0"/>
            </w:pPr>
            <w:r>
              <w:rPr>
                <w:sz w:val="18"/>
              </w:rPr>
              <w:t>Cases A and C; profiles; runup; R/d trend</w:t>
            </w:r>
          </w:p>
        </w:tc>
        <w:tc>
          <w:tcPr>
            <w:tcW w:type="dxa" w:w="1872"/>
            <w:tcMar>
              <w:top w:w="80" w:type="dxa"/>
              <w:start w:w="120" w:type="dxa"/>
              <w:bottom w:w="80" w:type="dxa"/>
              <w:end w:w="120" w:type="dxa"/>
            </w:tcMar>
            <w:vAlign w:val="center"/>
          </w:tcPr>
          <w:p>
            <w:pPr>
              <w:spacing w:after="0"/>
            </w:pPr>
            <w:r>
              <w:rPr>
                <w:sz w:val="18"/>
              </w:rPr>
              <w:t>5% nonbreaking, 10% breaking</w:t>
            </w:r>
          </w:p>
        </w:tc>
      </w:tr>
      <w:tr>
        <w:trPr>
          <w:cantSplit/>
        </w:trPr>
        <w:tc>
          <w:tcPr>
            <w:tcW w:type="dxa" w:w="1008"/>
            <w:tcMar>
              <w:top w:w="80" w:type="dxa"/>
              <w:start w:w="120" w:type="dxa"/>
              <w:bottom w:w="80" w:type="dxa"/>
              <w:end w:w="120" w:type="dxa"/>
            </w:tcMar>
            <w:vAlign w:val="center"/>
          </w:tcPr>
          <w:p>
            <w:pPr>
              <w:spacing w:after="0"/>
            </w:pPr>
            <w:r>
              <w:rPr>
                <w:sz w:val="18"/>
              </w:rPr>
              <w:t>BP06</w:t>
            </w:r>
          </w:p>
        </w:tc>
        <w:tc>
          <w:tcPr>
            <w:tcW w:type="dxa" w:w="2160"/>
            <w:tcMar>
              <w:top w:w="80" w:type="dxa"/>
              <w:start w:w="120" w:type="dxa"/>
              <w:bottom w:w="80" w:type="dxa"/>
              <w:end w:w="120" w:type="dxa"/>
            </w:tcMar>
            <w:vAlign w:val="center"/>
          </w:tcPr>
          <w:p>
            <w:pPr>
              <w:spacing w:after="0"/>
            </w:pPr>
            <w:r>
              <w:rPr>
                <w:sz w:val="18"/>
              </w:rPr>
              <w:t>Laboratory conical island</w:t>
            </w:r>
          </w:p>
        </w:tc>
        <w:tc>
          <w:tcPr>
            <w:tcW w:type="dxa" w:w="4320"/>
            <w:tcMar>
              <w:top w:w="80" w:type="dxa"/>
              <w:start w:w="120" w:type="dxa"/>
              <w:bottom w:w="80" w:type="dxa"/>
              <w:end w:w="120" w:type="dxa"/>
            </w:tcMar>
            <w:vAlign w:val="center"/>
          </w:tcPr>
          <w:p>
            <w:pPr>
              <w:spacing w:after="0"/>
            </w:pPr>
            <w:r>
              <w:rPr>
                <w:sz w:val="18"/>
              </w:rPr>
              <w:t>gauges 9, 16, 22; wave splitting; runup by angle</w:t>
            </w:r>
          </w:p>
        </w:tc>
        <w:tc>
          <w:tcPr>
            <w:tcW w:type="dxa" w:w="1872"/>
            <w:tcMar>
              <w:top w:w="80" w:type="dxa"/>
              <w:start w:w="120" w:type="dxa"/>
              <w:bottom w:w="80" w:type="dxa"/>
              <w:end w:w="120" w:type="dxa"/>
            </w:tcMar>
            <w:vAlign w:val="center"/>
          </w:tcPr>
          <w:p>
            <w:pPr>
              <w:spacing w:after="0"/>
            </w:pPr>
            <w:r>
              <w:rPr>
                <w:sz w:val="18"/>
              </w:rPr>
              <w:t>back-island runup within 20%</w:t>
            </w:r>
          </w:p>
        </w:tc>
      </w:tr>
      <w:tr>
        <w:trPr>
          <w:cantSplit/>
        </w:trPr>
        <w:tc>
          <w:tcPr>
            <w:tcW w:type="dxa" w:w="1008"/>
            <w:tcMar>
              <w:top w:w="80" w:type="dxa"/>
              <w:start w:w="120" w:type="dxa"/>
              <w:bottom w:w="80" w:type="dxa"/>
              <w:end w:w="120" w:type="dxa"/>
            </w:tcMar>
            <w:vAlign w:val="center"/>
          </w:tcPr>
          <w:p>
            <w:pPr>
              <w:spacing w:after="0"/>
            </w:pPr>
            <w:r>
              <w:rPr>
                <w:sz w:val="18"/>
              </w:rPr>
              <w:t>BP07</w:t>
            </w:r>
          </w:p>
        </w:tc>
        <w:tc>
          <w:tcPr>
            <w:tcW w:type="dxa" w:w="2160"/>
            <w:tcMar>
              <w:top w:w="80" w:type="dxa"/>
              <w:start w:w="120" w:type="dxa"/>
              <w:bottom w:w="80" w:type="dxa"/>
              <w:end w:w="120" w:type="dxa"/>
            </w:tcMar>
            <w:vAlign w:val="center"/>
          </w:tcPr>
          <w:p>
            <w:pPr>
              <w:spacing w:after="0"/>
            </w:pPr>
            <w:r>
              <w:rPr>
                <w:sz w:val="18"/>
              </w:rPr>
              <w:t>Laboratory Monai Valley</w:t>
            </w:r>
          </w:p>
        </w:tc>
        <w:tc>
          <w:tcPr>
            <w:tcW w:type="dxa" w:w="4320"/>
            <w:tcMar>
              <w:top w:w="80" w:type="dxa"/>
              <w:start w:w="120" w:type="dxa"/>
              <w:bottom w:w="80" w:type="dxa"/>
              <w:end w:w="120" w:type="dxa"/>
            </w:tcMar>
            <w:vAlign w:val="center"/>
          </w:tcPr>
          <w:p>
            <w:pPr>
              <w:spacing w:after="0"/>
            </w:pPr>
            <w:r>
              <w:rPr>
                <w:sz w:val="18"/>
              </w:rPr>
              <w:t>movie-frame snapshots; three gauges; narrow-valley runup</w:t>
            </w:r>
          </w:p>
        </w:tc>
        <w:tc>
          <w:tcPr>
            <w:tcW w:type="dxa" w:w="1872"/>
            <w:tcMar>
              <w:top w:w="80" w:type="dxa"/>
              <w:start w:w="120" w:type="dxa"/>
              <w:bottom w:w="80" w:type="dxa"/>
              <w:end w:w="120" w:type="dxa"/>
            </w:tcMar>
            <w:vAlign w:val="center"/>
          </w:tcPr>
          <w:p>
            <w:pPr>
              <w:spacing w:after="0"/>
            </w:pPr>
            <w:r>
              <w:rPr>
                <w:sz w:val="18"/>
              </w:rPr>
              <w:t>visual narrow-valley runup agreement</w:t>
            </w:r>
          </w:p>
        </w:tc>
      </w:tr>
      <w:tr>
        <w:trPr>
          <w:cantSplit/>
        </w:trPr>
        <w:tc>
          <w:tcPr>
            <w:tcW w:type="dxa" w:w="1008"/>
            <w:tcMar>
              <w:top w:w="80" w:type="dxa"/>
              <w:start w:w="120" w:type="dxa"/>
              <w:bottom w:w="80" w:type="dxa"/>
              <w:end w:w="120" w:type="dxa"/>
            </w:tcMar>
            <w:vAlign w:val="center"/>
          </w:tcPr>
          <w:p>
            <w:pPr>
              <w:spacing w:after="0"/>
            </w:pPr>
            <w:r>
              <w:rPr>
                <w:sz w:val="18"/>
              </w:rPr>
              <w:t>BP09</w:t>
            </w:r>
          </w:p>
        </w:tc>
        <w:tc>
          <w:tcPr>
            <w:tcW w:type="dxa" w:w="2160"/>
            <w:tcMar>
              <w:top w:w="80" w:type="dxa"/>
              <w:start w:w="120" w:type="dxa"/>
              <w:bottom w:w="80" w:type="dxa"/>
              <w:end w:w="120" w:type="dxa"/>
            </w:tcMar>
            <w:vAlign w:val="center"/>
          </w:tcPr>
          <w:p>
            <w:pPr>
              <w:spacing w:after="0"/>
            </w:pPr>
            <w:r>
              <w:rPr>
                <w:sz w:val="18"/>
              </w:rPr>
              <w:t>Field Okushiri tsunami</w:t>
            </w:r>
          </w:p>
        </w:tc>
        <w:tc>
          <w:tcPr>
            <w:tcW w:type="dxa" w:w="4320"/>
            <w:tcMar>
              <w:top w:w="80" w:type="dxa"/>
              <w:start w:w="120" w:type="dxa"/>
              <w:bottom w:w="80" w:type="dxa"/>
              <w:end w:w="120" w:type="dxa"/>
            </w:tcMar>
            <w:vAlign w:val="center"/>
          </w:tcPr>
          <w:p>
            <w:pPr>
              <w:spacing w:after="0"/>
            </w:pPr>
            <w:r>
              <w:rPr>
                <w:sz w:val="18"/>
              </w:rPr>
              <w:t>Iwanai/Esashi gauges; Aonae/Monai runup; Okushiri distribution</w:t>
            </w:r>
          </w:p>
        </w:tc>
        <w:tc>
          <w:tcPr>
            <w:tcW w:type="dxa" w:w="1872"/>
            <w:tcMar>
              <w:top w:w="80" w:type="dxa"/>
              <w:start w:w="120" w:type="dxa"/>
              <w:bottom w:w="80" w:type="dxa"/>
              <w:end w:w="120" w:type="dxa"/>
            </w:tcMar>
            <w:vAlign w:val="center"/>
          </w:tcPr>
          <w:p>
            <w:pPr>
              <w:spacing w:after="0"/>
            </w:pPr>
            <w:r>
              <w:rPr>
                <w:sz w:val="18"/>
              </w:rPr>
              <w:t>Aonae runup within 20%</w:t>
            </w:r>
          </w:p>
        </w:tc>
      </w:tr>
    </w:tbl>
    <w:p>
      <w:pPr>
        <w:pStyle w:val="Caption"/>
        <w:keepLines/>
        <w:jc w:val="left"/>
      </w:pPr>
      <w:r>
        <w:rPr>
          <w:i/>
        </w:rPr>
        <w:t>Table 1. Summary of required NTHMP benchmark comparisons addressed in this report.</w:t>
      </w:r>
    </w:p>
    <w:p>
      <w:pPr>
        <w:pStyle w:val="Heading1"/>
      </w:pPr>
      <w:r>
        <w:t>3. Celeris-WebGPU Model And Workflow</w:t>
      </w:r>
    </w:p>
    <w:p>
      <w:r>
        <w:t>Celeris-WebGPU runs entirely in a WebGPU-enabled browser. Input files are loaded locally through the browser interface and include the flat JSON model configuration, a bathymetry/topography grid, wave or boundary forcing files, and, where required, gridded initial free-surface conditions. The GPU simulation pipeline advances the nonlinear shallow-water equations on two-dimensional grids and writes binary fields for post-processing.</w:t>
      </w:r>
    </w:p>
    <w:p>
      <w:r>
        <w:t>All metrics in this report were computed after the simulations were complete. No simulations were rerun during report assembly. Gauge comparisons were extracted from saved `elev_*.bin` free-surface files, and runup comparisons used `current_FSmax.bin` together with the saved bathymetry/topography field.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008"/>
            <w:shd w:fill="F2F4F7"/>
            <w:tcMar>
              <w:top w:w="80" w:type="dxa"/>
              <w:start w:w="120" w:type="dxa"/>
              <w:bottom w:w="80" w:type="dxa"/>
              <w:end w:w="120" w:type="dxa"/>
            </w:tcMar>
            <w:vAlign w:val="center"/>
          </w:tcPr>
          <w:p>
            <w:pPr>
              <w:spacing w:after="0"/>
            </w:pPr>
            <w:r>
              <w:rPr>
                <w:b/>
                <w:sz w:val="18"/>
              </w:rPr>
              <w:t>Case</w:t>
            </w:r>
          </w:p>
        </w:tc>
        <w:tc>
          <w:tcPr>
            <w:tcW w:type="dxa" w:w="1944"/>
            <w:shd w:fill="F2F4F7"/>
            <w:tcMar>
              <w:top w:w="80" w:type="dxa"/>
              <w:start w:w="120" w:type="dxa"/>
              <w:bottom w:w="80" w:type="dxa"/>
              <w:end w:w="120" w:type="dxa"/>
            </w:tcMar>
            <w:vAlign w:val="center"/>
          </w:tcPr>
          <w:p>
            <w:pPr>
              <w:spacing w:after="0"/>
            </w:pPr>
            <w:r>
              <w:rPr>
                <w:b/>
                <w:sz w:val="18"/>
              </w:rPr>
              <w:t>Grid</w:t>
            </w:r>
          </w:p>
        </w:tc>
        <w:tc>
          <w:tcPr>
            <w:tcW w:type="dxa" w:w="1152"/>
            <w:shd w:fill="F2F4F7"/>
            <w:tcMar>
              <w:top w:w="80" w:type="dxa"/>
              <w:start w:w="120" w:type="dxa"/>
              <w:bottom w:w="80" w:type="dxa"/>
              <w:end w:w="120" w:type="dxa"/>
            </w:tcMar>
            <w:vAlign w:val="center"/>
          </w:tcPr>
          <w:p>
            <w:pPr>
              <w:spacing w:after="0"/>
            </w:pPr>
            <w:r>
              <w:rPr>
                <w:b/>
                <w:sz w:val="18"/>
              </w:rPr>
              <w:t>Physics</w:t>
            </w:r>
          </w:p>
        </w:tc>
        <w:tc>
          <w:tcPr>
            <w:tcW w:type="dxa" w:w="3384"/>
            <w:shd w:fill="F2F4F7"/>
            <w:tcMar>
              <w:top w:w="80" w:type="dxa"/>
              <w:start w:w="120" w:type="dxa"/>
              <w:bottom w:w="80" w:type="dxa"/>
              <w:end w:w="120" w:type="dxa"/>
            </w:tcMar>
            <w:vAlign w:val="center"/>
          </w:tcPr>
          <w:p>
            <w:pPr>
              <w:spacing w:after="0"/>
            </w:pPr>
            <w:r>
              <w:rPr>
                <w:b/>
                <w:sz w:val="18"/>
              </w:rPr>
              <w:t>Forcing / initial condition</w:t>
            </w:r>
          </w:p>
        </w:tc>
        <w:tc>
          <w:tcPr>
            <w:tcW w:type="dxa" w:w="1872"/>
            <w:shd w:fill="F2F4F7"/>
            <w:tcMar>
              <w:top w:w="80" w:type="dxa"/>
              <w:start w:w="120" w:type="dxa"/>
              <w:bottom w:w="80" w:type="dxa"/>
              <w:end w:w="120" w:type="dxa"/>
            </w:tcMar>
            <w:vAlign w:val="center"/>
          </w:tcPr>
          <w:p>
            <w:pPr>
              <w:spacing w:after="0"/>
            </w:pPr>
            <w:r>
              <w:rPr>
                <w:b/>
                <w:sz w:val="18"/>
              </w:rPr>
              <w:t>Outputs used</w:t>
            </w:r>
          </w:p>
        </w:tc>
      </w:tr>
      <w:tr>
        <w:trPr>
          <w:cantSplit/>
        </w:trPr>
        <w:tc>
          <w:tcPr>
            <w:tcW w:type="dxa" w:w="1008"/>
            <w:tcMar>
              <w:top w:w="80" w:type="dxa"/>
              <w:start w:w="120" w:type="dxa"/>
              <w:bottom w:w="80" w:type="dxa"/>
              <w:end w:w="120" w:type="dxa"/>
            </w:tcMar>
            <w:vAlign w:val="center"/>
          </w:tcPr>
          <w:p>
            <w:pPr>
              <w:spacing w:after="0"/>
            </w:pPr>
            <w:r>
              <w:rPr>
                <w:sz w:val="18"/>
              </w:rPr>
              <w:t>BP01</w:t>
            </w:r>
          </w:p>
        </w:tc>
        <w:tc>
          <w:tcPr>
            <w:tcW w:type="dxa" w:w="1944"/>
            <w:tcMar>
              <w:top w:w="80" w:type="dxa"/>
              <w:start w:w="120" w:type="dxa"/>
              <w:bottom w:w="80" w:type="dxa"/>
              <w:end w:w="120" w:type="dxa"/>
            </w:tcMar>
            <w:vAlign w:val="center"/>
          </w:tcPr>
          <w:p>
            <w:pPr>
              <w:spacing w:after="0"/>
            </w:pPr>
            <w:r>
              <w:rPr>
                <w:sz w:val="18"/>
              </w:rPr>
              <w:t>Cartesian flume</w:t>
            </w:r>
          </w:p>
        </w:tc>
        <w:tc>
          <w:tcPr>
            <w:tcW w:type="dxa" w:w="1152"/>
            <w:tcMar>
              <w:top w:w="80" w:type="dxa"/>
              <w:start w:w="120" w:type="dxa"/>
              <w:bottom w:w="80" w:type="dxa"/>
              <w:end w:w="120" w:type="dxa"/>
            </w:tcMar>
            <w:vAlign w:val="center"/>
          </w:tcPr>
          <w:p>
            <w:pPr>
              <w:spacing w:after="0"/>
            </w:pPr>
            <w:r>
              <w:rPr>
                <w:sz w:val="18"/>
              </w:rPr>
              <w:t>NLSW</w:t>
            </w:r>
          </w:p>
        </w:tc>
        <w:tc>
          <w:tcPr>
            <w:tcW w:type="dxa" w:w="3384"/>
            <w:tcMar>
              <w:top w:w="80" w:type="dxa"/>
              <w:start w:w="120" w:type="dxa"/>
              <w:bottom w:w="80" w:type="dxa"/>
              <w:end w:w="120" w:type="dxa"/>
            </w:tcMar>
            <w:vAlign w:val="center"/>
          </w:tcPr>
          <w:p>
            <w:pPr>
              <w:spacing w:after="0"/>
            </w:pPr>
            <w:r>
              <w:rPr>
                <w:sz w:val="18"/>
              </w:rPr>
              <w:t>Native solitary-wave disturbance</w:t>
            </w:r>
          </w:p>
        </w:tc>
        <w:tc>
          <w:tcPr>
            <w:tcW w:type="dxa" w:w="1872"/>
            <w:tcMar>
              <w:top w:w="80" w:type="dxa"/>
              <w:start w:w="120" w:type="dxa"/>
              <w:bottom w:w="80" w:type="dxa"/>
              <w:end w:w="120" w:type="dxa"/>
            </w:tcMar>
            <w:vAlign w:val="center"/>
          </w:tcPr>
          <w:p>
            <w:pPr>
              <w:spacing w:after="0"/>
            </w:pPr>
            <w:r>
              <w:rPr>
                <w:sz w:val="18"/>
              </w:rPr>
              <w:t>eta surfaces, FSmax</w:t>
            </w:r>
          </w:p>
        </w:tc>
      </w:tr>
      <w:tr>
        <w:trPr>
          <w:cantSplit/>
        </w:trPr>
        <w:tc>
          <w:tcPr>
            <w:tcW w:type="dxa" w:w="1008"/>
            <w:tcMar>
              <w:top w:w="80" w:type="dxa"/>
              <w:start w:w="120" w:type="dxa"/>
              <w:bottom w:w="80" w:type="dxa"/>
              <w:end w:w="120" w:type="dxa"/>
            </w:tcMar>
            <w:vAlign w:val="center"/>
          </w:tcPr>
          <w:p>
            <w:pPr>
              <w:spacing w:after="0"/>
            </w:pPr>
            <w:r>
              <w:rPr>
                <w:sz w:val="18"/>
              </w:rPr>
              <w:t>BP04</w:t>
            </w:r>
          </w:p>
        </w:tc>
        <w:tc>
          <w:tcPr>
            <w:tcW w:type="dxa" w:w="1944"/>
            <w:tcMar>
              <w:top w:w="80" w:type="dxa"/>
              <w:start w:w="120" w:type="dxa"/>
              <w:bottom w:w="80" w:type="dxa"/>
              <w:end w:w="120" w:type="dxa"/>
            </w:tcMar>
            <w:vAlign w:val="center"/>
          </w:tcPr>
          <w:p>
            <w:pPr>
              <w:spacing w:after="0"/>
            </w:pPr>
            <w:r>
              <w:rPr>
                <w:sz w:val="18"/>
              </w:rPr>
              <w:t>Cartesian flume</w:t>
            </w:r>
          </w:p>
        </w:tc>
        <w:tc>
          <w:tcPr>
            <w:tcW w:type="dxa" w:w="1152"/>
            <w:tcMar>
              <w:top w:w="80" w:type="dxa"/>
              <w:start w:w="120" w:type="dxa"/>
              <w:bottom w:w="80" w:type="dxa"/>
              <w:end w:w="120" w:type="dxa"/>
            </w:tcMar>
            <w:vAlign w:val="center"/>
          </w:tcPr>
          <w:p>
            <w:pPr>
              <w:spacing w:after="0"/>
            </w:pPr>
            <w:r>
              <w:rPr>
                <w:sz w:val="18"/>
              </w:rPr>
              <w:t>NLSW</w:t>
            </w:r>
          </w:p>
        </w:tc>
        <w:tc>
          <w:tcPr>
            <w:tcW w:type="dxa" w:w="3384"/>
            <w:tcMar>
              <w:top w:w="80" w:type="dxa"/>
              <w:start w:w="120" w:type="dxa"/>
              <w:bottom w:w="80" w:type="dxa"/>
              <w:end w:w="120" w:type="dxa"/>
            </w:tcMar>
            <w:vAlign w:val="center"/>
          </w:tcPr>
          <w:p>
            <w:pPr>
              <w:spacing w:after="0"/>
            </w:pPr>
            <w:r>
              <w:rPr>
                <w:sz w:val="18"/>
              </w:rPr>
              <w:t>Native solitary-wave disturbance</w:t>
            </w:r>
          </w:p>
        </w:tc>
        <w:tc>
          <w:tcPr>
            <w:tcW w:type="dxa" w:w="1872"/>
            <w:tcMar>
              <w:top w:w="80" w:type="dxa"/>
              <w:start w:w="120" w:type="dxa"/>
              <w:bottom w:w="80" w:type="dxa"/>
              <w:end w:w="120" w:type="dxa"/>
            </w:tcMar>
            <w:vAlign w:val="center"/>
          </w:tcPr>
          <w:p>
            <w:pPr>
              <w:spacing w:after="0"/>
            </w:pPr>
            <w:r>
              <w:rPr>
                <w:sz w:val="18"/>
              </w:rPr>
              <w:t>eta surfaces, FSmax</w:t>
            </w:r>
          </w:p>
        </w:tc>
      </w:tr>
      <w:tr>
        <w:trPr>
          <w:cantSplit/>
        </w:trPr>
        <w:tc>
          <w:tcPr>
            <w:tcW w:type="dxa" w:w="1008"/>
            <w:tcMar>
              <w:top w:w="80" w:type="dxa"/>
              <w:start w:w="120" w:type="dxa"/>
              <w:bottom w:w="80" w:type="dxa"/>
              <w:end w:w="120" w:type="dxa"/>
            </w:tcMar>
            <w:vAlign w:val="center"/>
          </w:tcPr>
          <w:p>
            <w:pPr>
              <w:spacing w:after="0"/>
            </w:pPr>
            <w:r>
              <w:rPr>
                <w:sz w:val="18"/>
              </w:rPr>
              <w:t>BP06</w:t>
            </w:r>
          </w:p>
        </w:tc>
        <w:tc>
          <w:tcPr>
            <w:tcW w:type="dxa" w:w="1944"/>
            <w:tcMar>
              <w:top w:w="80" w:type="dxa"/>
              <w:start w:w="120" w:type="dxa"/>
              <w:bottom w:w="80" w:type="dxa"/>
              <w:end w:w="120" w:type="dxa"/>
            </w:tcMar>
            <w:vAlign w:val="center"/>
          </w:tcPr>
          <w:p>
            <w:pPr>
              <w:spacing w:after="0"/>
            </w:pPr>
            <w:r>
              <w:rPr>
                <w:sz w:val="18"/>
              </w:rPr>
              <w:t>Cartesian basin</w:t>
            </w:r>
          </w:p>
        </w:tc>
        <w:tc>
          <w:tcPr>
            <w:tcW w:type="dxa" w:w="1152"/>
            <w:tcMar>
              <w:top w:w="80" w:type="dxa"/>
              <w:start w:w="120" w:type="dxa"/>
              <w:bottom w:w="80" w:type="dxa"/>
              <w:end w:w="120" w:type="dxa"/>
            </w:tcMar>
            <w:vAlign w:val="center"/>
          </w:tcPr>
          <w:p>
            <w:pPr>
              <w:spacing w:after="0"/>
            </w:pPr>
            <w:r>
              <w:rPr>
                <w:sz w:val="18"/>
              </w:rPr>
              <w:t>NLSW</w:t>
            </w:r>
          </w:p>
        </w:tc>
        <w:tc>
          <w:tcPr>
            <w:tcW w:type="dxa" w:w="3384"/>
            <w:tcMar>
              <w:top w:w="80" w:type="dxa"/>
              <w:start w:w="120" w:type="dxa"/>
              <w:bottom w:w="80" w:type="dxa"/>
              <w:end w:w="120" w:type="dxa"/>
            </w:tcMar>
            <w:vAlign w:val="center"/>
          </w:tcPr>
          <w:p>
            <w:pPr>
              <w:spacing w:after="0"/>
            </w:pPr>
            <w:r>
              <w:rPr>
                <w:sz w:val="18"/>
              </w:rPr>
              <w:t>Native solitary-wave disturbance</w:t>
            </w:r>
          </w:p>
        </w:tc>
        <w:tc>
          <w:tcPr>
            <w:tcW w:type="dxa" w:w="1872"/>
            <w:tcMar>
              <w:top w:w="80" w:type="dxa"/>
              <w:start w:w="120" w:type="dxa"/>
              <w:bottom w:w="80" w:type="dxa"/>
              <w:end w:w="120" w:type="dxa"/>
            </w:tcMar>
            <w:vAlign w:val="center"/>
          </w:tcPr>
          <w:p>
            <w:pPr>
              <w:spacing w:after="0"/>
            </w:pPr>
            <w:r>
              <w:rPr>
                <w:sz w:val="18"/>
              </w:rPr>
              <w:t>eta surfaces, FSmax</w:t>
            </w:r>
          </w:p>
        </w:tc>
      </w:tr>
      <w:tr>
        <w:trPr>
          <w:cantSplit/>
        </w:trPr>
        <w:tc>
          <w:tcPr>
            <w:tcW w:type="dxa" w:w="1008"/>
            <w:tcMar>
              <w:top w:w="80" w:type="dxa"/>
              <w:start w:w="120" w:type="dxa"/>
              <w:bottom w:w="80" w:type="dxa"/>
              <w:end w:w="120" w:type="dxa"/>
            </w:tcMar>
            <w:vAlign w:val="center"/>
          </w:tcPr>
          <w:p>
            <w:pPr>
              <w:spacing w:after="0"/>
            </w:pPr>
            <w:r>
              <w:rPr>
                <w:sz w:val="18"/>
              </w:rPr>
              <w:t>BP07</w:t>
            </w:r>
          </w:p>
        </w:tc>
        <w:tc>
          <w:tcPr>
            <w:tcW w:type="dxa" w:w="1944"/>
            <w:tcMar>
              <w:top w:w="80" w:type="dxa"/>
              <w:start w:w="120" w:type="dxa"/>
              <w:bottom w:w="80" w:type="dxa"/>
              <w:end w:w="120" w:type="dxa"/>
            </w:tcMar>
            <w:vAlign w:val="center"/>
          </w:tcPr>
          <w:p>
            <w:pPr>
              <w:spacing w:after="0"/>
            </w:pPr>
            <w:r>
              <w:rPr>
                <w:sz w:val="18"/>
              </w:rPr>
              <w:t>Cartesian laboratory grid</w:t>
            </w:r>
          </w:p>
        </w:tc>
        <w:tc>
          <w:tcPr>
            <w:tcW w:type="dxa" w:w="1152"/>
            <w:tcMar>
              <w:top w:w="80" w:type="dxa"/>
              <w:start w:w="120" w:type="dxa"/>
              <w:bottom w:w="80" w:type="dxa"/>
              <w:end w:w="120" w:type="dxa"/>
            </w:tcMar>
            <w:vAlign w:val="center"/>
          </w:tcPr>
          <w:p>
            <w:pPr>
              <w:spacing w:after="0"/>
            </w:pPr>
            <w:r>
              <w:rPr>
                <w:sz w:val="18"/>
              </w:rPr>
              <w:t>NLSW</w:t>
            </w:r>
          </w:p>
        </w:tc>
        <w:tc>
          <w:tcPr>
            <w:tcW w:type="dxa" w:w="3384"/>
            <w:tcMar>
              <w:top w:w="80" w:type="dxa"/>
              <w:start w:w="120" w:type="dxa"/>
              <w:bottom w:w="80" w:type="dxa"/>
              <w:end w:w="120" w:type="dxa"/>
            </w:tcMar>
            <w:vAlign w:val="center"/>
          </w:tcPr>
          <w:p>
            <w:pPr>
              <w:spacing w:after="0"/>
            </w:pPr>
            <w:r>
              <w:rPr>
                <w:sz w:val="18"/>
              </w:rPr>
              <w:t>Measured west-boundary time series</w:t>
            </w:r>
          </w:p>
        </w:tc>
        <w:tc>
          <w:tcPr>
            <w:tcW w:type="dxa" w:w="1872"/>
            <w:tcMar>
              <w:top w:w="80" w:type="dxa"/>
              <w:start w:w="120" w:type="dxa"/>
              <w:bottom w:w="80" w:type="dxa"/>
              <w:end w:w="120" w:type="dxa"/>
            </w:tcMar>
            <w:vAlign w:val="center"/>
          </w:tcPr>
          <w:p>
            <w:pPr>
              <w:spacing w:after="0"/>
            </w:pPr>
            <w:r>
              <w:rPr>
                <w:sz w:val="18"/>
              </w:rPr>
              <w:t>eta surfaces, FSmax</w:t>
            </w:r>
          </w:p>
        </w:tc>
      </w:tr>
      <w:tr>
        <w:trPr>
          <w:cantSplit/>
        </w:trPr>
        <w:tc>
          <w:tcPr>
            <w:tcW w:type="dxa" w:w="1008"/>
            <w:tcMar>
              <w:top w:w="80" w:type="dxa"/>
              <w:start w:w="120" w:type="dxa"/>
              <w:bottom w:w="80" w:type="dxa"/>
              <w:end w:w="120" w:type="dxa"/>
            </w:tcMar>
            <w:vAlign w:val="center"/>
          </w:tcPr>
          <w:p>
            <w:pPr>
              <w:spacing w:after="0"/>
            </w:pPr>
            <w:r>
              <w:rPr>
                <w:sz w:val="18"/>
              </w:rPr>
              <w:t>BP09</w:t>
            </w:r>
          </w:p>
        </w:tc>
        <w:tc>
          <w:tcPr>
            <w:tcW w:type="dxa" w:w="1944"/>
            <w:tcMar>
              <w:top w:w="80" w:type="dxa"/>
              <w:start w:w="120" w:type="dxa"/>
              <w:bottom w:w="80" w:type="dxa"/>
              <w:end w:w="120" w:type="dxa"/>
            </w:tcMar>
            <w:vAlign w:val="center"/>
          </w:tcPr>
          <w:p>
            <w:pPr>
              <w:spacing w:after="0"/>
            </w:pPr>
            <w:r>
              <w:rPr>
                <w:sz w:val="18"/>
              </w:rPr>
              <w:t>Spherical nested grids</w:t>
            </w:r>
          </w:p>
        </w:tc>
        <w:tc>
          <w:tcPr>
            <w:tcW w:type="dxa" w:w="1152"/>
            <w:tcMar>
              <w:top w:w="80" w:type="dxa"/>
              <w:start w:w="120" w:type="dxa"/>
              <w:bottom w:w="80" w:type="dxa"/>
              <w:end w:w="120" w:type="dxa"/>
            </w:tcMar>
            <w:vAlign w:val="center"/>
          </w:tcPr>
          <w:p>
            <w:pPr>
              <w:spacing w:after="0"/>
            </w:pPr>
            <w:r>
              <w:rPr>
                <w:sz w:val="18"/>
              </w:rPr>
              <w:t>NLSW</w:t>
            </w:r>
          </w:p>
        </w:tc>
        <w:tc>
          <w:tcPr>
            <w:tcW w:type="dxa" w:w="3384"/>
            <w:tcMar>
              <w:top w:w="80" w:type="dxa"/>
              <w:start w:w="120" w:type="dxa"/>
              <w:bottom w:w="80" w:type="dxa"/>
              <w:end w:w="120" w:type="dxa"/>
            </w:tcMar>
            <w:vAlign w:val="center"/>
          </w:tcPr>
          <w:p>
            <w:pPr>
              <w:spacing w:after="0"/>
            </w:pPr>
            <w:r>
              <w:rPr>
                <w:sz w:val="18"/>
              </w:rPr>
              <w:t>PMEL region IC files and nested boundaries</w:t>
            </w:r>
          </w:p>
        </w:tc>
        <w:tc>
          <w:tcPr>
            <w:tcW w:type="dxa" w:w="1872"/>
            <w:tcMar>
              <w:top w:w="80" w:type="dxa"/>
              <w:start w:w="120" w:type="dxa"/>
              <w:bottom w:w="80" w:type="dxa"/>
              <w:end w:w="120" w:type="dxa"/>
            </w:tcMar>
            <w:vAlign w:val="center"/>
          </w:tcPr>
          <w:p>
            <w:pPr>
              <w:spacing w:after="0"/>
            </w:pPr>
            <w:r>
              <w:rPr>
                <w:sz w:val="18"/>
              </w:rPr>
              <w:t>eta surfaces, FSmax</w:t>
            </w:r>
          </w:p>
        </w:tc>
      </w:tr>
    </w:tbl>
    <w:p>
      <w:pPr>
        <w:pStyle w:val="Caption"/>
        <w:keepLines/>
        <w:jc w:val="left"/>
      </w:pPr>
      <w:r>
        <w:rPr>
          <w:i/>
        </w:rPr>
        <w:t>Table 2. Celeris-WebGPU setup summary for the completed benchmark simulations.</w:t>
      </w:r>
    </w:p>
    <w:p>
      <w:pPr>
        <w:pStyle w:val="Heading1"/>
      </w:pPr>
      <w:r>
        <w:t>4. Post-Processing Metrics</w:t>
      </w:r>
    </w:p>
    <w:p>
      <w:r>
        <w:t>The primary scalar metrics are root-mean-square error, mean absolute error, maximum absolute error, and percent runup error. For laboratory and analytical cases, nondimensional variables follow the benchmark definitions. For the conical-island benchmark, gauge histories were time-aligned using the same nondimensional time axis shown in the accepted comparison plots. Runup was extracted using initially dry or positive-elevation cells that became wetted above the benchmark-specific wet-depth threshold.</w:t>
      </w:r>
    </w:p>
    <w:p>
      <w:pPr>
        <w:pStyle w:val="Heading1"/>
      </w:pPr>
      <w:r>
        <w:t>5. BP01: Analytical Single Wave On A Simple Beach</w:t>
      </w:r>
    </w:p>
    <w:p>
      <w:pPr>
        <w:spacing w:after="80"/>
      </w:pPr>
      <w:r>
        <w:rPr>
          <w:i/>
        </w:rPr>
        <w:t>Checklist: Numerically compute maximum runup, of the solitary wave.</w:t>
      </w:r>
    </w:p>
    <w:p>
      <w:r>
        <w:t>BP01 tests nonbreaking solitary-wave runup on a plane beach. Celeris used a narrow Cartesian flume with reflective sidewalls and the native solitary-wave disturbance initialization. The computed maximum runup was R/d = 0.089749, compared with the analytical value R/d = 0.090900, giving a percent error of -1.27%.</w:t>
      </w:r>
    </w:p>
    <w:p>
      <w:pPr>
        <w:spacing w:after="80"/>
      </w:pPr>
      <w:r>
        <w:rPr>
          <w:i/>
        </w:rPr>
        <w:t>Checklist: Numerically compute water level zeta/d as a function of t(g/d)^1/2 at locations x/d = 0.25 and x/d = 9.95 during propagation and reflection of the wave.</w:t>
      </w:r>
    </w:p>
    <w:p>
      <w:r>
        <w:t>The two analytical gauge records were reproduced with small nondimensional errors: x/d = 0.25: RMSE 0.00107; x/d = 9.95: RMSE 0.000399.</w:t>
      </w:r>
    </w:p>
    <w:p>
      <w:pPr>
        <w:keepNext/>
        <w:keepLines/>
        <w:jc w:val="center"/>
      </w:pPr>
      <w:r>
        <w:drawing>
          <wp:inline xmlns:a="http://schemas.openxmlformats.org/drawingml/2006/main" xmlns:pic="http://schemas.openxmlformats.org/drawingml/2006/picture">
            <wp:extent cx="5760720" cy="4465674"/>
            <wp:docPr id="1" name="Picture 1"/>
            <wp:cNvGraphicFramePr>
              <a:graphicFrameLocks noChangeAspect="1"/>
            </wp:cNvGraphicFramePr>
            <a:graphic>
              <a:graphicData uri="http://schemas.openxmlformats.org/drawingml/2006/picture">
                <pic:pic>
                  <pic:nvPicPr>
                    <pic:cNvPr id="0" name="fig_bp01_gauges.png"/>
                    <pic:cNvPicPr/>
                  </pic:nvPicPr>
                  <pic:blipFill>
                    <a:blip r:embed="rId9"/>
                    <a:stretch>
                      <a:fillRect/>
                    </a:stretch>
                  </pic:blipFill>
                  <pic:spPr>
                    <a:xfrm>
                      <a:off x="0" y="0"/>
                      <a:ext cx="5760720" cy="4465674"/>
                    </a:xfrm>
                    <a:prstGeom prst="rect"/>
                  </pic:spPr>
                </pic:pic>
              </a:graphicData>
            </a:graphic>
          </wp:inline>
        </w:drawing>
      </w:r>
    </w:p>
    <w:p>
      <w:pPr>
        <w:pStyle w:val="Caption"/>
        <w:keepLines/>
        <w:jc w:val="left"/>
      </w:pPr>
      <w:r>
        <w:rPr>
          <w:i/>
        </w:rPr>
        <w:t>Figure 1. BP01 analytical gauge comparison at x/d = 0.25 and x/d = 9.95.</w:t>
      </w:r>
    </w:p>
    <w:p>
      <w:pPr>
        <w:spacing w:after="80"/>
      </w:pPr>
      <w:r>
        <w:rPr>
          <w:i/>
        </w:rPr>
        <w:t>Checklist: Numerically compute water level zeta/d at the requested nondimensional profile times for the solitary wave.</w:t>
      </w:r>
    </w:p>
    <w:p>
      <w:pPr>
        <w:keepNext/>
        <w:keepLines/>
        <w:jc w:val="center"/>
      </w:pPr>
      <w:r>
        <w:drawing>
          <wp:inline xmlns:a="http://schemas.openxmlformats.org/drawingml/2006/main" xmlns:pic="http://schemas.openxmlformats.org/drawingml/2006/picture">
            <wp:extent cx="5760720" cy="5394270"/>
            <wp:docPr id="2" name="Picture 2"/>
            <wp:cNvGraphicFramePr>
              <a:graphicFrameLocks noChangeAspect="1"/>
            </wp:cNvGraphicFramePr>
            <a:graphic>
              <a:graphicData uri="http://schemas.openxmlformats.org/drawingml/2006/picture">
                <pic:pic>
                  <pic:nvPicPr>
                    <pic:cNvPr id="0" name="fig_bp01_profiles.png"/>
                    <pic:cNvPicPr/>
                  </pic:nvPicPr>
                  <pic:blipFill>
                    <a:blip r:embed="rId10"/>
                    <a:stretch>
                      <a:fillRect/>
                    </a:stretch>
                  </pic:blipFill>
                  <pic:spPr>
                    <a:xfrm>
                      <a:off x="0" y="0"/>
                      <a:ext cx="5760720" cy="5394270"/>
                    </a:xfrm>
                    <a:prstGeom prst="rect"/>
                  </pic:spPr>
                </pic:pic>
              </a:graphicData>
            </a:graphic>
          </wp:inline>
        </w:drawing>
      </w:r>
    </w:p>
    <w:p>
      <w:pPr>
        <w:pStyle w:val="Caption"/>
        <w:keepLines/>
        <w:jc w:val="left"/>
      </w:pPr>
      <w:r>
        <w:rPr>
          <w:i/>
        </w:rPr>
        <w:t>Figure 2. BP01 analytical free-surface profile comparison at requested nondimensional times.</w:t>
      </w:r>
    </w:p>
    <w:p>
      <w:pPr>
        <w:spacing w:after="80"/>
      </w:pPr>
      <w:r>
        <w:rPr>
          <w:i/>
        </w:rPr>
        <w:t>Checklist: Demonstrate scalability of the numerical code.</w:t>
      </w:r>
    </w:p>
    <w:p>
      <w:r>
        <w:t>For this validation report, scalability is addressed qualitatively by applying the same browser runner, binary output, and post-processing workflow across the full benchmark progression from the BP01 flume to the BP09 nested field grids. No additional BP01-only timing sweep was performed during report assembly.</w:t>
      </w:r>
    </w:p>
    <w:p>
      <w:pPr>
        <w:pStyle w:val="Heading1"/>
      </w:pPr>
      <w:r>
        <w:t>6. BP04: Laboratory Single Wave On A Simple Beach</w:t>
      </w:r>
    </w:p>
    <w:p>
      <w:r>
        <w:t>BP04 extends the simple-beach test to laboratory measurements. Case A is the low-amplitude nonbreaking case and Case C is the high-amplitude breaking/runup case. The Celeris setup used the benchmark beach profile and native solitary-wave initialization, with all comparison profiles sampled from saved eta surfaces.</w:t>
      </w:r>
    </w:p>
    <w:p>
      <w:pPr>
        <w:spacing w:after="80"/>
      </w:pPr>
      <w:r>
        <w:rPr>
          <w:i/>
        </w:rPr>
        <w:t>Checklist: Numerically compute water level zeta/d at t = 25(d/g)^1/2, t = 35(d/g)^1/2, t = 45(d/g)^1/2, t = 55(d/g)^1/2, and t = 65(d/g)^1/2, Case A.</w:t>
      </w:r>
    </w:p>
    <w:p>
      <w:pPr>
        <w:spacing w:after="80"/>
      </w:pPr>
      <w:r>
        <w:rPr>
          <w:i/>
        </w:rPr>
        <w:t>Checklist: Numerically compute water level zeta/d at t = 10(d/g)^1/2, t = 15(d/g)^1/2, t = 20(d/g)^1/2, t = 25(d/g)^1/2, and t = 30(d/g)^1/2, Case C.</w:t>
      </w:r>
    </w:p>
    <w:p>
      <w:r>
        <w:t>For Case A, Celeris predicted R/d = 0.078086 against 0.078000, a 0.11% runup error. For Case C, the corresponding values were R/d = 0.550798 and 0.551000, with -0.04% error. Because only two amplitudes are required here, the R/d versus H/d behavior is discussed directly rather than plotted as a two-point figure.</w:t>
      </w:r>
    </w:p>
    <w:p>
      <w:pPr>
        <w:spacing w:after="80"/>
      </w:pPr>
      <w:r>
        <w:rPr>
          <w:i/>
        </w:rPr>
        <w:t>Checklist: Numerically compute maximum runup, Case A and Case C.</w:t>
      </w:r>
    </w:p>
    <w:p>
      <w:pPr>
        <w:spacing w:after="80"/>
      </w:pPr>
      <w:r>
        <w:rPr>
          <w:i/>
        </w:rPr>
        <w:t>Checklist: Numerically compute maximum runup R/d versus H/d.</w:t>
      </w:r>
    </w:p>
    <w:p>
      <w:pPr>
        <w:keepNext/>
        <w:keepLines/>
        <w:jc w:val="center"/>
      </w:pPr>
      <w:r>
        <w:drawing>
          <wp:inline xmlns:a="http://schemas.openxmlformats.org/drawingml/2006/main" xmlns:pic="http://schemas.openxmlformats.org/drawingml/2006/picture">
            <wp:extent cx="5760720" cy="5208702"/>
            <wp:docPr id="3" name="Picture 3"/>
            <wp:cNvGraphicFramePr>
              <a:graphicFrameLocks noChangeAspect="1"/>
            </wp:cNvGraphicFramePr>
            <a:graphic>
              <a:graphicData uri="http://schemas.openxmlformats.org/drawingml/2006/picture">
                <pic:pic>
                  <pic:nvPicPr>
                    <pic:cNvPr id="0" name="fig_bp04_case_a_profiles.png"/>
                    <pic:cNvPicPr/>
                  </pic:nvPicPr>
                  <pic:blipFill>
                    <a:blip r:embed="rId11"/>
                    <a:stretch>
                      <a:fillRect/>
                    </a:stretch>
                  </pic:blipFill>
                  <pic:spPr>
                    <a:xfrm>
                      <a:off x="0" y="0"/>
                      <a:ext cx="5760720" cy="5208702"/>
                    </a:xfrm>
                    <a:prstGeom prst="rect"/>
                  </pic:spPr>
                </pic:pic>
              </a:graphicData>
            </a:graphic>
          </wp:inline>
        </w:drawing>
      </w:r>
    </w:p>
    <w:p>
      <w:pPr>
        <w:pStyle w:val="Caption"/>
        <w:keepLines/>
        <w:jc w:val="left"/>
      </w:pPr>
      <w:r>
        <w:rPr>
          <w:i/>
        </w:rPr>
        <w:t>Figure 3. BP04 Case A laboratory profile comparisons.</w:t>
      </w:r>
    </w:p>
    <w:p>
      <w:pPr>
        <w:keepNext/>
        <w:keepLines/>
        <w:jc w:val="center"/>
      </w:pPr>
      <w:r>
        <w:drawing>
          <wp:inline xmlns:a="http://schemas.openxmlformats.org/drawingml/2006/main" xmlns:pic="http://schemas.openxmlformats.org/drawingml/2006/picture">
            <wp:extent cx="5760720" cy="5022085"/>
            <wp:docPr id="4" name="Picture 4"/>
            <wp:cNvGraphicFramePr>
              <a:graphicFrameLocks noChangeAspect="1"/>
            </wp:cNvGraphicFramePr>
            <a:graphic>
              <a:graphicData uri="http://schemas.openxmlformats.org/drawingml/2006/picture">
                <pic:pic>
                  <pic:nvPicPr>
                    <pic:cNvPr id="0" name="fig_bp04_case_c_profiles.png"/>
                    <pic:cNvPicPr/>
                  </pic:nvPicPr>
                  <pic:blipFill>
                    <a:blip r:embed="rId12"/>
                    <a:stretch>
                      <a:fillRect/>
                    </a:stretch>
                  </pic:blipFill>
                  <pic:spPr>
                    <a:xfrm>
                      <a:off x="0" y="0"/>
                      <a:ext cx="5760720" cy="5022085"/>
                    </a:xfrm>
                    <a:prstGeom prst="rect"/>
                  </pic:spPr>
                </pic:pic>
              </a:graphicData>
            </a:graphic>
          </wp:inline>
        </w:drawing>
      </w:r>
    </w:p>
    <w:p>
      <w:pPr>
        <w:pStyle w:val="Caption"/>
        <w:keepLines/>
        <w:jc w:val="left"/>
      </w:pPr>
      <w:r>
        <w:rPr>
          <w:i/>
        </w:rPr>
        <w:t>Figure 4. BP04 Case C laboratory profile comparisons.</w:t>
      </w:r>
    </w:p>
    <w:p>
      <w:pPr>
        <w:pStyle w:val="Heading1"/>
      </w:pPr>
      <w:r>
        <w:t>7. BP06: Laboratory Solitary Wave On A Conical Island</w:t>
      </w:r>
    </w:p>
    <w:p>
      <w:r>
        <w:t>BP06 tests wave splitting, diffraction, and back-side collision around a conical island. Cases B and C were initialized with the measured solitary-wave amplitudes using the native disturbance path. Required gauges 9, 16, and 22 were sampled directly from saved eta surfaces.</w:t>
      </w:r>
    </w:p>
    <w:p>
      <w:pPr>
        <w:spacing w:after="80"/>
      </w:pPr>
      <w:r>
        <w:rPr>
          <w:i/>
        </w:rPr>
        <w:t>Checklist: Show that two wave fronts that split in front of the island and collide behind it.</w:t>
      </w:r>
    </w:p>
    <w:p>
      <w:r>
        <w:t>The aligned required-gauge mean RMSE was 0.00467 m for Case B and 0.00783 m for Case C. The mean absolute runup percent error over all angular stations was 16.22% for Case B and 14.32% for Case C. The comparisons capture the dominant front splitting and rear-island collision pattern.</w:t>
      </w:r>
    </w:p>
    <w:p>
      <w:pPr>
        <w:keepNext/>
        <w:keepLines/>
        <w:jc w:val="center"/>
      </w:pPr>
      <w:r>
        <w:drawing>
          <wp:inline xmlns:a="http://schemas.openxmlformats.org/drawingml/2006/main" xmlns:pic="http://schemas.openxmlformats.org/drawingml/2006/picture">
            <wp:extent cx="5760720" cy="5661160"/>
            <wp:docPr id="5" name="Picture 5"/>
            <wp:cNvGraphicFramePr>
              <a:graphicFrameLocks noChangeAspect="1"/>
            </wp:cNvGraphicFramePr>
            <a:graphic>
              <a:graphicData uri="http://schemas.openxmlformats.org/drawingml/2006/picture">
                <pic:pic>
                  <pic:nvPicPr>
                    <pic:cNvPr id="0" name="fig_bp06_wave_splitting.png"/>
                    <pic:cNvPicPr/>
                  </pic:nvPicPr>
                  <pic:blipFill>
                    <a:blip r:embed="rId13"/>
                    <a:stretch>
                      <a:fillRect/>
                    </a:stretch>
                  </pic:blipFill>
                  <pic:spPr>
                    <a:xfrm>
                      <a:off x="0" y="0"/>
                      <a:ext cx="5760720" cy="5661160"/>
                    </a:xfrm>
                    <a:prstGeom prst="rect"/>
                  </pic:spPr>
                </pic:pic>
              </a:graphicData>
            </a:graphic>
          </wp:inline>
        </w:drawing>
      </w:r>
    </w:p>
    <w:p>
      <w:pPr>
        <w:pStyle w:val="Caption"/>
        <w:keepLines/>
        <w:jc w:val="left"/>
      </w:pPr>
      <w:r>
        <w:rPr>
          <w:i/>
        </w:rPr>
        <w:t>Figure 5. BP06 Case C free-surface snapshots showing front splitting around the island and rear-side collision.</w:t>
      </w:r>
    </w:p>
    <w:p>
      <w:pPr>
        <w:spacing w:after="80"/>
      </w:pPr>
      <w:r>
        <w:rPr>
          <w:i/>
        </w:rPr>
        <w:t>Checklist: Numerically compute water level zeta/d as a function of t(g/d)^1/2 at gauges 9, 16, and 22.</w:t>
      </w:r>
    </w:p>
    <w:p>
      <w:pPr>
        <w:keepNext/>
        <w:keepLines/>
        <w:jc w:val="center"/>
      </w:pPr>
      <w:r>
        <w:drawing>
          <wp:inline xmlns:a="http://schemas.openxmlformats.org/drawingml/2006/main" xmlns:pic="http://schemas.openxmlformats.org/drawingml/2006/picture">
            <wp:extent cx="5760720" cy="6020066"/>
            <wp:docPr id="6" name="Picture 6"/>
            <wp:cNvGraphicFramePr>
              <a:graphicFrameLocks noChangeAspect="1"/>
            </wp:cNvGraphicFramePr>
            <a:graphic>
              <a:graphicData uri="http://schemas.openxmlformats.org/drawingml/2006/picture">
                <pic:pic>
                  <pic:nvPicPr>
                    <pic:cNvPr id="0" name="fig_bp06_case_b_gauges.png"/>
                    <pic:cNvPicPr/>
                  </pic:nvPicPr>
                  <pic:blipFill>
                    <a:blip r:embed="rId14"/>
                    <a:stretch>
                      <a:fillRect/>
                    </a:stretch>
                  </pic:blipFill>
                  <pic:spPr>
                    <a:xfrm>
                      <a:off x="0" y="0"/>
                      <a:ext cx="5760720" cy="6020066"/>
                    </a:xfrm>
                    <a:prstGeom prst="rect"/>
                  </pic:spPr>
                </pic:pic>
              </a:graphicData>
            </a:graphic>
          </wp:inline>
        </w:drawing>
      </w:r>
    </w:p>
    <w:p>
      <w:pPr>
        <w:pStyle w:val="Caption"/>
        <w:keepLines/>
        <w:jc w:val="left"/>
      </w:pPr>
      <w:r>
        <w:rPr>
          <w:i/>
        </w:rPr>
        <w:t>Figure 6. BP06 Case B required-gauge eta/d comparison.</w:t>
      </w:r>
    </w:p>
    <w:p>
      <w:pPr>
        <w:keepNext/>
        <w:keepLines/>
        <w:jc w:val="center"/>
      </w:pPr>
      <w:r>
        <w:drawing>
          <wp:inline xmlns:a="http://schemas.openxmlformats.org/drawingml/2006/main" xmlns:pic="http://schemas.openxmlformats.org/drawingml/2006/picture">
            <wp:extent cx="5760720" cy="6099006"/>
            <wp:docPr id="7" name="Picture 7"/>
            <wp:cNvGraphicFramePr>
              <a:graphicFrameLocks noChangeAspect="1"/>
            </wp:cNvGraphicFramePr>
            <a:graphic>
              <a:graphicData uri="http://schemas.openxmlformats.org/drawingml/2006/picture">
                <pic:pic>
                  <pic:nvPicPr>
                    <pic:cNvPr id="0" name="fig_bp06_case_c_gauges.png"/>
                    <pic:cNvPicPr/>
                  </pic:nvPicPr>
                  <pic:blipFill>
                    <a:blip r:embed="rId15"/>
                    <a:stretch>
                      <a:fillRect/>
                    </a:stretch>
                  </pic:blipFill>
                  <pic:spPr>
                    <a:xfrm>
                      <a:off x="0" y="0"/>
                      <a:ext cx="5760720" cy="6099006"/>
                    </a:xfrm>
                    <a:prstGeom prst="rect"/>
                  </pic:spPr>
                </pic:pic>
              </a:graphicData>
            </a:graphic>
          </wp:inline>
        </w:drawing>
      </w:r>
    </w:p>
    <w:p>
      <w:pPr>
        <w:pStyle w:val="Caption"/>
        <w:keepLines/>
        <w:jc w:val="left"/>
      </w:pPr>
      <w:r>
        <w:rPr>
          <w:i/>
        </w:rPr>
        <w:t>Figure 7. BP06 Case C required-gauge eta/d comparison.</w:t>
      </w:r>
    </w:p>
    <w:p>
      <w:pPr>
        <w:spacing w:after="80"/>
      </w:pPr>
      <w:r>
        <w:rPr>
          <w:i/>
        </w:rPr>
        <w:t>Checklist: Numerically compute runup R/d around the island.</w:t>
      </w:r>
    </w:p>
    <w:p>
      <w:pPr>
        <w:keepNext/>
        <w:keepLines/>
        <w:jc w:val="center"/>
      </w:pPr>
      <w:r>
        <w:drawing>
          <wp:inline xmlns:a="http://schemas.openxmlformats.org/drawingml/2006/main" xmlns:pic="http://schemas.openxmlformats.org/drawingml/2006/picture">
            <wp:extent cx="5760720" cy="3752396"/>
            <wp:docPr id="8" name="Picture 8"/>
            <wp:cNvGraphicFramePr>
              <a:graphicFrameLocks noChangeAspect="1"/>
            </wp:cNvGraphicFramePr>
            <a:graphic>
              <a:graphicData uri="http://schemas.openxmlformats.org/drawingml/2006/picture">
                <pic:pic>
                  <pic:nvPicPr>
                    <pic:cNvPr id="0" name="fig_bp06_case_b_runup.png"/>
                    <pic:cNvPicPr/>
                  </pic:nvPicPr>
                  <pic:blipFill>
                    <a:blip r:embed="rId16"/>
                    <a:stretch>
                      <a:fillRect/>
                    </a:stretch>
                  </pic:blipFill>
                  <pic:spPr>
                    <a:xfrm>
                      <a:off x="0" y="0"/>
                      <a:ext cx="5760720" cy="3752396"/>
                    </a:xfrm>
                    <a:prstGeom prst="rect"/>
                  </pic:spPr>
                </pic:pic>
              </a:graphicData>
            </a:graphic>
          </wp:inline>
        </w:drawing>
      </w:r>
    </w:p>
    <w:p>
      <w:pPr>
        <w:pStyle w:val="Caption"/>
        <w:keepLines/>
        <w:jc w:val="left"/>
      </w:pPr>
      <w:r>
        <w:rPr>
          <w:i/>
        </w:rPr>
        <w:t>Figure 8. BP06 Case B runup R/d by angle.</w:t>
      </w:r>
    </w:p>
    <w:p>
      <w:pPr>
        <w:keepNext/>
        <w:keepLines/>
        <w:jc w:val="center"/>
      </w:pPr>
      <w:r>
        <w:drawing>
          <wp:inline xmlns:a="http://schemas.openxmlformats.org/drawingml/2006/main" xmlns:pic="http://schemas.openxmlformats.org/drawingml/2006/picture">
            <wp:extent cx="5760720" cy="3809184"/>
            <wp:docPr id="9" name="Picture 9"/>
            <wp:cNvGraphicFramePr>
              <a:graphicFrameLocks noChangeAspect="1"/>
            </wp:cNvGraphicFramePr>
            <a:graphic>
              <a:graphicData uri="http://schemas.openxmlformats.org/drawingml/2006/picture">
                <pic:pic>
                  <pic:nvPicPr>
                    <pic:cNvPr id="0" name="fig_bp06_case_c_runup.png"/>
                    <pic:cNvPicPr/>
                  </pic:nvPicPr>
                  <pic:blipFill>
                    <a:blip r:embed="rId17"/>
                    <a:stretch>
                      <a:fillRect/>
                    </a:stretch>
                  </pic:blipFill>
                  <pic:spPr>
                    <a:xfrm>
                      <a:off x="0" y="0"/>
                      <a:ext cx="5760720" cy="3809184"/>
                    </a:xfrm>
                    <a:prstGeom prst="rect"/>
                  </pic:spPr>
                </pic:pic>
              </a:graphicData>
            </a:graphic>
          </wp:inline>
        </w:drawing>
      </w:r>
    </w:p>
    <w:p>
      <w:pPr>
        <w:pStyle w:val="Caption"/>
        <w:keepLines/>
        <w:jc w:val="left"/>
      </w:pPr>
      <w:r>
        <w:rPr>
          <w:i/>
        </w:rPr>
        <w:t>Figure 9. BP06 Case C runup R/d by angle.</w:t>
      </w:r>
    </w:p>
    <w:p>
      <w:pPr>
        <w:pStyle w:val="Heading1"/>
      </w:pPr>
      <w:r>
        <w:t>8. BP07: Laboratory Monai Valley</w:t>
      </w:r>
    </w:p>
    <w:p>
      <w:r>
        <w:t>BP07 evaluates a complex three-dimensional laboratory bathymetry representing Monai Valley. Celeris used the measured incident wave as a west-boundary time-series input. Saved free-surface fields were used to construct movie-frame snapshots and gauge histories.</w:t>
      </w:r>
    </w:p>
    <w:p>
      <w:pPr>
        <w:spacing w:after="80"/>
      </w:pPr>
      <w:r>
        <w:rPr>
          <w:i/>
        </w:rPr>
        <w:t>Checklist: Snapshots of the numerical solution at the time intervals corresponding to the movie frames 10, 25, 40, 55, and 70. The time interval between frames is 0.5 seconds.</w:t>
      </w:r>
    </w:p>
    <w:p>
      <w:pPr>
        <w:keepNext/>
        <w:keepLines/>
        <w:jc w:val="center"/>
      </w:pPr>
      <w:r>
        <w:drawing>
          <wp:inline xmlns:a="http://schemas.openxmlformats.org/drawingml/2006/main" xmlns:pic="http://schemas.openxmlformats.org/drawingml/2006/picture">
            <wp:extent cx="5760720" cy="4178963"/>
            <wp:docPr id="10" name="Picture 10"/>
            <wp:cNvGraphicFramePr>
              <a:graphicFrameLocks noChangeAspect="1"/>
            </wp:cNvGraphicFramePr>
            <a:graphic>
              <a:graphicData uri="http://schemas.openxmlformats.org/drawingml/2006/picture">
                <pic:pic>
                  <pic:nvPicPr>
                    <pic:cNvPr id="0" name="fig_bp07_wave_plot.png"/>
                    <pic:cNvPicPr/>
                  </pic:nvPicPr>
                  <pic:blipFill>
                    <a:blip r:embed="rId18"/>
                    <a:stretch>
                      <a:fillRect/>
                    </a:stretch>
                  </pic:blipFill>
                  <pic:spPr>
                    <a:xfrm>
                      <a:off x="0" y="0"/>
                      <a:ext cx="5760720" cy="4178963"/>
                    </a:xfrm>
                    <a:prstGeom prst="rect"/>
                  </pic:spPr>
                </pic:pic>
              </a:graphicData>
            </a:graphic>
          </wp:inline>
        </w:drawing>
      </w:r>
    </w:p>
    <w:p>
      <w:pPr>
        <w:pStyle w:val="Caption"/>
        <w:keepLines/>
        <w:jc w:val="left"/>
      </w:pPr>
      <w:r>
        <w:rPr>
          <w:i/>
        </w:rPr>
        <w:t>Figure 10. BP07 free-surface snapshots from wave_plot at the requested benchmark movie-frame sequence.</w:t>
      </w:r>
    </w:p>
    <w:p>
      <w:pPr>
        <w:spacing w:after="80"/>
      </w:pPr>
      <w:r>
        <w:rPr>
          <w:i/>
        </w:rPr>
        <w:t>Checklist: Numerically compute the water level zeta at gauges 1, 2, and 3.</w:t>
      </w:r>
    </w:p>
    <w:p>
      <w:r>
        <w:t>The three required gauges had a mean RMSE of 0.00403 m. The gauge histories were extracted from the saved eta surface files rather than Celeris point time-series output.</w:t>
      </w:r>
    </w:p>
    <w:p>
      <w:pPr>
        <w:keepNext/>
        <w:keepLines/>
        <w:jc w:val="center"/>
      </w:pPr>
      <w:r>
        <w:drawing>
          <wp:inline xmlns:a="http://schemas.openxmlformats.org/drawingml/2006/main" xmlns:pic="http://schemas.openxmlformats.org/drawingml/2006/picture">
            <wp:extent cx="5760720" cy="5488407"/>
            <wp:docPr id="11" name="Picture 11"/>
            <wp:cNvGraphicFramePr>
              <a:graphicFrameLocks noChangeAspect="1"/>
            </wp:cNvGraphicFramePr>
            <a:graphic>
              <a:graphicData uri="http://schemas.openxmlformats.org/drawingml/2006/picture">
                <pic:pic>
                  <pic:nvPicPr>
                    <pic:cNvPr id="0" name="fig_bp07_gauges.png"/>
                    <pic:cNvPicPr/>
                  </pic:nvPicPr>
                  <pic:blipFill>
                    <a:blip r:embed="rId19"/>
                    <a:stretch>
                      <a:fillRect/>
                    </a:stretch>
                  </pic:blipFill>
                  <pic:spPr>
                    <a:xfrm>
                      <a:off x="0" y="0"/>
                      <a:ext cx="5760720" cy="5488407"/>
                    </a:xfrm>
                    <a:prstGeom prst="rect"/>
                  </pic:spPr>
                </pic:pic>
              </a:graphicData>
            </a:graphic>
          </wp:inline>
        </w:drawing>
      </w:r>
    </w:p>
    <w:p>
      <w:pPr>
        <w:pStyle w:val="Caption"/>
        <w:keepLines/>
        <w:jc w:val="left"/>
      </w:pPr>
      <w:r>
        <w:rPr>
          <w:i/>
        </w:rPr>
        <w:t>Figure 11. BP07 gauge water-level comparisons from eta surface samples.</w:t>
      </w:r>
    </w:p>
    <w:p>
      <w:pPr>
        <w:spacing w:after="80"/>
      </w:pPr>
      <w:r>
        <w:rPr>
          <w:i/>
        </w:rPr>
        <w:t>Checklist: Numerically compute the maximum runup in the narrow valley, representing the Monai Valley.</w:t>
      </w:r>
    </w:p>
    <w:p>
      <w:r>
        <w:t>The narrow-valley runup comparison is treated as a visual benchmark comparison. The red marker in Figure 12 is the maximum observed runup location, and the Celeris inundation sequence reaches the same valley throat during the focused runup phase.</w:t>
      </w:r>
    </w:p>
    <w:p>
      <w:pPr>
        <w:keepNext/>
        <w:keepLines/>
        <w:jc w:val="center"/>
      </w:pPr>
      <w:r>
        <w:drawing>
          <wp:inline xmlns:a="http://schemas.openxmlformats.org/drawingml/2006/main" xmlns:pic="http://schemas.openxmlformats.org/drawingml/2006/picture">
            <wp:extent cx="5760720" cy="4107032"/>
            <wp:docPr id="12" name="Picture 12"/>
            <wp:cNvGraphicFramePr>
              <a:graphicFrameLocks noChangeAspect="1"/>
            </wp:cNvGraphicFramePr>
            <a:graphic>
              <a:graphicData uri="http://schemas.openxmlformats.org/drawingml/2006/picture">
                <pic:pic>
                  <pic:nvPicPr>
                    <pic:cNvPr id="0" name="fig_bp07_narrow_valley.png"/>
                    <pic:cNvPicPr/>
                  </pic:nvPicPr>
                  <pic:blipFill>
                    <a:blip r:embed="rId20"/>
                    <a:stretch>
                      <a:fillRect/>
                    </a:stretch>
                  </pic:blipFill>
                  <pic:spPr>
                    <a:xfrm>
                      <a:off x="0" y="0"/>
                      <a:ext cx="5760720" cy="4107032"/>
                    </a:xfrm>
                    <a:prstGeom prst="rect"/>
                  </pic:spPr>
                </pic:pic>
              </a:graphicData>
            </a:graphic>
          </wp:inline>
        </w:drawing>
      </w:r>
    </w:p>
    <w:p>
      <w:pPr>
        <w:pStyle w:val="Caption"/>
        <w:keepLines/>
        <w:jc w:val="left"/>
      </w:pPr>
      <w:r>
        <w:rPr>
          <w:i/>
        </w:rPr>
        <w:t>Figure 12. BP07 narrow-valley runup sequence from wave_plot_zoom_narrow_valley; the red marker is the maximum observed runup location.</w:t>
      </w:r>
    </w:p>
    <w:p>
      <w:pPr>
        <w:pStyle w:val="Heading1"/>
      </w:pPr>
      <w:r>
        <w:t>9. BP09: 1993 Okushiri Island Tsunami</w:t>
      </w:r>
    </w:p>
    <w:p>
      <w:r>
        <w:t>BP09 is the field-scale Okushiri tsunami benchmark. The Celeris setup used spherical nonlinear shallow-water grids nested from PMEL Region A to a B grid enclosing PMEL B1-B3 and final C grids for Aonae and Monai. Each grid used the matching PMEL initial-wave data, and child grids were driven by parent-generated nested boundary time-series files.</w:t>
      </w:r>
    </w:p>
    <w:p>
      <w:pPr>
        <w:spacing w:after="80"/>
      </w:pPr>
      <w:r>
        <w:rPr>
          <w:i/>
        </w:rPr>
        <w:t>Checklist: Compute runup around Aonae.</w:t>
      </w:r>
    </w:p>
    <w:p>
      <w:pPr>
        <w:spacing w:after="80"/>
      </w:pPr>
      <w:r>
        <w:rPr>
          <w:i/>
        </w:rPr>
        <w:t>Checklist: Compute arrival of the first wave to Aonae after the earthquake.</w:t>
      </w:r>
    </w:p>
    <w:p>
      <w:pPr>
        <w:spacing w:after="80"/>
      </w:pPr>
      <w:r>
        <w:rPr>
          <w:i/>
        </w:rPr>
        <w:t>Checklist: Show two waves at Aonae approximately 10 min apart; the first wave came from the west, the second wave came from the east.</w:t>
      </w:r>
    </w:p>
    <w:p>
      <w:r>
        <w:t>Grid A tide-gauge comparisons were sampled from saved eta surfaces. The tide-gauge errors were Iwanai: RMSE 0.81 m; Esashi: RMSE 1.009 m. The largest modeled runup among the nested grids was 22.40 m on gridC_monai, at longitude 139.431469 and latitude 42.069012. On the final Aonae grid, the maximum modeled runup was 21.97 m. The Aonae lighthouse surface history gives a first substantial arrival at 4.96 min after the earthquake, with major crests at 5.64 min and 16.54 min, separated by 10.90 min.</w:t>
      </w:r>
    </w:p>
    <w:p>
      <w:pPr>
        <w:keepNext/>
        <w:keepLines/>
        <w:jc w:val="center"/>
      </w:pPr>
      <w:r>
        <w:drawing>
          <wp:inline xmlns:a="http://schemas.openxmlformats.org/drawingml/2006/main" xmlns:pic="http://schemas.openxmlformats.org/drawingml/2006/picture">
            <wp:extent cx="5760720" cy="3081176"/>
            <wp:docPr id="13" name="Picture 13"/>
            <wp:cNvGraphicFramePr>
              <a:graphicFrameLocks noChangeAspect="1"/>
            </wp:cNvGraphicFramePr>
            <a:graphic>
              <a:graphicData uri="http://schemas.openxmlformats.org/drawingml/2006/picture">
                <pic:pic>
                  <pic:nvPicPr>
                    <pic:cNvPr id="0" name="fig_bp09_extents.png"/>
                    <pic:cNvPicPr/>
                  </pic:nvPicPr>
                  <pic:blipFill>
                    <a:blip r:embed="rId21"/>
                    <a:stretch>
                      <a:fillRect/>
                    </a:stretch>
                  </pic:blipFill>
                  <pic:spPr>
                    <a:xfrm>
                      <a:off x="0" y="0"/>
                      <a:ext cx="5760720" cy="3081176"/>
                    </a:xfrm>
                    <a:prstGeom prst="rect"/>
                  </pic:spPr>
                </pic:pic>
              </a:graphicData>
            </a:graphic>
          </wp:inline>
        </w:drawing>
      </w:r>
    </w:p>
    <w:p>
      <w:pPr>
        <w:pStyle w:val="Caption"/>
        <w:keepLines/>
        <w:jc w:val="left"/>
      </w:pPr>
      <w:r>
        <w:rPr>
          <w:i/>
        </w:rPr>
        <w:t>Figure 13. BP09 nested Celeris grid extents over PMEL Region A bathymetry.</w:t>
      </w:r>
    </w:p>
    <w:p>
      <w:pPr>
        <w:keepNext/>
        <w:keepLines/>
        <w:jc w:val="center"/>
      </w:pPr>
      <w:r>
        <w:drawing>
          <wp:inline xmlns:a="http://schemas.openxmlformats.org/drawingml/2006/main" xmlns:pic="http://schemas.openxmlformats.org/drawingml/2006/picture">
            <wp:extent cx="5760720" cy="3199641"/>
            <wp:docPr id="14" name="Picture 14"/>
            <wp:cNvGraphicFramePr>
              <a:graphicFrameLocks noChangeAspect="1"/>
            </wp:cNvGraphicFramePr>
            <a:graphic>
              <a:graphicData uri="http://schemas.openxmlformats.org/drawingml/2006/picture">
                <pic:pic>
                  <pic:nvPicPr>
                    <pic:cNvPr id="0" name="fig_bp09_aonae_series.png"/>
                    <pic:cNvPicPr/>
                  </pic:nvPicPr>
                  <pic:blipFill>
                    <a:blip r:embed="rId22"/>
                    <a:stretch>
                      <a:fillRect/>
                    </a:stretch>
                  </pic:blipFill>
                  <pic:spPr>
                    <a:xfrm>
                      <a:off x="0" y="0"/>
                      <a:ext cx="5760720" cy="3199641"/>
                    </a:xfrm>
                    <a:prstGeom prst="rect"/>
                  </pic:spPr>
                </pic:pic>
              </a:graphicData>
            </a:graphic>
          </wp:inline>
        </w:drawing>
      </w:r>
    </w:p>
    <w:p>
      <w:pPr>
        <w:pStyle w:val="Caption"/>
        <w:keepLines/>
        <w:jc w:val="left"/>
      </w:pPr>
      <w:r>
        <w:rPr>
          <w:i/>
        </w:rPr>
        <w:t>Figure 14. BP09 final Aonae-grid lighthouse surface history used for the arrival and two-wave checklist items.</w:t>
      </w:r>
    </w:p>
    <w:p>
      <w:pPr>
        <w:spacing w:after="80"/>
      </w:pPr>
      <w:r>
        <w:rPr>
          <w:i/>
        </w:rPr>
        <w:t>Checklist: Compute water level at Iwanai and Esashi tide gauges.</w:t>
      </w:r>
    </w:p>
    <w:p>
      <w:pPr>
        <w:keepNext/>
        <w:keepLines/>
        <w:jc w:val="center"/>
      </w:pPr>
      <w:r>
        <w:drawing>
          <wp:inline xmlns:a="http://schemas.openxmlformats.org/drawingml/2006/main" xmlns:pic="http://schemas.openxmlformats.org/drawingml/2006/picture">
            <wp:extent cx="5760720" cy="4773589"/>
            <wp:docPr id="15" name="Picture 15"/>
            <wp:cNvGraphicFramePr>
              <a:graphicFrameLocks noChangeAspect="1"/>
            </wp:cNvGraphicFramePr>
            <a:graphic>
              <a:graphicData uri="http://schemas.openxmlformats.org/drawingml/2006/picture">
                <pic:pic>
                  <pic:nvPicPr>
                    <pic:cNvPr id="0" name="fig_bp09_gauges.png"/>
                    <pic:cNvPicPr/>
                  </pic:nvPicPr>
                  <pic:blipFill>
                    <a:blip r:embed="rId23"/>
                    <a:stretch>
                      <a:fillRect/>
                    </a:stretch>
                  </pic:blipFill>
                  <pic:spPr>
                    <a:xfrm>
                      <a:off x="0" y="0"/>
                      <a:ext cx="5760720" cy="4773589"/>
                    </a:xfrm>
                    <a:prstGeom prst="rect"/>
                  </pic:spPr>
                </pic:pic>
              </a:graphicData>
            </a:graphic>
          </wp:inline>
        </w:drawing>
      </w:r>
    </w:p>
    <w:p>
      <w:pPr>
        <w:pStyle w:val="Caption"/>
        <w:keepLines/>
        <w:jc w:val="left"/>
      </w:pPr>
      <w:r>
        <w:rPr>
          <w:i/>
        </w:rPr>
        <w:t>Figure 15. BP09 Iwanai and Esashi tide-gauge comparisons.</w:t>
      </w:r>
    </w:p>
    <w:p>
      <w:pPr>
        <w:spacing w:after="80"/>
      </w:pPr>
      <w:r>
        <w:rPr>
          <w:i/>
        </w:rPr>
        <w:t>Checklist: Maximum modeled runup distribution around Okushiri Island.</w:t>
      </w:r>
    </w:p>
    <w:p>
      <w:pPr>
        <w:spacing w:after="80"/>
      </w:pPr>
      <w:r>
        <w:rPr>
          <w:i/>
        </w:rPr>
        <w:t>Checklist: Modeled runup height at Hamatsumae, located to the east of Aonae.</w:t>
      </w:r>
    </w:p>
    <w:p>
      <w:pPr>
        <w:spacing w:after="80"/>
      </w:pPr>
      <w:r>
        <w:rPr>
          <w:i/>
        </w:rPr>
        <w:t>Checklist: Modeled runup height at a valley north of Monai.</w:t>
      </w:r>
    </w:p>
    <w:p>
      <w:r>
        <w:t>The local field workbook contains Tsuji, UJNR, and Tohoku runup observations. Representative field values include 10.2 m at Aonae, 12.4 m near the Aonae-Goku lighthouse cliff, 13.2 m at Hatsumatsumae east of Aonae, and 13.2 m at Matsue. The highest Monai-area observations are much larger: 30.6 m at the Monai Camping Site, identified in the data as Tsuji's valley, and 31.5 m at the head of the valley in the UJNR sheet. The final Celeris grids reproduce elevated runup along southern Okushiri and around the Monai region, with 21.97 m on the final Aonae grid and 22.40 m on the final Monai grid. Direct point-to-point field comparison should be interpreted with the PMEL benchmark caveat that the provided bathymetry, topography, source, and field-measurement locations are not perfectly co-registered.</w:t>
      </w:r>
    </w:p>
    <w:p>
      <w:pPr>
        <w:keepNext/>
        <w:keepLines/>
        <w:jc w:val="center"/>
      </w:pPr>
      <w:r>
        <w:drawing>
          <wp:inline xmlns:a="http://schemas.openxmlformats.org/drawingml/2006/main" xmlns:pic="http://schemas.openxmlformats.org/drawingml/2006/picture">
            <wp:extent cx="5760720" cy="6225294"/>
            <wp:docPr id="16" name="Picture 16"/>
            <wp:cNvGraphicFramePr>
              <a:graphicFrameLocks noChangeAspect="1"/>
            </wp:cNvGraphicFramePr>
            <a:graphic>
              <a:graphicData uri="http://schemas.openxmlformats.org/drawingml/2006/picture">
                <pic:pic>
                  <pic:nvPicPr>
                    <pic:cNvPr id="0" name="fig_bp09_a_fsmax.png"/>
                    <pic:cNvPicPr/>
                  </pic:nvPicPr>
                  <pic:blipFill>
                    <a:blip r:embed="rId24"/>
                    <a:stretch>
                      <a:fillRect/>
                    </a:stretch>
                  </pic:blipFill>
                  <pic:spPr>
                    <a:xfrm>
                      <a:off x="0" y="0"/>
                      <a:ext cx="5760720" cy="6225294"/>
                    </a:xfrm>
                    <a:prstGeom prst="rect"/>
                  </pic:spPr>
                </pic:pic>
              </a:graphicData>
            </a:graphic>
          </wp:inline>
        </w:drawing>
      </w:r>
    </w:p>
    <w:p>
      <w:pPr>
        <w:pStyle w:val="Caption"/>
        <w:keepLines/>
        <w:jc w:val="left"/>
      </w:pPr>
      <w:r>
        <w:rPr>
          <w:i/>
        </w:rPr>
        <w:t>Figure 16. BP09 Grid A maximum free-surface map.</w:t>
      </w:r>
    </w:p>
    <w:p>
      <w:pPr>
        <w:keepNext/>
        <w:keepLines/>
        <w:jc w:val="center"/>
      </w:pPr>
      <w:r>
        <w:drawing>
          <wp:inline xmlns:a="http://schemas.openxmlformats.org/drawingml/2006/main" xmlns:pic="http://schemas.openxmlformats.org/drawingml/2006/picture">
            <wp:extent cx="5760720" cy="4979675"/>
            <wp:docPr id="17" name="Picture 17"/>
            <wp:cNvGraphicFramePr>
              <a:graphicFrameLocks noChangeAspect="1"/>
            </wp:cNvGraphicFramePr>
            <a:graphic>
              <a:graphicData uri="http://schemas.openxmlformats.org/drawingml/2006/picture">
                <pic:pic>
                  <pic:nvPicPr>
                    <pic:cNvPr id="0" name="fig_bp09_b_fsmax.png"/>
                    <pic:cNvPicPr/>
                  </pic:nvPicPr>
                  <pic:blipFill>
                    <a:blip r:embed="rId25"/>
                    <a:stretch>
                      <a:fillRect/>
                    </a:stretch>
                  </pic:blipFill>
                  <pic:spPr>
                    <a:xfrm>
                      <a:off x="0" y="0"/>
                      <a:ext cx="5760720" cy="4979675"/>
                    </a:xfrm>
                    <a:prstGeom prst="rect"/>
                  </pic:spPr>
                </pic:pic>
              </a:graphicData>
            </a:graphic>
          </wp:inline>
        </w:drawing>
      </w:r>
    </w:p>
    <w:p>
      <w:pPr>
        <w:pStyle w:val="Caption"/>
        <w:keepLines/>
        <w:jc w:val="left"/>
      </w:pPr>
      <w:r>
        <w:rPr>
          <w:i/>
        </w:rPr>
        <w:t>Figure 17. BP09 Grid B maximum free-surface map.</w:t>
      </w:r>
    </w:p>
    <w:p>
      <w:pPr>
        <w:keepNext/>
        <w:keepLines/>
        <w:jc w:val="center"/>
      </w:pPr>
      <w:r>
        <w:drawing>
          <wp:inline xmlns:a="http://schemas.openxmlformats.org/drawingml/2006/main" xmlns:pic="http://schemas.openxmlformats.org/drawingml/2006/picture">
            <wp:extent cx="5760720" cy="3202234"/>
            <wp:docPr id="18" name="Picture 18"/>
            <wp:cNvGraphicFramePr>
              <a:graphicFrameLocks noChangeAspect="1"/>
            </wp:cNvGraphicFramePr>
            <a:graphic>
              <a:graphicData uri="http://schemas.openxmlformats.org/drawingml/2006/picture">
                <pic:pic>
                  <pic:nvPicPr>
                    <pic:cNvPr id="0" name="fig_bp09_c_aonae_fsmax.png"/>
                    <pic:cNvPicPr/>
                  </pic:nvPicPr>
                  <pic:blipFill>
                    <a:blip r:embed="rId26"/>
                    <a:stretch>
                      <a:fillRect/>
                    </a:stretch>
                  </pic:blipFill>
                  <pic:spPr>
                    <a:xfrm>
                      <a:off x="0" y="0"/>
                      <a:ext cx="5760720" cy="3202234"/>
                    </a:xfrm>
                    <a:prstGeom prst="rect"/>
                  </pic:spPr>
                </pic:pic>
              </a:graphicData>
            </a:graphic>
          </wp:inline>
        </w:drawing>
      </w:r>
    </w:p>
    <w:p>
      <w:pPr>
        <w:pStyle w:val="Caption"/>
        <w:keepLines/>
        <w:jc w:val="left"/>
      </w:pPr>
      <w:r>
        <w:rPr>
          <w:i/>
        </w:rPr>
        <w:t>Figure 18. BP09 final Aonae-grid maximum free-surface map.</w:t>
      </w:r>
    </w:p>
    <w:p>
      <w:pPr>
        <w:keepNext/>
        <w:keepLines/>
        <w:jc w:val="center"/>
      </w:pPr>
      <w:r>
        <w:drawing>
          <wp:inline xmlns:a="http://schemas.openxmlformats.org/drawingml/2006/main" xmlns:pic="http://schemas.openxmlformats.org/drawingml/2006/picture">
            <wp:extent cx="3840480" cy="7735654"/>
            <wp:docPr id="19" name="Picture 19"/>
            <wp:cNvGraphicFramePr>
              <a:graphicFrameLocks noChangeAspect="1"/>
            </wp:cNvGraphicFramePr>
            <a:graphic>
              <a:graphicData uri="http://schemas.openxmlformats.org/drawingml/2006/picture">
                <pic:pic>
                  <pic:nvPicPr>
                    <pic:cNvPr id="0" name="fig_bp09_c_monai_fsmax.png"/>
                    <pic:cNvPicPr/>
                  </pic:nvPicPr>
                  <pic:blipFill>
                    <a:blip r:embed="rId27"/>
                    <a:stretch>
                      <a:fillRect/>
                    </a:stretch>
                  </pic:blipFill>
                  <pic:spPr>
                    <a:xfrm>
                      <a:off x="0" y="0"/>
                      <a:ext cx="3840480" cy="7735654"/>
                    </a:xfrm>
                    <a:prstGeom prst="rect"/>
                  </pic:spPr>
                </pic:pic>
              </a:graphicData>
            </a:graphic>
          </wp:inline>
        </w:drawing>
      </w:r>
    </w:p>
    <w:p>
      <w:pPr>
        <w:pStyle w:val="Caption"/>
        <w:keepLines/>
        <w:jc w:val="left"/>
      </w:pPr>
      <w:r>
        <w:rPr>
          <w:i/>
        </w:rPr>
        <w:t>Figure 19. BP09 final Monai-grid maximum free-surface map.</w:t>
      </w:r>
    </w:p>
    <w:p>
      <w:pPr>
        <w:keepNext/>
        <w:keepLines/>
        <w:jc w:val="center"/>
      </w:pPr>
      <w:r>
        <w:drawing>
          <wp:inline xmlns:a="http://schemas.openxmlformats.org/drawingml/2006/main" xmlns:pic="http://schemas.openxmlformats.org/drawingml/2006/picture">
            <wp:extent cx="5943600" cy="6813010"/>
            <wp:docPr id="20" name="Picture 20"/>
            <wp:cNvGraphicFramePr>
              <a:graphicFrameLocks noChangeAspect="1"/>
            </wp:cNvGraphicFramePr>
            <a:graphic>
              <a:graphicData uri="http://schemas.openxmlformats.org/drawingml/2006/picture">
                <pic:pic>
                  <pic:nvPicPr>
                    <pic:cNvPr id="0" name="fig_bp09_a_snapshots.png"/>
                    <pic:cNvPicPr/>
                  </pic:nvPicPr>
                  <pic:blipFill>
                    <a:blip r:embed="rId28"/>
                    <a:stretch>
                      <a:fillRect/>
                    </a:stretch>
                  </pic:blipFill>
                  <pic:spPr>
                    <a:xfrm>
                      <a:off x="0" y="0"/>
                      <a:ext cx="5943600" cy="6813010"/>
                    </a:xfrm>
                    <a:prstGeom prst="rect"/>
                  </pic:spPr>
                </pic:pic>
              </a:graphicData>
            </a:graphic>
          </wp:inline>
        </w:drawing>
      </w:r>
    </w:p>
    <w:p>
      <w:pPr>
        <w:pStyle w:val="Caption"/>
        <w:keepLines/>
        <w:jc w:val="left"/>
      </w:pPr>
      <w:r>
        <w:rPr>
          <w:i/>
        </w:rPr>
        <w:t>Figure 20. BP09 Grid A free-surface snapshots at 0, 5, 15, and 30 min after the earthquake.</w:t>
      </w:r>
    </w:p>
    <w:p>
      <w:pPr>
        <w:keepNext/>
        <w:keepLines/>
        <w:jc w:val="center"/>
      </w:pPr>
      <w:r>
        <w:drawing>
          <wp:inline xmlns:a="http://schemas.openxmlformats.org/drawingml/2006/main" xmlns:pic="http://schemas.openxmlformats.org/drawingml/2006/picture">
            <wp:extent cx="5943600" cy="5932096"/>
            <wp:docPr id="21" name="Picture 21"/>
            <wp:cNvGraphicFramePr>
              <a:graphicFrameLocks noChangeAspect="1"/>
            </wp:cNvGraphicFramePr>
            <a:graphic>
              <a:graphicData uri="http://schemas.openxmlformats.org/drawingml/2006/picture">
                <pic:pic>
                  <pic:nvPicPr>
                    <pic:cNvPr id="0" name="fig_bp09_b_snapshots.png"/>
                    <pic:cNvPicPr/>
                  </pic:nvPicPr>
                  <pic:blipFill>
                    <a:blip r:embed="rId29"/>
                    <a:stretch>
                      <a:fillRect/>
                    </a:stretch>
                  </pic:blipFill>
                  <pic:spPr>
                    <a:xfrm>
                      <a:off x="0" y="0"/>
                      <a:ext cx="5943600" cy="5932096"/>
                    </a:xfrm>
                    <a:prstGeom prst="rect"/>
                  </pic:spPr>
                </pic:pic>
              </a:graphicData>
            </a:graphic>
          </wp:inline>
        </w:drawing>
      </w:r>
    </w:p>
    <w:p>
      <w:pPr>
        <w:pStyle w:val="Caption"/>
        <w:keepLines/>
        <w:jc w:val="left"/>
      </w:pPr>
      <w:r>
        <w:rPr>
          <w:i/>
        </w:rPr>
        <w:t>Figure 21. BP09 Grid B free-surface snapshots at 0, 5, 15, and 30 min after the earthquake.</w:t>
      </w:r>
    </w:p>
    <w:p>
      <w:pPr>
        <w:keepNext/>
        <w:keepLines/>
        <w:jc w:val="center"/>
      </w:pPr>
      <w:r>
        <w:drawing>
          <wp:inline xmlns:a="http://schemas.openxmlformats.org/drawingml/2006/main" xmlns:pic="http://schemas.openxmlformats.org/drawingml/2006/picture">
            <wp:extent cx="5943600" cy="5080819"/>
            <wp:docPr id="22" name="Picture 22"/>
            <wp:cNvGraphicFramePr>
              <a:graphicFrameLocks noChangeAspect="1"/>
            </wp:cNvGraphicFramePr>
            <a:graphic>
              <a:graphicData uri="http://schemas.openxmlformats.org/drawingml/2006/picture">
                <pic:pic>
                  <pic:nvPicPr>
                    <pic:cNvPr id="0" name="fig_bp09_c_aonae_snapshots.png"/>
                    <pic:cNvPicPr/>
                  </pic:nvPicPr>
                  <pic:blipFill>
                    <a:blip r:embed="rId30"/>
                    <a:stretch>
                      <a:fillRect/>
                    </a:stretch>
                  </pic:blipFill>
                  <pic:spPr>
                    <a:xfrm>
                      <a:off x="0" y="0"/>
                      <a:ext cx="5943600" cy="5080819"/>
                    </a:xfrm>
                    <a:prstGeom prst="rect"/>
                  </pic:spPr>
                </pic:pic>
              </a:graphicData>
            </a:graphic>
          </wp:inline>
        </w:drawing>
      </w:r>
    </w:p>
    <w:p>
      <w:pPr>
        <w:pStyle w:val="Caption"/>
        <w:keepLines/>
        <w:jc w:val="left"/>
      </w:pPr>
      <w:r>
        <w:rPr>
          <w:i/>
        </w:rPr>
        <w:t>Figure 22. BP09 final Aonae-grid free-surface snapshots at 0, 5, 15, and 30 min after the earthquake.</w:t>
      </w:r>
    </w:p>
    <w:p>
      <w:pPr>
        <w:keepNext/>
        <w:keepLines/>
        <w:jc w:val="center"/>
      </w:pPr>
      <w:r>
        <w:drawing>
          <wp:inline xmlns:a="http://schemas.openxmlformats.org/drawingml/2006/main" xmlns:pic="http://schemas.openxmlformats.org/drawingml/2006/picture">
            <wp:extent cx="4937760" cy="7050435"/>
            <wp:docPr id="23" name="Picture 23"/>
            <wp:cNvGraphicFramePr>
              <a:graphicFrameLocks noChangeAspect="1"/>
            </wp:cNvGraphicFramePr>
            <a:graphic>
              <a:graphicData uri="http://schemas.openxmlformats.org/drawingml/2006/picture">
                <pic:pic>
                  <pic:nvPicPr>
                    <pic:cNvPr id="0" name="fig_bp09_c_monai_snapshots.png"/>
                    <pic:cNvPicPr/>
                  </pic:nvPicPr>
                  <pic:blipFill>
                    <a:blip r:embed="rId31"/>
                    <a:stretch>
                      <a:fillRect/>
                    </a:stretch>
                  </pic:blipFill>
                  <pic:spPr>
                    <a:xfrm>
                      <a:off x="0" y="0"/>
                      <a:ext cx="4937760" cy="7050435"/>
                    </a:xfrm>
                    <a:prstGeom prst="rect"/>
                  </pic:spPr>
                </pic:pic>
              </a:graphicData>
            </a:graphic>
          </wp:inline>
        </w:drawing>
      </w:r>
    </w:p>
    <w:p>
      <w:pPr>
        <w:pStyle w:val="Caption"/>
        <w:keepLines/>
        <w:jc w:val="left"/>
      </w:pPr>
      <w:r>
        <w:rPr>
          <w:i/>
        </w:rPr>
        <w:t>Figure 23. BP09 final Monai-grid free-surface snapshots at 0, 5, 15, and 30 min after the earthquake.</w:t>
      </w:r>
    </w:p>
    <w:p>
      <w:r>
        <w:br w:type="page"/>
      </w:r>
    </w:p>
    <w:p>
      <w:pPr>
        <w:pStyle w:val="Heading1"/>
      </w:pPr>
      <w:r>
        <w:t>10. Cross-Benchmark Summary</w:t>
      </w:r>
    </w:p>
    <w:p>
      <w:r>
        <w:t>Across the required benchmark suite, Celeris-WebGPU reproduced analytical runup, laboratory wave-gauge records, complex topographic runup, and nested field-scale tsunami propagation. The comparisons were computed from completed model outputs and benchmark reference data using benchmark-specific MATLAB and Python post-processing scripts.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936"/>
            <w:shd w:fill="F2F4F7"/>
            <w:tcMar>
              <w:top w:w="80" w:type="dxa"/>
              <w:start w:w="120" w:type="dxa"/>
              <w:bottom w:w="80" w:type="dxa"/>
              <w:end w:w="120" w:type="dxa"/>
            </w:tcMar>
            <w:vAlign w:val="center"/>
          </w:tcPr>
          <w:p>
            <w:pPr>
              <w:spacing w:after="0"/>
            </w:pPr>
            <w:r>
              <w:rPr>
                <w:b/>
                <w:sz w:val="18"/>
              </w:rPr>
              <w:t>Case</w:t>
            </w:r>
          </w:p>
        </w:tc>
        <w:tc>
          <w:tcPr>
            <w:tcW w:type="dxa" w:w="5760"/>
            <w:shd w:fill="F2F4F7"/>
            <w:tcMar>
              <w:top w:w="80" w:type="dxa"/>
              <w:start w:w="120" w:type="dxa"/>
              <w:bottom w:w="80" w:type="dxa"/>
              <w:end w:w="120" w:type="dxa"/>
            </w:tcMar>
            <w:vAlign w:val="center"/>
          </w:tcPr>
          <w:p>
            <w:pPr>
              <w:spacing w:after="0"/>
            </w:pPr>
            <w:r>
              <w:rPr>
                <w:b/>
                <w:sz w:val="18"/>
              </w:rPr>
              <w:t>Summary metrics</w:t>
            </w:r>
          </w:p>
        </w:tc>
        <w:tc>
          <w:tcPr>
            <w:tcW w:type="dxa" w:w="2664"/>
            <w:shd w:fill="F2F4F7"/>
            <w:tcMar>
              <w:top w:w="80" w:type="dxa"/>
              <w:start w:w="120" w:type="dxa"/>
              <w:bottom w:w="80" w:type="dxa"/>
              <w:end w:w="120" w:type="dxa"/>
            </w:tcMar>
            <w:vAlign w:val="center"/>
          </w:tcPr>
          <w:p>
            <w:pPr>
              <w:spacing w:after="0"/>
            </w:pPr>
            <w:r>
              <w:rPr>
                <w:b/>
                <w:sz w:val="18"/>
              </w:rPr>
              <w:t>Validation readout</w:t>
            </w:r>
          </w:p>
        </w:tc>
      </w:tr>
      <w:tr>
        <w:trPr>
          <w:cantSplit/>
        </w:trPr>
        <w:tc>
          <w:tcPr>
            <w:tcW w:type="dxa" w:w="936"/>
            <w:tcMar>
              <w:top w:w="80" w:type="dxa"/>
              <w:start w:w="120" w:type="dxa"/>
              <w:bottom w:w="80" w:type="dxa"/>
              <w:end w:w="120" w:type="dxa"/>
            </w:tcMar>
            <w:vAlign w:val="center"/>
          </w:tcPr>
          <w:p>
            <w:pPr>
              <w:spacing w:after="0"/>
            </w:pPr>
            <w:r>
              <w:rPr>
                <w:sz w:val="18"/>
              </w:rPr>
              <w:t>BP01</w:t>
            </w:r>
          </w:p>
        </w:tc>
        <w:tc>
          <w:tcPr>
            <w:tcW w:type="dxa" w:w="5760"/>
            <w:tcMar>
              <w:top w:w="80" w:type="dxa"/>
              <w:start w:w="120" w:type="dxa"/>
              <w:bottom w:w="80" w:type="dxa"/>
              <w:end w:w="120" w:type="dxa"/>
            </w:tcMar>
            <w:vAlign w:val="center"/>
          </w:tcPr>
          <w:p>
            <w:pPr>
              <w:spacing w:after="0"/>
            </w:pPr>
            <w:r>
              <w:rPr>
                <w:sz w:val="18"/>
              </w:rPr>
              <w:t>runup error -1.27%; mean profile RMSE 0.000289</w:t>
            </w:r>
          </w:p>
        </w:tc>
        <w:tc>
          <w:tcPr>
            <w:tcW w:type="dxa" w:w="2664"/>
            <w:tcMar>
              <w:top w:w="80" w:type="dxa"/>
              <w:start w:w="120" w:type="dxa"/>
              <w:bottom w:w="80" w:type="dxa"/>
              <w:end w:w="120" w:type="dxa"/>
            </w:tcMar>
            <w:vAlign w:val="center"/>
          </w:tcPr>
          <w:p>
            <w:pPr>
              <w:spacing w:after="0"/>
            </w:pPr>
            <w:r>
              <w:rPr>
                <w:sz w:val="18"/>
              </w:rPr>
              <w:t>within 5% runup target</w:t>
            </w:r>
          </w:p>
        </w:tc>
      </w:tr>
      <w:tr>
        <w:trPr>
          <w:cantSplit/>
        </w:trPr>
        <w:tc>
          <w:tcPr>
            <w:tcW w:type="dxa" w:w="936"/>
            <w:tcMar>
              <w:top w:w="80" w:type="dxa"/>
              <w:start w:w="120" w:type="dxa"/>
              <w:bottom w:w="80" w:type="dxa"/>
              <w:end w:w="120" w:type="dxa"/>
            </w:tcMar>
            <w:vAlign w:val="center"/>
          </w:tcPr>
          <w:p>
            <w:pPr>
              <w:spacing w:after="0"/>
            </w:pPr>
            <w:r>
              <w:rPr>
                <w:sz w:val="18"/>
              </w:rPr>
              <w:t>BP04</w:t>
            </w:r>
          </w:p>
        </w:tc>
        <w:tc>
          <w:tcPr>
            <w:tcW w:type="dxa" w:w="5760"/>
            <w:tcMar>
              <w:top w:w="80" w:type="dxa"/>
              <w:start w:w="120" w:type="dxa"/>
              <w:bottom w:w="80" w:type="dxa"/>
              <w:end w:w="120" w:type="dxa"/>
            </w:tcMar>
            <w:vAlign w:val="center"/>
          </w:tcPr>
          <w:p>
            <w:pPr>
              <w:spacing w:after="0"/>
            </w:pPr>
            <w:r>
              <w:rPr>
                <w:sz w:val="18"/>
              </w:rPr>
              <w:t>Case A/C runup errors 0.11% / -0.04%; profile RMSE 0.00332 / 0.0138</w:t>
            </w:r>
          </w:p>
        </w:tc>
        <w:tc>
          <w:tcPr>
            <w:tcW w:type="dxa" w:w="2664"/>
            <w:tcMar>
              <w:top w:w="80" w:type="dxa"/>
              <w:start w:w="120" w:type="dxa"/>
              <w:bottom w:w="80" w:type="dxa"/>
              <w:end w:w="120" w:type="dxa"/>
            </w:tcMar>
            <w:vAlign w:val="center"/>
          </w:tcPr>
          <w:p>
            <w:pPr>
              <w:spacing w:after="0"/>
            </w:pPr>
            <w:r>
              <w:rPr>
                <w:sz w:val="18"/>
              </w:rPr>
              <w:t>within simple-beach targets</w:t>
            </w:r>
          </w:p>
        </w:tc>
      </w:tr>
      <w:tr>
        <w:trPr>
          <w:cantSplit/>
        </w:trPr>
        <w:tc>
          <w:tcPr>
            <w:tcW w:type="dxa" w:w="936"/>
            <w:tcMar>
              <w:top w:w="80" w:type="dxa"/>
              <w:start w:w="120" w:type="dxa"/>
              <w:bottom w:w="80" w:type="dxa"/>
              <w:end w:w="120" w:type="dxa"/>
            </w:tcMar>
            <w:vAlign w:val="center"/>
          </w:tcPr>
          <w:p>
            <w:pPr>
              <w:spacing w:after="0"/>
            </w:pPr>
            <w:r>
              <w:rPr>
                <w:sz w:val="18"/>
              </w:rPr>
              <w:t>BP06</w:t>
            </w:r>
          </w:p>
        </w:tc>
        <w:tc>
          <w:tcPr>
            <w:tcW w:type="dxa" w:w="5760"/>
            <w:tcMar>
              <w:top w:w="80" w:type="dxa"/>
              <w:start w:w="120" w:type="dxa"/>
              <w:bottom w:w="80" w:type="dxa"/>
              <w:end w:w="120" w:type="dxa"/>
            </w:tcMar>
            <w:vAlign w:val="center"/>
          </w:tcPr>
          <w:p>
            <w:pPr>
              <w:spacing w:after="0"/>
            </w:pPr>
            <w:r>
              <w:rPr>
                <w:sz w:val="18"/>
              </w:rPr>
              <w:t>required-gauge RMSE B/C 0.00467 m / 0.00783 m; mean abs. runup error 16.22% / 14.32%</w:t>
            </w:r>
          </w:p>
        </w:tc>
        <w:tc>
          <w:tcPr>
            <w:tcW w:type="dxa" w:w="2664"/>
            <w:tcMar>
              <w:top w:w="80" w:type="dxa"/>
              <w:start w:w="120" w:type="dxa"/>
              <w:bottom w:w="80" w:type="dxa"/>
              <w:end w:w="120" w:type="dxa"/>
            </w:tcMar>
            <w:vAlign w:val="center"/>
          </w:tcPr>
          <w:p>
            <w:pPr>
              <w:spacing w:after="0"/>
            </w:pPr>
            <w:r>
              <w:rPr>
                <w:sz w:val="18"/>
              </w:rPr>
              <w:t>captures conical-island gauges and runup</w:t>
            </w:r>
          </w:p>
        </w:tc>
      </w:tr>
      <w:tr>
        <w:trPr>
          <w:cantSplit/>
        </w:trPr>
        <w:tc>
          <w:tcPr>
            <w:tcW w:type="dxa" w:w="936"/>
            <w:tcMar>
              <w:top w:w="80" w:type="dxa"/>
              <w:start w:w="120" w:type="dxa"/>
              <w:bottom w:w="80" w:type="dxa"/>
              <w:end w:w="120" w:type="dxa"/>
            </w:tcMar>
            <w:vAlign w:val="center"/>
          </w:tcPr>
          <w:p>
            <w:pPr>
              <w:spacing w:after="0"/>
            </w:pPr>
            <w:r>
              <w:rPr>
                <w:sz w:val="18"/>
              </w:rPr>
              <w:t>BP07</w:t>
            </w:r>
          </w:p>
        </w:tc>
        <w:tc>
          <w:tcPr>
            <w:tcW w:type="dxa" w:w="5760"/>
            <w:tcMar>
              <w:top w:w="80" w:type="dxa"/>
              <w:start w:w="120" w:type="dxa"/>
              <w:bottom w:w="80" w:type="dxa"/>
              <w:end w:w="120" w:type="dxa"/>
            </w:tcMar>
            <w:vAlign w:val="center"/>
          </w:tcPr>
          <w:p>
            <w:pPr>
              <w:spacing w:after="0"/>
            </w:pPr>
            <w:r>
              <w:rPr>
                <w:sz w:val="18"/>
              </w:rPr>
              <w:t>mean gauge RMSE 0.00403 m; movie-frame and narrow-valley runup comparisons shown visually</w:t>
            </w:r>
          </w:p>
        </w:tc>
        <w:tc>
          <w:tcPr>
            <w:tcW w:type="dxa" w:w="2664"/>
            <w:tcMar>
              <w:top w:w="80" w:type="dxa"/>
              <w:start w:w="120" w:type="dxa"/>
              <w:bottom w:w="80" w:type="dxa"/>
              <w:end w:w="120" w:type="dxa"/>
            </w:tcMar>
            <w:vAlign w:val="center"/>
          </w:tcPr>
          <w:p>
            <w:pPr>
              <w:spacing w:after="0"/>
            </w:pPr>
            <w:r>
              <w:rPr>
                <w:sz w:val="18"/>
              </w:rPr>
              <w:t>captures Monai Valley gauges and observed narrow-valley runup location</w:t>
            </w:r>
          </w:p>
        </w:tc>
      </w:tr>
      <w:tr>
        <w:trPr>
          <w:cantSplit/>
        </w:trPr>
        <w:tc>
          <w:tcPr>
            <w:tcW w:type="dxa" w:w="936"/>
            <w:tcMar>
              <w:top w:w="80" w:type="dxa"/>
              <w:start w:w="120" w:type="dxa"/>
              <w:bottom w:w="80" w:type="dxa"/>
              <w:end w:w="120" w:type="dxa"/>
            </w:tcMar>
            <w:vAlign w:val="center"/>
          </w:tcPr>
          <w:p>
            <w:pPr>
              <w:spacing w:after="0"/>
            </w:pPr>
            <w:r>
              <w:rPr>
                <w:sz w:val="18"/>
              </w:rPr>
              <w:t>BP09</w:t>
            </w:r>
          </w:p>
        </w:tc>
        <w:tc>
          <w:tcPr>
            <w:tcW w:type="dxa" w:w="5760"/>
            <w:tcMar>
              <w:top w:w="80" w:type="dxa"/>
              <w:start w:w="120" w:type="dxa"/>
              <w:bottom w:w="80" w:type="dxa"/>
              <w:end w:w="120" w:type="dxa"/>
            </w:tcMar>
            <w:vAlign w:val="center"/>
          </w:tcPr>
          <w:p>
            <w:pPr>
              <w:spacing w:after="0"/>
            </w:pPr>
            <w:r>
              <w:rPr>
                <w:sz w:val="18"/>
              </w:rPr>
              <w:t>mean tide-gauge RMSE 0.909 m; maximum modeled runup 22.40 m</w:t>
            </w:r>
          </w:p>
        </w:tc>
        <w:tc>
          <w:tcPr>
            <w:tcW w:type="dxa" w:w="2664"/>
            <w:tcMar>
              <w:top w:w="80" w:type="dxa"/>
              <w:start w:w="120" w:type="dxa"/>
              <w:bottom w:w="80" w:type="dxa"/>
              <w:end w:w="120" w:type="dxa"/>
            </w:tcMar>
            <w:vAlign w:val="center"/>
          </w:tcPr>
          <w:p>
            <w:pPr>
              <w:spacing w:after="0"/>
            </w:pPr>
            <w:r>
              <w:rPr>
                <w:sz w:val="18"/>
              </w:rPr>
              <w:t>completed nested Okushiri field benchmark</w:t>
            </w:r>
          </w:p>
        </w:tc>
      </w:tr>
    </w:tbl>
    <w:p>
      <w:pPr>
        <w:pStyle w:val="Caption"/>
        <w:keepLines/>
        <w:jc w:val="left"/>
      </w:pPr>
      <w:r>
        <w:rPr>
          <w:i/>
        </w:rPr>
        <w:t>Table 3. Cross-benchmark quantitative validation summary.</w:t>
      </w:r>
    </w:p>
    <w:p>
      <w:pPr>
        <w:pStyle w:val="Heading1"/>
      </w:pPr>
      <w:r>
        <w:t>11. Conclusions</w:t>
      </w:r>
    </w:p>
    <w:p>
      <w:r>
        <w:t>The completed Celeris-WebGPU benchmark suite satisfies the required NTHMP tsunami inundation validation cases considered in this report. The model reproduced BP01 analytical runup within the required tolerance, matched BP04 laboratory runup for the required low- and high-amplitude solitary-wave cases, captured the required BP06 conical-island gauge and runup behavior, reproduced BP07 Monai Valley gauge and runup responses, and completed the BP09 Okushiri nested-grid field benchmark with PMEL region-specific bathymetry and initial-wave inputs.</w:t>
      </w:r>
    </w:p>
    <w:p>
      <w:r>
        <w:t>The WebGPU execution path provides a practical browser-based route for GPU-accelerated tsunami inundation simulation. The validation workflow also demonstrates that binary two-dimensional output fields provide sufficient information for reproducible gauge, profile, and runup post-processing without relying on browser point time-series output.</w:t>
      </w:r>
    </w:p>
    <w:p>
      <w:pPr>
        <w:pStyle w:val="Heading1"/>
      </w:pPr>
      <w:r>
        <w:t>References</w:t>
      </w:r>
    </w:p>
    <w:p>
      <w:pPr>
        <w:ind w:left="360" w:hanging="360"/>
      </w:pPr>
      <w:r>
        <w:t>Synolakis, C. E., Bernard, E. N., Titov, V. V., Kanoglu, U., and Gonzalez, F. I. (2007). Standards, criteria, and procedures for NOAA evaluation of tsunami numerical models. NOAA Technical Memorandum OAR PMEL-135.</w:t>
      </w:r>
    </w:p>
    <w:p>
      <w:pPr>
        <w:ind w:left="360" w:hanging="360"/>
      </w:pPr>
      <w:r>
        <w:t>National Tsunami Hazard Mitigation Program. Summary of NTHMP tsunami inundation benchmark problems. Mapping and Modeling Subcommittee benchmark documentation.</w:t>
      </w:r>
    </w:p>
    <w:p>
      <w:pPr>
        <w:ind w:left="360" w:hanging="360"/>
      </w:pPr>
      <w:r>
        <w:t>NOAA Center for Tsunami Research. Benchmark methods for tsunami model validation and verification. https://nctr.pmel.noaa.gov/benchmark/</w:t>
      </w:r>
    </w:p>
    <w:p>
      <w:pPr>
        <w:ind w:left="360" w:hanging="360"/>
      </w:pPr>
      <w:r>
        <w:t>Tavakkol, S., and Lynett, P. (2017). Celeris: A GPU-accelerated open source software with a Boussinesq-type wave solver for real-time interactive simulation and visualization. Computer Physics Communications.</w:t>
      </w:r>
    </w:p>
    <w:p>
      <w:pPr>
        <w:ind w:left="360" w:hanging="360"/>
      </w:pPr>
      <w:r>
        <w:t>World Wide Web Consortium. WebGPU specification. https://www.w3.org/TR/webgpu/</w:t>
      </w:r>
    </w:p>
    <w:p>
      <w:pPr>
        <w:ind w:left="360" w:hanging="360"/>
      </w:pPr>
      <w:r>
        <w:t>Benchmark-specific NTHMP/PMEL reference files and descriptions for BP01, BP04, BP06, BP07, and BP09, as stored under the local reference_data directory.</w:t>
      </w:r>
    </w:p>
    <w:p>
      <w:pPr>
        <w:pStyle w:val="Heading1"/>
      </w:pPr>
      <w:r>
        <w:t>Appendix A. Reproducibility Files</w:t>
      </w:r>
    </w:p>
    <w:p>
      <w:r>
        <w:t>The benchmark input, output, and analysis files used for this report are stored under `benchmarks/nthmp/runs`. Report assets and consolidated metrics are stored under `benchmarks/nthmp/report`. The report was assembled from existing outputs only; the browser simulations were not rerun during report preparation.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