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866900" cy="581025"/>
            <wp:effectExtent t="0" r="0" b="0" l="0"/>
            <wp:docPr id="1" name="AgroM" descr="Logo AgroM" title="Ag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66900" cy="581025"/>
                    </a:xfrm>
                    <a:prstGeom prst="rect">
                      <a:avLst/>
                    </a:prstGeom>
                  </pic:spPr>
                </pic:pic>
              </a:graphicData>
            </a:graphic>
          </wp:inline>
        </w:drawing>
      </w:r>
    </w:p>
    <w:p>
      <w:pPr>
        <w:spacing w:after="40"/>
      </w:pPr>
      <w:r>
        <w:rPr>
          <w:rFonts w:ascii="Arial" w:cs="Arial" w:eastAsia="Arial" w:hAnsi="Arial"/>
          <w:color w:val="6B6B5C"/>
          <w:spacing w:val="30"/>
          <w:sz w:val="16"/>
          <w:szCs w:val="16"/>
        </w:rPr>
        <w:t xml:space="preserve">INTELIGENCIA AGRARIA APLICADA</w:t>
      </w:r>
    </w:p>
    <w:p>
      <w:pPr>
        <w:spacing w:after="60"/>
      </w:pPr>
      <w:r>
        <w:rPr>
          <w:rFonts w:ascii="Georgia" w:cs="Georgia" w:eastAsia="Georgia" w:hAnsi="Georgia"/>
          <w:b/>
          <w:bCs/>
          <w:color w:val="1B4332"/>
          <w:sz w:val="38"/>
          <w:szCs w:val="38"/>
        </w:rPr>
        <w:t xml:space="preserve">Motor predictivo de cosecha de olivar</w:t>
      </w:r>
    </w:p>
    <w:p>
      <w:pPr>
        <w:pBdr>
          <w:bottom w:val="single" w:color="C9A876" w:sz="6" w:space="6"/>
        </w:pBdr>
        <w:spacing w:after="160"/>
      </w:pPr>
      <w:r>
        <w:rPr>
          <w:rFonts w:ascii="Georgia" w:cs="Georgia" w:eastAsia="Georgia" w:hAnsi="Georgia"/>
          <w:i/>
          <w:iCs/>
          <w:color w:val="6B6B5C"/>
          <w:sz w:val="22"/>
          <w:szCs w:val="22"/>
        </w:rPr>
        <w:t xml:space="preserve">Informe técnico y plan de trabajo · Estudio de viabilidad (Fase 0)</w:t>
      </w:r>
    </w:p>
    <w:p>
      <w:pPr>
        <w:spacing w:after="140" w:line="276"/>
      </w:pPr>
      <w:r>
        <w:rPr>
          <w:rFonts w:ascii="Arial" w:cs="Arial" w:eastAsia="Arial" w:hAnsi="Arial"/>
          <w:i/>
          <w:iCs/>
          <w:color w:val="6B6B5C"/>
          <w:sz w:val="22"/>
          <w:szCs w:val="22"/>
        </w:rPr>
        <w:t xml:space="preserve">Documento de trabajo. Su contenido es un supuesto a confirmar —o descartar— con dato real; no describe un producto cerrado.</w:t>
      </w:r>
    </w:p>
    <w:p>
      <w:pPr>
        <w:pStyle w:val="Heading1"/>
      </w:pPr>
      <w:r>
        <w:t xml:space="preserve">1 · Contexto y objetivo</w:t>
      </w:r>
    </w:p>
    <w:p>
      <w:pPr>
        <w:spacing w:after="140" w:line="276"/>
      </w:pPr>
      <w:r>
        <w:rPr>
          <w:rFonts w:ascii="Arial" w:cs="Arial" w:eastAsia="Arial" w:hAnsi="Arial"/>
          <w:color w:val="0F2A22"/>
          <w:sz w:val="22"/>
          <w:szCs w:val="22"/>
        </w:rPr>
        <w:t xml:space="preserve">El momento de recogida condiciona el resultado de la campaña de olivar. A escala de varios miles de hectáreas, optimizar esa decisión parcela a parcela no es viable a ojo.</w:t>
      </w:r>
    </w:p>
    <w:p>
      <w:pPr>
        <w:spacing w:after="140" w:line="276"/>
      </w:pPr>
      <w:r>
        <w:rPr>
          <w:rFonts w:ascii="Arial" w:cs="Arial" w:eastAsia="Arial" w:hAnsi="Arial"/>
          <w:color w:val="0F2A22"/>
          <w:sz w:val="22"/>
          <w:szCs w:val="22"/>
        </w:rPr>
        <w:t xml:space="preserve">Este estudio evalúa la viabilidad técnica de un motor predictivo que anticipe dos cosas: el momento óptimo de cosecha y el rendimiento de la campaña, para optimizar la planificación de la recogida.</w:t>
      </w:r>
    </w:p>
    <w:p>
      <w:pPr>
        <w:pStyle w:val="Heading1"/>
      </w:pPr>
      <w:r>
        <w:t xml:space="preserve">2 · Informe técnico (resumen)</w:t>
      </w:r>
    </w:p>
    <w:p>
      <w:pPr>
        <w:pStyle w:val="Heading2"/>
      </w:pPr>
      <w:r>
        <w:t xml:space="preserve">2.1 · Punto de partida</w:t>
      </w:r>
    </w:p>
    <w:p>
      <w:pPr>
        <w:spacing w:after="140" w:line="276"/>
      </w:pPr>
      <w:r>
        <w:rPr>
          <w:rFonts w:ascii="Arial" w:cs="Arial" w:eastAsia="Arial" w:hAnsi="Arial"/>
          <w:color w:val="0F2A22"/>
          <w:sz w:val="22"/>
          <w:szCs w:val="22"/>
        </w:rPr>
        <w:t xml:space="preserve">AgroM opera hoy sistemas de inteligencia agraria aplicada (monitorización del estado del cultivo). El motor predictivo es un desarrollo nuevo que evoluciona esa base — una capacidad distinta de la monitorización.</w:t>
      </w:r>
    </w:p>
    <w:p>
      <w:pPr>
        <w:pStyle w:val="Heading2"/>
      </w:pPr>
      <w:r>
        <w:t xml:space="preserve">2.2 · Capas de datos</w:t>
      </w:r>
    </w:p>
    <w:p>
      <w:pPr>
        <w:pStyle w:val="ListParagraph"/>
        <w:numPr>
          <w:ilvl w:val="0"/>
          <w:numId w:val="2"/>
        </w:numPr>
        <w:spacing w:after="80" w:line="264"/>
      </w:pPr>
      <w:r>
        <w:rPr>
          <w:rFonts w:ascii="Arial" w:cs="Arial" w:eastAsia="Arial" w:hAnsi="Arial"/>
          <w:b/>
          <w:bCs/>
          <w:color w:val="1B4332"/>
          <w:sz w:val="22"/>
          <w:szCs w:val="22"/>
        </w:rPr>
        <w:t xml:space="preserve">Satélite (Sentinel-2, datos abiertos) — </w:t>
      </w:r>
      <w:r>
        <w:rPr>
          <w:rFonts w:ascii="Arial" w:cs="Arial" w:eastAsia="Arial" w:hAnsi="Arial"/>
          <w:color w:val="0F2A22"/>
          <w:sz w:val="22"/>
          <w:szCs w:val="22"/>
        </w:rPr>
        <w:t xml:space="preserve">vigor y maduración del cultivo.</w:t>
      </w:r>
    </w:p>
    <w:p>
      <w:pPr>
        <w:pStyle w:val="ListParagraph"/>
        <w:numPr>
          <w:ilvl w:val="0"/>
          <w:numId w:val="2"/>
        </w:numPr>
        <w:spacing w:after="80" w:line="264"/>
      </w:pPr>
      <w:r>
        <w:rPr>
          <w:rFonts w:ascii="Arial" w:cs="Arial" w:eastAsia="Arial" w:hAnsi="Arial"/>
          <w:b/>
          <w:bCs/>
          <w:color w:val="1B4332"/>
          <w:sz w:val="22"/>
          <w:szCs w:val="22"/>
        </w:rPr>
        <w:t xml:space="preserve">Clima — </w:t>
      </w:r>
      <w:r>
        <w:rPr>
          <w:rFonts w:ascii="Arial" w:cs="Arial" w:eastAsia="Arial" w:hAnsi="Arial"/>
          <w:color w:val="0F2A22"/>
          <w:sz w:val="22"/>
          <w:szCs w:val="22"/>
        </w:rPr>
        <w:t xml:space="preserve">acumulación térmica y disponibilidad de agua.</w:t>
      </w:r>
    </w:p>
    <w:p>
      <w:pPr>
        <w:pStyle w:val="ListParagraph"/>
        <w:numPr>
          <w:ilvl w:val="0"/>
          <w:numId w:val="2"/>
        </w:numPr>
        <w:spacing w:after="80" w:line="264"/>
      </w:pPr>
      <w:r>
        <w:rPr>
          <w:rFonts w:ascii="Arial" w:cs="Arial" w:eastAsia="Arial" w:hAnsi="Arial"/>
          <w:b/>
          <w:bCs/>
          <w:color w:val="1B4332"/>
          <w:sz w:val="22"/>
          <w:szCs w:val="22"/>
        </w:rPr>
        <w:t xml:space="preserve">Campo (dron) — </w:t>
      </w:r>
      <w:r>
        <w:rPr>
          <w:rFonts w:ascii="Arial" w:cs="Arial" w:eastAsia="Arial" w:hAnsi="Arial"/>
          <w:color w:val="0F2A22"/>
          <w:sz w:val="22"/>
          <w:szCs w:val="22"/>
        </w:rPr>
        <w:t xml:space="preserve">resolución a nivel de árbol, donde el satélite no alcanza.</w:t>
      </w:r>
    </w:p>
    <w:p>
      <w:pPr>
        <w:pStyle w:val="ListParagraph"/>
        <w:numPr>
          <w:ilvl w:val="0"/>
          <w:numId w:val="2"/>
        </w:numPr>
        <w:spacing w:after="80" w:line="264"/>
      </w:pPr>
      <w:r>
        <w:rPr>
          <w:rFonts w:ascii="Arial" w:cs="Arial" w:eastAsia="Arial" w:hAnsi="Arial"/>
          <w:b/>
          <w:bCs/>
          <w:color w:val="1B4332"/>
          <w:sz w:val="22"/>
          <w:szCs w:val="22"/>
        </w:rPr>
        <w:t xml:space="preserve">Histórico de cosecha (del fondo) — </w:t>
      </w:r>
      <w:r>
        <w:rPr>
          <w:rFonts w:ascii="Arial" w:cs="Arial" w:eastAsia="Arial" w:hAnsi="Arial"/>
          <w:color w:val="0F2A22"/>
          <w:sz w:val="22"/>
          <w:szCs w:val="22"/>
        </w:rPr>
        <w:t xml:space="preserve">la referencia para entrenar y validar.</w:t>
      </w:r>
    </w:p>
    <w:p>
      <w:pPr>
        <w:pStyle w:val="Heading2"/>
      </w:pPr>
      <w:r>
        <w:t xml:space="preserve">2.3 · Método</w:t>
      </w:r>
    </w:p>
    <w:p>
      <w:pPr>
        <w:spacing w:after="140" w:line="276"/>
      </w:pPr>
      <w:r>
        <w:rPr>
          <w:rFonts w:ascii="Arial" w:cs="Arial" w:eastAsia="Arial" w:hAnsi="Arial"/>
          <w:color w:val="0F2A22"/>
          <w:sz w:val="22"/>
          <w:szCs w:val="22"/>
        </w:rPr>
        <w:t xml:space="preserve">Modelos de aprendizaje supervisado, interpretables, validados por backtesting temporal. Dos salidas: fecha óptima de cosecha y estimación de rendimiento. (No se detallan aquí algoritmos ni variables.)</w:t>
      </w:r>
    </w:p>
    <w:p>
      <w:pPr>
        <w:pStyle w:val="Heading2"/>
      </w:pPr>
      <w:r>
        <w:t xml:space="preserve">2.4 · Estado actual</w:t>
      </w:r>
    </w:p>
    <w:p>
      <w:pPr>
        <w:spacing w:after="140" w:line="276"/>
      </w:pPr>
      <w:r>
        <w:rPr>
          <w:rFonts w:ascii="Arial" w:cs="Arial" w:eastAsia="Arial" w:hAnsi="Arial"/>
          <w:color w:val="0F2A22"/>
          <w:sz w:val="22"/>
          <w:szCs w:val="22"/>
        </w:rPr>
        <w:t xml:space="preserve">Se han realizado pruebas de laboratorio con datos sintéticos: la maquinaria del modelo está validada sobre estructura conocida (por ejemplo, predicción de la fecha óptima con un error del orden de unos días). El modelo real requiere el histórico del fondo para entrenarse y validarse sobre dato propio. Esto valida el método, no el cultivo.</w:t>
      </w:r>
    </w:p>
    <w:p>
      <w:pPr>
        <w:pStyle w:val="Heading1"/>
      </w:pPr>
      <w:r>
        <w:t xml:space="preserve">3 · Qué necesitamos para validar</w:t>
      </w:r>
    </w:p>
    <w:p>
      <w:pPr>
        <w:spacing w:after="140" w:line="276"/>
      </w:pPr>
      <w:r>
        <w:rPr>
          <w:rFonts w:ascii="Arial" w:cs="Arial" w:eastAsia="Arial" w:hAnsi="Arial"/>
          <w:color w:val="0F2A22"/>
          <w:sz w:val="22"/>
          <w:szCs w:val="22"/>
        </w:rPr>
        <w:t xml:space="preserve">Sobre una muestra acotada de campañas — la necesaria para confirmar si la señal correlaciona con el rendimiento:</w:t>
      </w:r>
    </w:p>
    <w:p>
      <w:pPr>
        <w:pStyle w:val="ListParagraph"/>
        <w:numPr>
          <w:ilvl w:val="0"/>
          <w:numId w:val="2"/>
        </w:numPr>
        <w:spacing w:after="80" w:line="264"/>
      </w:pPr>
      <w:r>
        <w:rPr>
          <w:rFonts w:ascii="Arial" w:cs="Arial" w:eastAsia="Arial" w:hAnsi="Arial"/>
          <w:b/>
          <w:bCs/>
          <w:color w:val="1B4332"/>
          <w:sz w:val="22"/>
          <w:szCs w:val="22"/>
        </w:rPr>
        <w:t xml:space="preserve">Datos — </w:t>
      </w:r>
      <w:r>
        <w:rPr>
          <w:rFonts w:ascii="Arial" w:cs="Arial" w:eastAsia="Arial" w:hAnsi="Arial"/>
          <w:color w:val="0F2A22"/>
          <w:sz w:val="22"/>
          <w:szCs w:val="22"/>
        </w:rPr>
        <w:t xml:space="preserve">una muestra de vuestro histórico de cosecha: kilos, fechas de recogida e índice de madurez, de varias campañas.</w:t>
      </w:r>
    </w:p>
    <w:p>
      <w:pPr>
        <w:pStyle w:val="ListParagraph"/>
        <w:numPr>
          <w:ilvl w:val="0"/>
          <w:numId w:val="2"/>
        </w:numPr>
        <w:spacing w:after="80" w:line="264"/>
      </w:pPr>
      <w:r>
        <w:rPr>
          <w:rFonts w:ascii="Arial" w:cs="Arial" w:eastAsia="Arial" w:hAnsi="Arial"/>
          <w:b/>
          <w:bCs/>
          <w:color w:val="1B4332"/>
          <w:sz w:val="22"/>
          <w:szCs w:val="22"/>
        </w:rPr>
        <w:t xml:space="preserve">Acceso — </w:t>
      </w:r>
      <w:r>
        <w:rPr>
          <w:rFonts w:ascii="Arial" w:cs="Arial" w:eastAsia="Arial" w:hAnsi="Arial"/>
          <w:color w:val="0F2A22"/>
          <w:sz w:val="22"/>
          <w:szCs w:val="22"/>
        </w:rPr>
        <w:t xml:space="preserve">a las parcelas piloto, para la ingesta de campo por dron durante la campaña.</w:t>
      </w:r>
    </w:p>
    <w:p>
      <w:pPr>
        <w:pStyle w:val="Heading1"/>
      </w:pPr>
      <w:r>
        <w:t xml:space="preserve">4 · Plan de trabajo (Fase 0)</w:t>
      </w:r>
    </w:p>
    <w:p>
      <w:pPr>
        <w:spacing w:after="140" w:line="276"/>
      </w:pPr>
      <w:r>
        <w:rPr>
          <w:rFonts w:ascii="Arial" w:cs="Arial" w:eastAsia="Arial" w:hAnsi="Arial"/>
          <w:color w:val="0F2A22"/>
          <w:sz w:val="22"/>
          <w:szCs w:val="22"/>
        </w:rPr>
        <w:t xml:space="preserve">Estudio acotado, en días relativos desde la entrega de la muestra de datos. Una nota técnica importante: el cómputo no es el cuello de botella —entrenar y validar son días, no semanas—; el ritmo lo marcan la entrega del histórico y la ventana de vuelo (favorable en verano).</w:t>
      </w:r>
    </w:p>
    <w:p>
      <w:pPr>
        <w:spacing w:after="140" w:line="276"/>
      </w:pPr>
      <w:r>
        <w:rPr>
          <w:rFonts w:ascii="Arial" w:cs="Arial" w:eastAsia="Arial" w:hAnsi="Arial"/>
          <w:color w:val="0F2A22"/>
          <w:sz w:val="22"/>
          <w:szCs w:val="22"/>
        </w:rPr>
        <w:t xml:space="preserve">La viabilidad y el dron corren en PARALELO. El núcleo del estudio no depende del dron: se resuelve sobre el histórico de cosecha y el satélite. El dron añade el detalle por árbol.</w:t>
      </w:r>
    </w:p>
    <w:p>
      <w:pPr>
        <w:pStyle w:val="Heading2"/>
      </w:pPr>
      <w:r>
        <w:t xml:space="preserve">Vía A · Viabilidad (camino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450"/>
        <w:gridCol w:w="4810"/>
      </w:tblGrid>
      <w:tr>
        <w:trPr>
          <w:tblHeader/>
        </w:trPr>
        <w:tc>
          <w:tcPr>
            <w:tcW w:type="dxa" w:w="3100"/>
            <w:shd w:fill="1B4332" w:val="clear"/>
            <w:tcMar>
              <w:top w:type="dxa" w:w="90"/>
              <w:left w:type="dxa" w:w="130"/>
              <w:bottom w:type="dxa" w:w="90"/>
              <w:right w:type="dxa" w:w="130"/>
            </w:tcMar>
          </w:tcPr>
          <w:p>
            <w:r>
              <w:rPr>
                <w:rFonts w:ascii="Arial" w:cs="Arial" w:eastAsia="Arial" w:hAnsi="Arial"/>
                <w:b/>
                <w:bCs/>
                <w:color w:val="FFFFFF"/>
                <w:sz w:val="19"/>
                <w:szCs w:val="19"/>
              </w:rPr>
              <w:t xml:space="preserve">Bloque</w:t>
            </w:r>
          </w:p>
        </w:tc>
        <w:tc>
          <w:tcPr>
            <w:tcW w:type="dxa" w:w="1450"/>
            <w:shd w:fill="1B4332" w:val="clear"/>
            <w:tcMar>
              <w:top w:type="dxa" w:w="90"/>
              <w:left w:type="dxa" w:w="130"/>
              <w:bottom w:type="dxa" w:w="90"/>
              <w:right w:type="dxa" w:w="130"/>
            </w:tcMar>
          </w:tcPr>
          <w:p>
            <w:r>
              <w:rPr>
                <w:rFonts w:ascii="Arial" w:cs="Arial" w:eastAsia="Arial" w:hAnsi="Arial"/>
                <w:b/>
                <w:bCs/>
                <w:color w:val="FFFFFF"/>
                <w:sz w:val="19"/>
                <w:szCs w:val="19"/>
              </w:rPr>
              <w:t xml:space="preserve">Días</w:t>
            </w:r>
          </w:p>
        </w:tc>
        <w:tc>
          <w:tcPr>
            <w:tcW w:type="dxa" w:w="4810"/>
            <w:shd w:fill="1B4332" w:val="clear"/>
            <w:tcMar>
              <w:top w:type="dxa" w:w="90"/>
              <w:left w:type="dxa" w:w="130"/>
              <w:bottom w:type="dxa" w:w="90"/>
              <w:right w:type="dxa" w:w="130"/>
            </w:tcMar>
          </w:tcPr>
          <w:p>
            <w:r>
              <w:rPr>
                <w:rFonts w:ascii="Arial" w:cs="Arial" w:eastAsia="Arial" w:hAnsi="Arial"/>
                <w:b/>
                <w:bCs/>
                <w:color w:val="FFFFFF"/>
                <w:sz w:val="19"/>
                <w:szCs w:val="19"/>
              </w:rPr>
              <w:t xml:space="preserve">Actividad</w:t>
            </w:r>
          </w:p>
        </w:tc>
      </w:tr>
      <w:tr>
        <w:trPr>
          <w:tblHeader w:val="false"/>
        </w:trPr>
        <w:tc>
          <w:tcPr>
            <w:tcW w:type="dxa" w:w="3100"/>
            <w:shd w:fill="F4F0E8" w:val="clear"/>
            <w:tcMar>
              <w:top w:type="dxa" w:w="90"/>
              <w:left w:type="dxa" w:w="130"/>
              <w:bottom w:type="dxa" w:w="90"/>
              <w:right w:type="dxa" w:w="130"/>
            </w:tcMar>
          </w:tcPr>
          <w:p>
            <w:r>
              <w:rPr>
                <w:rFonts w:ascii="Arial" w:cs="Arial" w:eastAsia="Arial" w:hAnsi="Arial"/>
                <w:b/>
                <w:bCs/>
                <w:color w:val="0F2A22"/>
                <w:sz w:val="20"/>
                <w:szCs w:val="20"/>
              </w:rPr>
              <w:t xml:space="preserve">A1 · Datos</w:t>
            </w:r>
          </w:p>
        </w:tc>
        <w:tc>
          <w:tcPr>
            <w:tcW w:type="dxa" w:w="145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Día 1–5</w:t>
            </w:r>
          </w:p>
        </w:tc>
        <w:tc>
          <w:tcPr>
            <w:tcW w:type="dxa" w:w="481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Estructuración del histórico de cosecha aportado por el fondo + ingesta del satélite (Sentinel-2) y clima de las parcelas muestra.</w:t>
            </w:r>
          </w:p>
        </w:tc>
      </w:tr>
      <w:tr>
        <w:trPr>
          <w:tblHeader w:val="false"/>
        </w:trPr>
        <w:tc>
          <w:tcPr>
            <w:tcW w:type="dxa" w:w="3100"/>
            <w:shd w:fill="F4F0E8" w:val="clear"/>
            <w:tcMar>
              <w:top w:type="dxa" w:w="90"/>
              <w:left w:type="dxa" w:w="130"/>
              <w:bottom w:type="dxa" w:w="90"/>
              <w:right w:type="dxa" w:w="130"/>
            </w:tcMar>
          </w:tcPr>
          <w:p>
            <w:r>
              <w:rPr>
                <w:rFonts w:ascii="Arial" w:cs="Arial" w:eastAsia="Arial" w:hAnsi="Arial"/>
                <w:b/>
                <w:bCs/>
                <w:color w:val="0F2A22"/>
                <w:sz w:val="20"/>
                <w:szCs w:val="20"/>
              </w:rPr>
              <w:t xml:space="preserve">A2 · Modelado</w:t>
            </w:r>
          </w:p>
        </w:tc>
        <w:tc>
          <w:tcPr>
            <w:tcW w:type="dxa" w:w="145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Día 4–12</w:t>
            </w:r>
          </w:p>
        </w:tc>
        <w:tc>
          <w:tcPr>
            <w:tcW w:type="dxa" w:w="481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Ingeniería de variables, entrenamiento del modelo y validación por backtesting temporal.</w:t>
            </w:r>
          </w:p>
        </w:tc>
      </w:tr>
      <w:tr>
        <w:trPr>
          <w:tblHeader w:val="false"/>
        </w:trPr>
        <w:tc>
          <w:tcPr>
            <w:tcW w:type="dxa" w:w="3100"/>
            <w:shd w:fill="F4F0E8" w:val="clear"/>
            <w:tcMar>
              <w:top w:type="dxa" w:w="90"/>
              <w:left w:type="dxa" w:w="130"/>
              <w:bottom w:type="dxa" w:w="90"/>
              <w:right w:type="dxa" w:w="130"/>
            </w:tcMar>
          </w:tcPr>
          <w:p>
            <w:r>
              <w:rPr>
                <w:rFonts w:ascii="Arial" w:cs="Arial" w:eastAsia="Arial" w:hAnsi="Arial"/>
                <w:b/>
                <w:bCs/>
                <w:color w:val="0F2A22"/>
                <w:sz w:val="20"/>
                <w:szCs w:val="20"/>
              </w:rPr>
              <w:t xml:space="preserve">A3 · Viabilidad</w:t>
            </w:r>
          </w:p>
        </w:tc>
        <w:tc>
          <w:tcPr>
            <w:tcW w:type="dxa" w:w="145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Día 12–15</w:t>
            </w:r>
          </w:p>
        </w:tc>
        <w:tc>
          <w:tcPr>
            <w:tcW w:type="dxa" w:w="481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¿Correlaciona la señal con el rendimiento real? Informe de viabilidad y presentación.</w:t>
            </w:r>
          </w:p>
        </w:tc>
      </w:tr>
    </w:tbl>
    <w:p>
      <w:pPr>
        <w:pStyle w:val="Heading2"/>
      </w:pPr>
      <w:r>
        <w:t xml:space="preserve">Vía B · Dron / detalle por árbol (en paralelo)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450"/>
        <w:gridCol w:w="4810"/>
      </w:tblGrid>
      <w:tr>
        <w:trPr>
          <w:tblHeader/>
        </w:trPr>
        <w:tc>
          <w:tcPr>
            <w:tcW w:type="dxa" w:w="3100"/>
            <w:shd w:fill="1B4332" w:val="clear"/>
            <w:tcMar>
              <w:top w:type="dxa" w:w="90"/>
              <w:left w:type="dxa" w:w="130"/>
              <w:bottom w:type="dxa" w:w="90"/>
              <w:right w:type="dxa" w:w="130"/>
            </w:tcMar>
          </w:tcPr>
          <w:p>
            <w:r>
              <w:rPr>
                <w:rFonts w:ascii="Arial" w:cs="Arial" w:eastAsia="Arial" w:hAnsi="Arial"/>
                <w:b/>
                <w:bCs/>
                <w:color w:val="FFFFFF"/>
                <w:sz w:val="19"/>
                <w:szCs w:val="19"/>
              </w:rPr>
              <w:t xml:space="preserve">Bloque</w:t>
            </w:r>
          </w:p>
        </w:tc>
        <w:tc>
          <w:tcPr>
            <w:tcW w:type="dxa" w:w="1450"/>
            <w:shd w:fill="1B4332" w:val="clear"/>
            <w:tcMar>
              <w:top w:type="dxa" w:w="90"/>
              <w:left w:type="dxa" w:w="130"/>
              <w:bottom w:type="dxa" w:w="90"/>
              <w:right w:type="dxa" w:w="130"/>
            </w:tcMar>
          </w:tcPr>
          <w:p>
            <w:r>
              <w:rPr>
                <w:rFonts w:ascii="Arial" w:cs="Arial" w:eastAsia="Arial" w:hAnsi="Arial"/>
                <w:b/>
                <w:bCs/>
                <w:color w:val="FFFFFF"/>
                <w:sz w:val="19"/>
                <w:szCs w:val="19"/>
              </w:rPr>
              <w:t xml:space="preserve">Días</w:t>
            </w:r>
          </w:p>
        </w:tc>
        <w:tc>
          <w:tcPr>
            <w:tcW w:type="dxa" w:w="4810"/>
            <w:shd w:fill="1B4332" w:val="clear"/>
            <w:tcMar>
              <w:top w:type="dxa" w:w="90"/>
              <w:left w:type="dxa" w:w="130"/>
              <w:bottom w:type="dxa" w:w="90"/>
              <w:right w:type="dxa" w:w="130"/>
            </w:tcMar>
          </w:tcPr>
          <w:p>
            <w:r>
              <w:rPr>
                <w:rFonts w:ascii="Arial" w:cs="Arial" w:eastAsia="Arial" w:hAnsi="Arial"/>
                <w:b/>
                <w:bCs/>
                <w:color w:val="FFFFFF"/>
                <w:sz w:val="19"/>
                <w:szCs w:val="19"/>
              </w:rPr>
              <w:t xml:space="preserve">Actividad</w:t>
            </w:r>
          </w:p>
        </w:tc>
      </w:tr>
      <w:tr>
        <w:trPr>
          <w:tblHeader w:val="false"/>
        </w:trPr>
        <w:tc>
          <w:tcPr>
            <w:tcW w:type="dxa" w:w="3100"/>
            <w:shd w:fill="F4F0E8" w:val="clear"/>
            <w:tcMar>
              <w:top w:type="dxa" w:w="90"/>
              <w:left w:type="dxa" w:w="130"/>
              <w:bottom w:type="dxa" w:w="90"/>
              <w:right w:type="dxa" w:w="130"/>
            </w:tcMar>
          </w:tcPr>
          <w:p>
            <w:r>
              <w:rPr>
                <w:rFonts w:ascii="Arial" w:cs="Arial" w:eastAsia="Arial" w:hAnsi="Arial"/>
                <w:b/>
                <w:bCs/>
                <w:color w:val="0F2A22"/>
                <w:sz w:val="20"/>
                <w:szCs w:val="20"/>
              </w:rPr>
              <w:t xml:space="preserve">B1 · Vuelo</w:t>
            </w:r>
          </w:p>
        </w:tc>
        <w:tc>
          <w:tcPr>
            <w:tcW w:type="dxa" w:w="145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Día 1 · 1 jornada</w:t>
            </w:r>
          </w:p>
        </w:tc>
        <w:tc>
          <w:tcPr>
            <w:tcW w:type="dxa" w:w="481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Vuelo fotogramétrico de las parcelas piloto con dron Mavic 3E propio. Ventana estable en verano.</w:t>
            </w:r>
          </w:p>
        </w:tc>
      </w:tr>
      <w:tr>
        <w:trPr>
          <w:tblHeader w:val="false"/>
        </w:trPr>
        <w:tc>
          <w:tcPr>
            <w:tcW w:type="dxa" w:w="3100"/>
            <w:shd w:fill="F4F0E8" w:val="clear"/>
            <w:tcMar>
              <w:top w:type="dxa" w:w="90"/>
              <w:left w:type="dxa" w:w="130"/>
              <w:bottom w:type="dxa" w:w="90"/>
              <w:right w:type="dxa" w:w="130"/>
            </w:tcMar>
          </w:tcPr>
          <w:p>
            <w:r>
              <w:rPr>
                <w:rFonts w:ascii="Arial" w:cs="Arial" w:eastAsia="Arial" w:hAnsi="Arial"/>
                <w:b/>
                <w:bCs/>
                <w:color w:val="0F2A22"/>
                <w:sz w:val="20"/>
                <w:szCs w:val="20"/>
              </w:rPr>
              <w:t xml:space="preserve">B2 · Procesado</w:t>
            </w:r>
          </w:p>
        </w:tc>
        <w:tc>
          <w:tcPr>
            <w:tcW w:type="dxa" w:w="145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Día 2–5</w:t>
            </w:r>
          </w:p>
        </w:tc>
        <w:tc>
          <w:tcPr>
            <w:tcW w:type="dxa" w:w="4810"/>
            <w:shd w:fill="F4F0E8" w:val="clear"/>
            <w:tcMar>
              <w:top w:type="dxa" w:w="90"/>
              <w:left w:type="dxa" w:w="130"/>
              <w:bottom w:type="dxa" w:w="90"/>
              <w:right w:type="dxa" w:w="130"/>
            </w:tcMar>
          </w:tcPr>
          <w:p>
            <w:r>
              <w:rPr>
                <w:rFonts w:ascii="Arial" w:cs="Arial" w:eastAsia="Arial" w:hAnsi="Arial"/>
                <w:b w:val="false"/>
                <w:bCs w:val="false"/>
                <w:color w:val="0F2A22"/>
                <w:sz w:val="20"/>
                <w:szCs w:val="20"/>
              </w:rPr>
              <w:t xml:space="preserve">Ortomosaico (Metashape, acelerado por GPU) + censo de árboles e índices por copa.</w:t>
            </w:r>
          </w:p>
        </w:tc>
      </w:tr>
    </w:tbl>
    <w:p>
      <w:pPr>
        <w:spacing w:after="120" w:before="120"/>
      </w:pPr>
      <w:r>
        <w:rPr>
          <w:rFonts w:ascii="Arial" w:cs="Arial" w:eastAsia="Arial" w:hAnsi="Arial"/>
          <w:b/>
          <w:bCs/>
          <w:color w:val="1B4332"/>
          <w:sz w:val="22"/>
          <w:szCs w:val="22"/>
        </w:rPr>
        <w:t xml:space="preserve">Duración estimada: </w:t>
      </w:r>
      <w:r>
        <w:rPr>
          <w:rFonts w:ascii="Arial" w:cs="Arial" w:eastAsia="Arial" w:hAnsi="Arial"/>
          <w:color w:val="0F2A22"/>
          <w:sz w:val="22"/>
          <w:szCs w:val="22"/>
        </w:rPr>
        <w:t xml:space="preserve">~2–3 semanas (≈ 15 días laborables) desde la entrega de los datos. El bloque de dron —vuelo de 1 jornada + procesado— corre dentro de esa ventana, no la alarga.</w:t>
      </w:r>
    </w:p>
    <w:p>
      <w:pPr>
        <w:spacing w:after="120" w:before="120"/>
      </w:pPr>
      <w:r>
        <w:rPr>
          <w:rFonts w:ascii="Arial" w:cs="Arial" w:eastAsia="Arial" w:hAnsi="Arial"/>
          <w:b/>
          <w:bCs/>
          <w:color w:val="1B4332"/>
          <w:sz w:val="22"/>
          <w:szCs w:val="22"/>
        </w:rPr>
        <w:t xml:space="preserve">Entregable: </w:t>
      </w:r>
      <w:r>
        <w:rPr>
          <w:rFonts w:ascii="Arial" w:cs="Arial" w:eastAsia="Arial" w:hAnsi="Arial"/>
          <w:color w:val="0F2A22"/>
          <w:sz w:val="22"/>
          <w:szCs w:val="22"/>
        </w:rPr>
        <w:t xml:space="preserve">informe de viabilidad — una respuesta clara (sí / no) con la precisión estimada, sobre vuestro dato real.</w:t>
      </w:r>
    </w:p>
    <w:p>
      <w:pPr>
        <w:pStyle w:val="Heading1"/>
      </w:pPr>
      <w:r>
        <w:t xml:space="preserve">5 · Resultado y siguiente paso</w:t>
      </w:r>
    </w:p>
    <w:p>
      <w:pPr>
        <w:spacing w:after="140" w:line="276"/>
      </w:pPr>
      <w:r>
        <w:rPr>
          <w:rFonts w:ascii="Arial" w:cs="Arial" w:eastAsia="Arial" w:hAnsi="Arial"/>
          <w:color w:val="0F2A22"/>
          <w:sz w:val="22"/>
          <w:szCs w:val="22"/>
        </w:rPr>
        <w:t xml:space="preserve">El estudio responde a una pregunta concreta: ¿es viable el motor predictivo sobre vuestro dato, y con qué precisión?</w:t>
      </w:r>
    </w:p>
    <w:p>
      <w:pPr>
        <w:spacing w:after="140" w:line="276"/>
      </w:pPr>
      <w:r>
        <w:rPr>
          <w:rFonts w:ascii="Arial" w:cs="Arial" w:eastAsia="Arial" w:hAnsi="Arial"/>
          <w:color w:val="0F2A22"/>
          <w:sz w:val="22"/>
          <w:szCs w:val="22"/>
        </w:rPr>
        <w:t xml:space="preserve">Si el resultado es positivo, sienta la base para una Fase 1: consolidación del modelo y extensión a más parcelas. Si no lo es, se cierra con un coste acotado y una conclusión técnica clara.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76" w:sz="4" w:space="6"/>
      </w:pBdr>
      <w:tabs>
        <w:tab w:val="right" w:pos="9360"/>
      </w:tabs>
    </w:pPr>
    <w:r>
      <w:rPr>
        <w:rFonts w:ascii="Arial" w:cs="Arial" w:eastAsia="Arial" w:hAnsi="Arial"/>
        <w:color w:val="6B6B5C"/>
        <w:sz w:val="15"/>
        <w:szCs w:val="15"/>
      </w:rPr>
      <w:t xml:space="preserve">AgroM · Inteligencia agraria aplicada</w:t>
    </w:r>
    <w:r>
      <w:rPr>
        <w:rFonts w:ascii="Arial" w:cs="Arial" w:eastAsia="Arial" w:hAnsi="Arial"/>
        <w:color w:val="6B6B5C"/>
        <w:sz w:val="15"/>
        <w:szCs w:val="15"/>
      </w:rPr>
      <w:t xml:space="preserve">	Pág. </w:t>
    </w:r>
    <w:r>
      <w:rPr>
        <w:rFonts w:ascii="Arial" w:cs="Arial" w:eastAsia="Arial" w:hAnsi="Arial"/>
        <w:color w:val="6B6B5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0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2A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B4332"/>
      <w:sz w:val="30"/>
      <w:szCs w:val="30"/>
    </w:rPr>
  </w:style>
  <w:style w:type="paragraph" w:styleId="Heading2">
    <w:name w:val="Heading 2"/>
    <w:basedOn w:val="Normal"/>
    <w:next w:val="Normal"/>
    <w:qFormat/>
    <w:pPr>
      <w:spacing w:after="90" w:before="200"/>
      <w:outlineLvl w:val="1"/>
    </w:pPr>
    <w:rPr>
      <w:rFonts w:ascii="Georgia" w:cs="Georgia" w:eastAsia="Georgia" w:hAnsi="Georgia"/>
      <w:b/>
      <w:bCs/>
      <w:color w:val="1B43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96bde74c6454ba9160cb0841c23e175c9b2d1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2026-06-14T11:14:48.611Z</dcterms:created>
  <dcterms:modified xsi:type="dcterms:W3CDTF">2026-06-14T11:14:48.615Z</dcterms:modified>
</cp:coreProperties>
</file>

<file path=docProps/custom.xml><?xml version="1.0" encoding="utf-8"?>
<Properties xmlns="http://schemas.openxmlformats.org/officeDocument/2006/custom-properties" xmlns:vt="http://schemas.openxmlformats.org/officeDocument/2006/docPropsVTypes"/>
</file>