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F4E79"/>
          <w:sz w:val="56"/>
          <w:szCs w:val="56"/>
        </w:rPr>
        <w:t xml:space="preserve">PYMIA S.A.S.</w:t>
      </w:r>
    </w:p>
    <w:p>
      <w:pPr>
        <w:spacing w:after="80" w:before="0"/>
        <w:jc w:val="center"/>
      </w:pPr>
      <w:r>
        <w:rPr>
          <w:rFonts w:ascii="Arial" w:cs="Arial" w:eastAsia="Arial" w:hAnsi="Arial"/>
          <w:b/>
          <w:bCs/>
          <w:color w:val="1A1A1A"/>
          <w:sz w:val="32"/>
          <w:szCs w:val="32"/>
        </w:rPr>
        <w:t xml:space="preserve">TÉRMINOS Y CONDICIONES DE SERVICIO</w:t>
      </w:r>
    </w:p>
    <w:p>
      <w:pPr>
        <w:spacing w:after="80" w:before="0"/>
        <w:jc w:val="center"/>
      </w:pPr>
      <w:r>
        <w:rPr>
          <w:rFonts w:ascii="Arial" w:cs="Arial" w:eastAsia="Arial" w:hAnsi="Arial"/>
          <w:i/>
          <w:iCs/>
          <w:color w:val="595959"/>
          <w:sz w:val="22"/>
          <w:szCs w:val="22"/>
        </w:rPr>
        <w:t xml:space="preserve">Consultoría en Automatización de Procesos para Pymes</w:t>
      </w:r>
    </w:p>
    <w:p>
      <w:pPr>
        <w:spacing w:after="80" w:before="0"/>
        <w:jc w:val="center"/>
      </w:pPr>
      <w:r>
        <w:rPr>
          <w:rFonts w:ascii="Arial" w:cs="Arial" w:eastAsia="Arial" w:hAnsi="Arial"/>
          <w:color w:val="595959"/>
          <w:sz w:val="20"/>
          <w:szCs w:val="20"/>
        </w:rPr>
        <w:t>Versión 1.0 — Bogotá D.C., Colombia —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FF3CD" w:val="clear"/>
            <w:tcMar>
              <w:top w:type="dxa" w:w="140"/>
              <w:left w:type="dxa" w:w="220"/>
              <w:bottom w:type="dxa" w:w="140"/>
              <w:right w:type="dxa" w:w="220"/>
            </w:tcMar>
          </w:tcPr>
          <w:p>
            <w:pPr>
              <w:spacing w:after="80" w:before="0"/>
            </w:pPr>
            <w:r>
              <w:rPr>
                <w:rFonts w:ascii="Arial" w:cs="Arial" w:eastAsia="Arial" w:hAnsi="Arial"/>
                <w:b/>
                <w:bCs/>
                <w:color w:val="7D4E00"/>
                <w:sz w:val="20"/>
                <w:szCs w:val="20"/>
              </w:rPr>
              <w:t xml:space="preserve">CAMPO DE APLICACIÓN</w:t>
            </w:r>
          </w:p>
          <w:p>
            <w:pPr>
              <w:spacing w:after="40" w:before="40"/>
            </w:pPr>
            <w:r>
              <w:rPr>
                <w:rFonts w:ascii="Arial" w:cs="Arial" w:eastAsia="Arial" w:hAnsi="Arial"/>
                <w:color w:val="1A1A1A"/>
                <w:sz w:val="20"/>
                <w:szCs w:val="20"/>
              </w:rPr>
              <w:t xml:space="preserve">Estos Términos y Condiciones aplican a todos los contratos de consultoría, servicios y proyectos</w:t>
            </w:r>
          </w:p>
          <w:p>
            <w:pPr>
              <w:spacing w:after="40" w:before="40"/>
            </w:pPr>
            <w:r>
              <w:rPr>
                <w:rFonts w:ascii="Arial" w:cs="Arial" w:eastAsia="Arial" w:hAnsi="Arial"/>
                <w:color w:val="1A1A1A"/>
                <w:sz w:val="20"/>
                <w:szCs w:val="20"/>
              </w:rPr>
              <w:t xml:space="preserve">celebrados entre PYMIA S.A.S. y sus clientes. Se recomienda adjuntarlos a cada propuesta comercial.</w:t>
            </w:r>
          </w:p>
          <w:p>
            <w:pPr>
              <w:spacing w:after="40" w:before="40"/>
            </w:pPr>
            <w:r>
              <w:rPr>
                <w:rFonts w:ascii="Arial" w:cs="Arial" w:eastAsia="Arial" w:hAnsi="Arial"/>
                <w:color w:val="1A1A1A"/>
                <w:sz w:val="20"/>
                <w:szCs w:val="20"/>
              </w:rPr>
              <w:t xml:space="preserve">Para proyectos específicos, pueden ser complementados por un Statement of Work (SoW) o contrato particular.</w:t>
            </w:r>
          </w:p>
        </w:tc>
      </w:tr>
    </w:tbl>
    <w:p>
      <w:pPr>
        <w:spacing w:after="80" w:before="80"/>
      </w:pPr>
      <w:r>
        <w:t xml:space="preserve"/>
      </w:r>
    </w:p>
    <w:p>
      <w:pPr>
        <w:pStyle w:val="Heading1"/>
        <w:pBdr>
          <w:bottom w:val="single" w:color="1F4E79" w:sz="8" w:space="6"/>
        </w:pBdr>
        <w:spacing w:after="140" w:before="400"/>
      </w:pPr>
      <w:r>
        <w:rPr>
          <w:rFonts w:ascii="Arial" w:cs="Arial" w:eastAsia="Arial" w:hAnsi="Arial"/>
          <w:b/>
          <w:bCs/>
          <w:color w:val="1F4E79"/>
          <w:sz w:val="28"/>
          <w:szCs w:val="28"/>
        </w:rPr>
        <w:t xml:space="preserve">1. INFORMACIÓN GENERAL DE LA EMPRESA</w:t>
      </w:r>
    </w:p>
    <w:p>
      <w:pPr>
        <w:spacing w:after="80" w:before="220"/>
      </w:pPr>
      <w:r>
        <w:rPr>
          <w:rFonts w:ascii="Arial" w:cs="Arial" w:eastAsia="Arial" w:hAnsi="Arial"/>
          <w:b/>
          <w:bCs/>
          <w:color w:val="1F4E79"/>
          <w:sz w:val="22"/>
          <w:szCs w:val="22"/>
        </w:rPr>
        <w:t xml:space="preserve">1.1. </w:t>
      </w:r>
      <w:r>
        <w:rPr>
          <w:rFonts w:ascii="Arial" w:cs="Arial" w:eastAsia="Arial" w:hAnsi="Arial"/>
          <w:b/>
          <w:bCs/>
          <w:color w:val="1A1A1A"/>
          <w:sz w:val="22"/>
          <w:szCs w:val="22"/>
        </w:rPr>
        <w:t xml:space="preserve">PRESTADOR DE SERVICIOS.</w:t>
      </w:r>
    </w:p>
    <w:p>
      <w:pPr>
        <w:spacing w:after="80" w:before="80" w:line="320" w:lineRule="auto"/>
        <w:ind w:left="360"/>
        <w:jc w:val="both"/>
      </w:pPr>
      <w:r>
        <w:rPr>
          <w:rFonts w:ascii="Arial" w:cs="Arial" w:eastAsia="Arial" w:hAnsi="Arial"/>
          <w:color w:val="1A1A1A"/>
          <w:sz w:val="22"/>
          <w:szCs w:val="22"/>
        </w:rPr>
        <w:t xml:space="preserve">PYMIA S.A.S. es una sociedad por acciones simplificada constituida bajo las leyes de la República de Colombia, con domicilio principal en Bogotá D.C., dedicada a la prestación de servicios de consultoría en automatización de procesos para pequeñas y medianas empresas (Pymes).</w:t>
      </w:r>
    </w:p>
    <w:p>
      <w:pPr>
        <w:spacing w:after="80" w:before="220"/>
      </w:pPr>
      <w:r>
        <w:rPr>
          <w:rFonts w:ascii="Arial" w:cs="Arial" w:eastAsia="Arial" w:hAnsi="Arial"/>
          <w:b/>
          <w:bCs/>
          <w:color w:val="1F4E79"/>
          <w:sz w:val="22"/>
          <w:szCs w:val="22"/>
        </w:rPr>
        <w:t xml:space="preserve">1.2. </w:t>
      </w:r>
      <w:r>
        <w:rPr>
          <w:rFonts w:ascii="Arial" w:cs="Arial" w:eastAsia="Arial" w:hAnsi="Arial"/>
          <w:b/>
          <w:bCs/>
          <w:color w:val="1A1A1A"/>
          <w:sz w:val="22"/>
          <w:szCs w:val="22"/>
        </w:rPr>
        <w:t xml:space="preserve">ACEPTACIÓN DE TÉRMINOS.</w:t>
      </w:r>
    </w:p>
    <w:p>
      <w:pPr>
        <w:spacing w:after="80" w:before="80" w:line="320" w:lineRule="auto"/>
        <w:ind w:left="360"/>
        <w:jc w:val="both"/>
      </w:pPr>
      <w:r>
        <w:rPr>
          <w:rFonts w:ascii="Arial" w:cs="Arial" w:eastAsia="Arial" w:hAnsi="Arial"/>
          <w:color w:val="1A1A1A"/>
          <w:sz w:val="22"/>
          <w:szCs w:val="22"/>
        </w:rPr>
        <w:t xml:space="preserve">La contratación de servicios de PYMIA S.A.S., ya sea mediante la firma de una propuesta, contrato, correo electrónico de confirmación o inicio de prestación del servicio, implica la aceptación plena e incondicional de estos Términos y Condiciones por parte del Cliente.</w:t>
      </w:r>
    </w:p>
    <w:p>
      <w:pPr>
        <w:pStyle w:val="Heading1"/>
        <w:pBdr>
          <w:bottom w:val="single" w:color="1F4E79" w:sz="8" w:space="6"/>
        </w:pBdr>
        <w:spacing w:after="140" w:before="400"/>
      </w:pPr>
      <w:r>
        <w:rPr>
          <w:rFonts w:ascii="Arial" w:cs="Arial" w:eastAsia="Arial" w:hAnsi="Arial"/>
          <w:b/>
          <w:bCs/>
          <w:color w:val="1F4E79"/>
          <w:sz w:val="28"/>
          <w:szCs w:val="28"/>
        </w:rPr>
        <w:t xml:space="preserve">2. SERVICIOS OFRECIDOS</w:t>
      </w:r>
    </w:p>
    <w:p>
      <w:pPr>
        <w:spacing w:after="80" w:before="220"/>
      </w:pPr>
      <w:r>
        <w:rPr>
          <w:rFonts w:ascii="Arial" w:cs="Arial" w:eastAsia="Arial" w:hAnsi="Arial"/>
          <w:b/>
          <w:bCs/>
          <w:color w:val="1F4E79"/>
          <w:sz w:val="22"/>
          <w:szCs w:val="22"/>
        </w:rPr>
        <w:t xml:space="preserve">2.1. </w:t>
      </w:r>
      <w:r>
        <w:rPr>
          <w:rFonts w:ascii="Arial" w:cs="Arial" w:eastAsia="Arial" w:hAnsi="Arial"/>
          <w:b/>
          <w:bCs/>
          <w:color w:val="1A1A1A"/>
          <w:sz w:val="22"/>
          <w:szCs w:val="22"/>
        </w:rPr>
        <w:t xml:space="preserve">CATÁLOGO DE SERVICIOS.</w:t>
      </w:r>
    </w:p>
    <w:p>
      <w:pPr>
        <w:spacing w:after="80" w:before="80" w:line="320" w:lineRule="auto"/>
        <w:ind w:left="360"/>
        <w:jc w:val="both"/>
      </w:pPr>
      <w:r>
        <w:rPr>
          <w:rFonts w:ascii="Arial" w:cs="Arial" w:eastAsia="Arial" w:hAnsi="Arial"/>
          <w:color w:val="1A1A1A"/>
          <w:sz w:val="22"/>
          <w:szCs w:val="22"/>
        </w:rPr>
        <w:t xml:space="preserve">PYMIA S.A.S. ofrece, entre otros, los siguientes servicios:</w:t>
      </w:r>
    </w:p>
    <w:p>
      <w:pPr>
        <w:pStyle w:val="ListParagraph"/>
        <w:numPr>
          <w:ilvl w:val="0"/>
          <w:numId w:val="2"/>
        </w:numPr>
        <w:spacing w:after="60" w:before="60"/>
      </w:pPr>
      <w:r>
        <w:rPr>
          <w:rFonts w:ascii="Arial" w:cs="Arial" w:eastAsia="Arial" w:hAnsi="Arial"/>
          <w:color w:val="1A1A1A"/>
          <w:sz w:val="22"/>
          <w:szCs w:val="22"/>
        </w:rPr>
        <w:t xml:space="preserve">Diagnóstico y mapeo de procesos empresariales susceptibles de automatización.</w:t>
      </w:r>
    </w:p>
    <w:p>
      <w:pPr>
        <w:pStyle w:val="ListParagraph"/>
        <w:numPr>
          <w:ilvl w:val="0"/>
          <w:numId w:val="2"/>
        </w:numPr>
        <w:spacing w:after="60" w:before="60"/>
      </w:pPr>
      <w:r>
        <w:rPr>
          <w:rFonts w:ascii="Arial" w:cs="Arial" w:eastAsia="Arial" w:hAnsi="Arial"/>
          <w:color w:val="1A1A1A"/>
          <w:sz w:val="22"/>
          <w:szCs w:val="22"/>
        </w:rPr>
        <w:t xml:space="preserve">Diseño e implementación de soluciones de automatización (RPA, BPA, integración de sistemas).</w:t>
      </w:r>
    </w:p>
    <w:p>
      <w:pPr>
        <w:pStyle w:val="ListParagraph"/>
        <w:numPr>
          <w:ilvl w:val="0"/>
          <w:numId w:val="2"/>
        </w:numPr>
        <w:spacing w:after="60" w:before="60"/>
      </w:pPr>
      <w:r>
        <w:rPr>
          <w:rFonts w:ascii="Arial" w:cs="Arial" w:eastAsia="Arial" w:hAnsi="Arial"/>
          <w:color w:val="1A1A1A"/>
          <w:sz w:val="22"/>
          <w:szCs w:val="22"/>
        </w:rPr>
        <w:t xml:space="preserve">Selección y configuración de herramientas tecnológicas de automatización.</w:t>
      </w:r>
    </w:p>
    <w:p>
      <w:pPr>
        <w:pStyle w:val="ListParagraph"/>
        <w:numPr>
          <w:ilvl w:val="0"/>
          <w:numId w:val="2"/>
        </w:numPr>
        <w:spacing w:after="60" w:before="60"/>
      </w:pPr>
      <w:r>
        <w:rPr>
          <w:rFonts w:ascii="Arial" w:cs="Arial" w:eastAsia="Arial" w:hAnsi="Arial"/>
          <w:color w:val="1A1A1A"/>
          <w:sz w:val="22"/>
          <w:szCs w:val="22"/>
        </w:rPr>
        <w:t xml:space="preserve">Capacitación y transferencia de conocimiento al equipo del Cliente.</w:t>
      </w:r>
    </w:p>
    <w:p>
      <w:pPr>
        <w:pStyle w:val="ListParagraph"/>
        <w:numPr>
          <w:ilvl w:val="0"/>
          <w:numId w:val="2"/>
        </w:numPr>
        <w:spacing w:after="60" w:before="60"/>
      </w:pPr>
      <w:r>
        <w:rPr>
          <w:rFonts w:ascii="Arial" w:cs="Arial" w:eastAsia="Arial" w:hAnsi="Arial"/>
          <w:color w:val="1A1A1A"/>
          <w:sz w:val="22"/>
          <w:szCs w:val="22"/>
        </w:rPr>
        <w:t xml:space="preserve">Soporte y mantenimiento post-implementación (según acuerdo específico).</w:t>
      </w:r>
    </w:p>
    <w:p>
      <w:pPr>
        <w:pStyle w:val="ListParagraph"/>
        <w:numPr>
          <w:ilvl w:val="0"/>
          <w:numId w:val="2"/>
        </w:numPr>
        <w:spacing w:after="60" w:before="60"/>
      </w:pPr>
      <w:r>
        <w:rPr>
          <w:rFonts w:ascii="Arial" w:cs="Arial" w:eastAsia="Arial" w:hAnsi="Arial"/>
          <w:color w:val="1A1A1A"/>
          <w:sz w:val="22"/>
          <w:szCs w:val="22"/>
        </w:rPr>
        <w:t xml:space="preserve">Consultoría estratégica en transformación digital.</w:t>
      </w:r>
    </w:p>
    <w:p>
      <w:pPr>
        <w:spacing w:after="80" w:before="220"/>
      </w:pPr>
      <w:r>
        <w:rPr>
          <w:rFonts w:ascii="Arial" w:cs="Arial" w:eastAsia="Arial" w:hAnsi="Arial"/>
          <w:b/>
          <w:bCs/>
          <w:color w:val="1F4E79"/>
          <w:sz w:val="22"/>
          <w:szCs w:val="22"/>
        </w:rPr>
        <w:t xml:space="preserve">2.2. </w:t>
      </w:r>
      <w:r>
        <w:rPr>
          <w:rFonts w:ascii="Arial" w:cs="Arial" w:eastAsia="Arial" w:hAnsi="Arial"/>
          <w:b/>
          <w:bCs/>
          <w:color w:val="1A1A1A"/>
          <w:sz w:val="22"/>
          <w:szCs w:val="22"/>
        </w:rPr>
        <w:t xml:space="preserve">ALCANCE ESPECÍFICO.</w:t>
      </w:r>
    </w:p>
    <w:p>
      <w:pPr>
        <w:spacing w:after="80" w:before="80" w:line="320" w:lineRule="auto"/>
        <w:ind w:left="360"/>
        <w:jc w:val="both"/>
      </w:pPr>
      <w:r>
        <w:rPr>
          <w:rFonts w:ascii="Arial" w:cs="Arial" w:eastAsia="Arial" w:hAnsi="Arial"/>
          <w:color w:val="1A1A1A"/>
          <w:sz w:val="22"/>
          <w:szCs w:val="22"/>
        </w:rPr>
        <w:t xml:space="preserve">El alcance exacto, entregables, plazos y precio de cada proyecto se definirán en una Propuesta Comercial o Contrato Específico firmado por ambas partes, que complementa estos Términos. En caso de contradicción entre el contrato específico y estos Términos, prevalecerá el contrato específico.</w:t>
      </w:r>
    </w:p>
    <w:p>
      <w:pPr>
        <w:spacing w:after="80" w:before="220"/>
      </w:pPr>
      <w:r>
        <w:rPr>
          <w:rFonts w:ascii="Arial" w:cs="Arial" w:eastAsia="Arial" w:hAnsi="Arial"/>
          <w:b/>
          <w:bCs/>
          <w:color w:val="1F4E79"/>
          <w:sz w:val="22"/>
          <w:szCs w:val="22"/>
        </w:rPr>
        <w:t xml:space="preserve">2.3. </w:t>
      </w:r>
      <w:r>
        <w:rPr>
          <w:rFonts w:ascii="Arial" w:cs="Arial" w:eastAsia="Arial" w:hAnsi="Arial"/>
          <w:b/>
          <w:bCs/>
          <w:color w:val="1A1A1A"/>
          <w:sz w:val="22"/>
          <w:szCs w:val="22"/>
        </w:rPr>
        <w:t xml:space="preserve">CAMBIOS DE ALCANCE.</w:t>
      </w:r>
    </w:p>
    <w:p>
      <w:pPr>
        <w:spacing w:after="80" w:before="80" w:line="320" w:lineRule="auto"/>
        <w:ind w:left="360"/>
        <w:jc w:val="both"/>
      </w:pPr>
      <w:r>
        <w:rPr>
          <w:rFonts w:ascii="Arial" w:cs="Arial" w:eastAsia="Arial" w:hAnsi="Arial"/>
          <w:color w:val="1A1A1A"/>
          <w:sz w:val="22"/>
          <w:szCs w:val="22"/>
        </w:rPr>
        <w:t xml:space="preserve">Cualquier modificación al alcance pactado deberá ser solicitada por escrito y aprobada mediante una Orden de Cambio firmada por ambas partes. Los cambios pueden implicar ajustes en el precio y/o plazos de entrega. PYMIA no está obligada a ejecutar cambios no formalizados.</w:t>
      </w:r>
    </w:p>
    <w:p>
      <w:pPr>
        <w:pStyle w:val="Heading1"/>
        <w:pBdr>
          <w:bottom w:val="single" w:color="1F4E79" w:sz="8" w:space="6"/>
        </w:pBdr>
        <w:spacing w:after="140" w:before="400"/>
      </w:pPr>
      <w:r>
        <w:rPr>
          <w:rFonts w:ascii="Arial" w:cs="Arial" w:eastAsia="Arial" w:hAnsi="Arial"/>
          <w:b/>
          <w:bCs/>
          <w:color w:val="1F4E79"/>
          <w:sz w:val="28"/>
          <w:szCs w:val="28"/>
        </w:rPr>
        <w:t xml:space="preserve">3. TARIFAS Y CONDICIONES DE PAGO</w:t>
      </w:r>
    </w:p>
    <w:p>
      <w:pPr>
        <w:spacing w:after="80" w:before="220"/>
      </w:pPr>
      <w:r>
        <w:rPr>
          <w:rFonts w:ascii="Arial" w:cs="Arial" w:eastAsia="Arial" w:hAnsi="Arial"/>
          <w:b/>
          <w:bCs/>
          <w:color w:val="1F4E79"/>
          <w:sz w:val="22"/>
          <w:szCs w:val="22"/>
        </w:rPr>
        <w:t xml:space="preserve">3.1. </w:t>
      </w:r>
      <w:r>
        <w:rPr>
          <w:rFonts w:ascii="Arial" w:cs="Arial" w:eastAsia="Arial" w:hAnsi="Arial"/>
          <w:b/>
          <w:bCs/>
          <w:color w:val="1A1A1A"/>
          <w:sz w:val="22"/>
          <w:szCs w:val="22"/>
        </w:rPr>
        <w:t xml:space="preserve">TARIFAS.</w:t>
      </w:r>
    </w:p>
    <w:p>
      <w:pPr>
        <w:spacing w:after="80" w:before="80" w:line="320" w:lineRule="auto"/>
        <w:ind w:left="360"/>
        <w:jc w:val="both"/>
      </w:pPr>
      <w:r>
        <w:rPr>
          <w:rFonts w:ascii="Arial" w:cs="Arial" w:eastAsia="Arial" w:hAnsi="Arial"/>
          <w:color w:val="1A1A1A"/>
          <w:sz w:val="22"/>
          <w:szCs w:val="22"/>
        </w:rPr>
        <w:t xml:space="preserve">Las tarifas de los servicios serán las estipuladas en la Propuesta Comercial o Contrato Específico. Los precios se expresan en Pesos Colombianos (COP) e incluyen IVA cuando aplica, salvo indicación en contrario.</w:t>
      </w:r>
    </w:p>
    <w:p>
      <w:pPr>
        <w:spacing w:after="80" w:before="220"/>
      </w:pPr>
      <w:r>
        <w:rPr>
          <w:rFonts w:ascii="Arial" w:cs="Arial" w:eastAsia="Arial" w:hAnsi="Arial"/>
          <w:b/>
          <w:bCs/>
          <w:color w:val="1F4E79"/>
          <w:sz w:val="22"/>
          <w:szCs w:val="22"/>
        </w:rPr>
        <w:t xml:space="preserve">3.2. </w:t>
      </w:r>
      <w:r>
        <w:rPr>
          <w:rFonts w:ascii="Arial" w:cs="Arial" w:eastAsia="Arial" w:hAnsi="Arial"/>
          <w:b/>
          <w:bCs/>
          <w:color w:val="1A1A1A"/>
          <w:sz w:val="22"/>
          <w:szCs w:val="22"/>
        </w:rPr>
        <w:t xml:space="preserve">FORMA DE PAGO.</w:t>
      </w:r>
    </w:p>
    <w:p>
      <w:pPr>
        <w:spacing w:after="80" w:before="80" w:line="320" w:lineRule="auto"/>
        <w:ind w:left="360"/>
        <w:jc w:val="both"/>
      </w:pPr>
      <w:r>
        <w:rPr>
          <w:rFonts w:ascii="Arial" w:cs="Arial" w:eastAsia="Arial" w:hAnsi="Arial"/>
          <w:color w:val="1A1A1A"/>
          <w:sz w:val="22"/>
          <w:szCs w:val="22"/>
        </w:rPr>
        <w:t xml:space="preserve">Salvo acuerdo distinto, el esquema de pago estándar es: (i) 50% al inicio del proyecto como anticipo; (ii) 25% al completar la fase de diagnóstico o diseño; (iii) 25% restante a la entrega final. Para proyectos de corta duración (menos de 30 días), el pago puede ser 100% anticipado.</w:t>
      </w:r>
    </w:p>
    <w:p>
      <w:pPr>
        <w:spacing w:after="80" w:before="220"/>
      </w:pPr>
      <w:r>
        <w:rPr>
          <w:rFonts w:ascii="Arial" w:cs="Arial" w:eastAsia="Arial" w:hAnsi="Arial"/>
          <w:b/>
          <w:bCs/>
          <w:color w:val="1F4E79"/>
          <w:sz w:val="22"/>
          <w:szCs w:val="22"/>
        </w:rPr>
        <w:t xml:space="preserve">3.3. </w:t>
      </w:r>
      <w:r>
        <w:rPr>
          <w:rFonts w:ascii="Arial" w:cs="Arial" w:eastAsia="Arial" w:hAnsi="Arial"/>
          <w:b/>
          <w:bCs/>
          <w:color w:val="1A1A1A"/>
          <w:sz w:val="22"/>
          <w:szCs w:val="22"/>
        </w:rPr>
        <w:t xml:space="preserve">MORA.</w:t>
      </w:r>
    </w:p>
    <w:p>
      <w:pPr>
        <w:spacing w:after="80" w:before="80" w:line="320" w:lineRule="auto"/>
        <w:ind w:left="360"/>
        <w:jc w:val="both"/>
      </w:pPr>
      <w:r>
        <w:rPr>
          <w:rFonts w:ascii="Arial" w:cs="Arial" w:eastAsia="Arial" w:hAnsi="Arial"/>
          <w:color w:val="1A1A1A"/>
          <w:sz w:val="22"/>
          <w:szCs w:val="22"/>
        </w:rPr>
        <w:t xml:space="preserve">Los pagos no realizados en la fecha acordada causarán intereses moratorios a la tasa máxima legal permitida en Colombia (tasa de usura vigente certificada por la Superintendencia Financiera), sin perjuicio del derecho de PYMIA a suspender la prestación del servicio hasta regularizar el pago.</w:t>
      </w:r>
    </w:p>
    <w:p>
      <w:pPr>
        <w:spacing w:after="80" w:before="220"/>
      </w:pPr>
      <w:r>
        <w:rPr>
          <w:rFonts w:ascii="Arial" w:cs="Arial" w:eastAsia="Arial" w:hAnsi="Arial"/>
          <w:b/>
          <w:bCs/>
          <w:color w:val="1F4E79"/>
          <w:sz w:val="22"/>
          <w:szCs w:val="22"/>
        </w:rPr>
        <w:t xml:space="preserve">3.4. </w:t>
      </w:r>
      <w:r>
        <w:rPr>
          <w:rFonts w:ascii="Arial" w:cs="Arial" w:eastAsia="Arial" w:hAnsi="Arial"/>
          <w:b/>
          <w:bCs/>
          <w:color w:val="1A1A1A"/>
          <w:sz w:val="22"/>
          <w:szCs w:val="22"/>
        </w:rPr>
        <w:t xml:space="preserve">FACTURACIÓN.</w:t>
      </w:r>
    </w:p>
    <w:p>
      <w:pPr>
        <w:spacing w:after="80" w:before="80" w:line="320" w:lineRule="auto"/>
        <w:ind w:left="360"/>
        <w:jc w:val="both"/>
      </w:pPr>
      <w:r>
        <w:rPr>
          <w:rFonts w:ascii="Arial" w:cs="Arial" w:eastAsia="Arial" w:hAnsi="Arial"/>
          <w:color w:val="1A1A1A"/>
          <w:sz w:val="22"/>
          <w:szCs w:val="22"/>
        </w:rPr>
        <w:t xml:space="preserve">PYMIA S.A.S. expedirá factura electrónica de conformidad con la normativa DIAN vigente. El Cliente deberá proporcionar sus datos de facturación completos y actualizados. La factura se entenderá aceptada si no es objetada dentro de los cinco (5) días hábiles siguientes a su emisión.</w:t>
      </w:r>
    </w:p>
    <w:p>
      <w:pPr>
        <w:pStyle w:val="Heading1"/>
        <w:pBdr>
          <w:bottom w:val="single" w:color="1F4E79" w:sz="8" w:space="6"/>
        </w:pBdr>
        <w:spacing w:after="140" w:before="400"/>
      </w:pPr>
      <w:r>
        <w:rPr>
          <w:rFonts w:ascii="Arial" w:cs="Arial" w:eastAsia="Arial" w:hAnsi="Arial"/>
          <w:b/>
          <w:bCs/>
          <w:color w:val="1F4E79"/>
          <w:sz w:val="28"/>
          <w:szCs w:val="28"/>
        </w:rPr>
        <w:t xml:space="preserve">4. OBLIGACIONES DE LAS PARTES</w:t>
      </w:r>
    </w:p>
    <w:p>
      <w:pPr>
        <w:spacing w:after="80" w:before="220"/>
      </w:pPr>
      <w:r>
        <w:rPr>
          <w:rFonts w:ascii="Arial" w:cs="Arial" w:eastAsia="Arial" w:hAnsi="Arial"/>
          <w:b/>
          <w:bCs/>
          <w:color w:val="1F4E79"/>
          <w:sz w:val="22"/>
          <w:szCs w:val="22"/>
        </w:rPr>
        <w:t xml:space="preserve">4.1. </w:t>
      </w:r>
      <w:r>
        <w:rPr>
          <w:rFonts w:ascii="Arial" w:cs="Arial" w:eastAsia="Arial" w:hAnsi="Arial"/>
          <w:b/>
          <w:bCs/>
          <w:color w:val="1A1A1A"/>
          <w:sz w:val="22"/>
          <w:szCs w:val="22"/>
        </w:rPr>
        <w:t xml:space="preserve">OBLIGACIONES DE PYMIA.</w:t>
      </w:r>
    </w:p>
    <w:p>
      <w:pPr>
        <w:spacing w:after="80" w:before="80" w:line="320" w:lineRule="auto"/>
        <w:ind w:left="360"/>
        <w:jc w:val="both"/>
      </w:pPr>
      <w:r>
        <w:rPr>
          <w:rFonts w:ascii="Arial" w:cs="Arial" w:eastAsia="Arial" w:hAnsi="Arial"/>
          <w:color w:val="1A1A1A"/>
          <w:sz w:val="22"/>
          <w:szCs w:val="22"/>
        </w:rPr>
        <w:t xml:space="preserve">PYMIA S.A.S. se obliga a:</w:t>
      </w:r>
    </w:p>
    <w:p>
      <w:pPr>
        <w:pStyle w:val="ListParagraph"/>
        <w:numPr>
          <w:ilvl w:val="0"/>
          <w:numId w:val="2"/>
        </w:numPr>
        <w:spacing w:after="60" w:before="60"/>
      </w:pPr>
      <w:r>
        <w:rPr>
          <w:rFonts w:ascii="Arial" w:cs="Arial" w:eastAsia="Arial" w:hAnsi="Arial"/>
          <w:color w:val="1A1A1A"/>
          <w:sz w:val="22"/>
          <w:szCs w:val="22"/>
        </w:rPr>
        <w:t xml:space="preserve">Prestar los servicios con diligencia, profesionalismo y conforme a los estándares de la industria.</w:t>
      </w:r>
    </w:p>
    <w:p>
      <w:pPr>
        <w:pStyle w:val="ListParagraph"/>
        <w:numPr>
          <w:ilvl w:val="0"/>
          <w:numId w:val="2"/>
        </w:numPr>
        <w:spacing w:after="60" w:before="60"/>
      </w:pPr>
      <w:r>
        <w:rPr>
          <w:rFonts w:ascii="Arial" w:cs="Arial" w:eastAsia="Arial" w:hAnsi="Arial"/>
          <w:color w:val="1A1A1A"/>
          <w:sz w:val="22"/>
          <w:szCs w:val="22"/>
        </w:rPr>
        <w:t xml:space="preserve">Asignar personal idóneo para la ejecución del proyecto.</w:t>
      </w:r>
    </w:p>
    <w:p>
      <w:pPr>
        <w:pStyle w:val="ListParagraph"/>
        <w:numPr>
          <w:ilvl w:val="0"/>
          <w:numId w:val="2"/>
        </w:numPr>
        <w:spacing w:after="60" w:before="60"/>
      </w:pPr>
      <w:r>
        <w:rPr>
          <w:rFonts w:ascii="Arial" w:cs="Arial" w:eastAsia="Arial" w:hAnsi="Arial"/>
          <w:color w:val="1A1A1A"/>
          <w:sz w:val="22"/>
          <w:szCs w:val="22"/>
        </w:rPr>
        <w:t xml:space="preserve">Mantener la confidencialidad de la información del Cliente conforme al NDA suscrito.</w:t>
      </w:r>
    </w:p>
    <w:p>
      <w:pPr>
        <w:pStyle w:val="ListParagraph"/>
        <w:numPr>
          <w:ilvl w:val="0"/>
          <w:numId w:val="2"/>
        </w:numPr>
        <w:spacing w:after="60" w:before="60"/>
      </w:pPr>
      <w:r>
        <w:rPr>
          <w:rFonts w:ascii="Arial" w:cs="Arial" w:eastAsia="Arial" w:hAnsi="Arial"/>
          <w:color w:val="1A1A1A"/>
          <w:sz w:val="22"/>
          <w:szCs w:val="22"/>
        </w:rPr>
        <w:t xml:space="preserve">Informar oportunamente al Cliente sobre cualquier situación que pueda afectar el cumplimiento de los plazos.</w:t>
      </w:r>
    </w:p>
    <w:p>
      <w:pPr>
        <w:pStyle w:val="ListParagraph"/>
        <w:numPr>
          <w:ilvl w:val="0"/>
          <w:numId w:val="2"/>
        </w:numPr>
        <w:spacing w:after="60" w:before="60"/>
      </w:pPr>
      <w:r>
        <w:rPr>
          <w:rFonts w:ascii="Arial" w:cs="Arial" w:eastAsia="Arial" w:hAnsi="Arial"/>
          <w:color w:val="1A1A1A"/>
          <w:sz w:val="22"/>
          <w:szCs w:val="22"/>
        </w:rPr>
        <w:t xml:space="preserve">Entregar los productos acordados en las fechas y condiciones pactadas.</w:t>
      </w:r>
    </w:p>
    <w:p>
      <w:pPr>
        <w:spacing w:after="80" w:before="220"/>
      </w:pPr>
      <w:r>
        <w:rPr>
          <w:rFonts w:ascii="Arial" w:cs="Arial" w:eastAsia="Arial" w:hAnsi="Arial"/>
          <w:b/>
          <w:bCs/>
          <w:color w:val="1F4E79"/>
          <w:sz w:val="22"/>
          <w:szCs w:val="22"/>
        </w:rPr>
        <w:t xml:space="preserve">4.2. </w:t>
      </w:r>
      <w:r>
        <w:rPr>
          <w:rFonts w:ascii="Arial" w:cs="Arial" w:eastAsia="Arial" w:hAnsi="Arial"/>
          <w:b/>
          <w:bCs/>
          <w:color w:val="1A1A1A"/>
          <w:sz w:val="22"/>
          <w:szCs w:val="22"/>
        </w:rPr>
        <w:t xml:space="preserve">OBLIGACIONES DEL CLIENTE.</w:t>
      </w:r>
    </w:p>
    <w:p>
      <w:pPr>
        <w:spacing w:after="80" w:before="80" w:line="320" w:lineRule="auto"/>
        <w:ind w:left="360"/>
        <w:jc w:val="both"/>
      </w:pPr>
      <w:r>
        <w:rPr>
          <w:rFonts w:ascii="Arial" w:cs="Arial" w:eastAsia="Arial" w:hAnsi="Arial"/>
          <w:color w:val="1A1A1A"/>
          <w:sz w:val="22"/>
          <w:szCs w:val="22"/>
        </w:rPr>
        <w:t xml:space="preserve">El Cliente se obliga a:</w:t>
      </w:r>
    </w:p>
    <w:p>
      <w:pPr>
        <w:pStyle w:val="ListParagraph"/>
        <w:numPr>
          <w:ilvl w:val="0"/>
          <w:numId w:val="2"/>
        </w:numPr>
        <w:spacing w:after="60" w:before="60"/>
      </w:pPr>
      <w:r>
        <w:rPr>
          <w:rFonts w:ascii="Arial" w:cs="Arial" w:eastAsia="Arial" w:hAnsi="Arial"/>
          <w:color w:val="1A1A1A"/>
          <w:sz w:val="22"/>
          <w:szCs w:val="22"/>
        </w:rPr>
        <w:t xml:space="preserve">Proporcionar oportunamente la información, accesos y recursos necesarios para la prestación del servicio.</w:t>
      </w:r>
    </w:p>
    <w:p>
      <w:pPr>
        <w:pStyle w:val="ListParagraph"/>
        <w:numPr>
          <w:ilvl w:val="0"/>
          <w:numId w:val="2"/>
        </w:numPr>
        <w:spacing w:after="60" w:before="60"/>
      </w:pPr>
      <w:r>
        <w:rPr>
          <w:rFonts w:ascii="Arial" w:cs="Arial" w:eastAsia="Arial" w:hAnsi="Arial"/>
          <w:color w:val="1A1A1A"/>
          <w:sz w:val="22"/>
          <w:szCs w:val="22"/>
        </w:rPr>
        <w:t xml:space="preserve">Designar un interlocutor o punto de contacto con capacidad de toma de decisiones.</w:t>
      </w:r>
    </w:p>
    <w:p>
      <w:pPr>
        <w:pStyle w:val="ListParagraph"/>
        <w:numPr>
          <w:ilvl w:val="0"/>
          <w:numId w:val="2"/>
        </w:numPr>
        <w:spacing w:after="60" w:before="60"/>
      </w:pPr>
      <w:r>
        <w:rPr>
          <w:rFonts w:ascii="Arial" w:cs="Arial" w:eastAsia="Arial" w:hAnsi="Arial"/>
          <w:color w:val="1A1A1A"/>
          <w:sz w:val="22"/>
          <w:szCs w:val="22"/>
        </w:rPr>
        <w:t xml:space="preserve">Realizar los pagos en las fechas acordadas.</w:t>
      </w:r>
    </w:p>
    <w:p>
      <w:pPr>
        <w:pStyle w:val="ListParagraph"/>
        <w:numPr>
          <w:ilvl w:val="0"/>
          <w:numId w:val="2"/>
        </w:numPr>
        <w:spacing w:after="60" w:before="60"/>
      </w:pPr>
      <w:r>
        <w:rPr>
          <w:rFonts w:ascii="Arial" w:cs="Arial" w:eastAsia="Arial" w:hAnsi="Arial"/>
          <w:color w:val="1A1A1A"/>
          <w:sz w:val="22"/>
          <w:szCs w:val="22"/>
        </w:rPr>
        <w:t xml:space="preserve">Cooperar activamente en las etapas del proyecto que requieran su participación.</w:t>
      </w:r>
    </w:p>
    <w:p>
      <w:pPr>
        <w:pStyle w:val="ListParagraph"/>
        <w:numPr>
          <w:ilvl w:val="0"/>
          <w:numId w:val="2"/>
        </w:numPr>
        <w:spacing w:after="60" w:before="60"/>
      </w:pPr>
      <w:r>
        <w:rPr>
          <w:rFonts w:ascii="Arial" w:cs="Arial" w:eastAsia="Arial" w:hAnsi="Arial"/>
          <w:color w:val="1A1A1A"/>
          <w:sz w:val="22"/>
          <w:szCs w:val="22"/>
        </w:rPr>
        <w:t xml:space="preserve">Notificar a PYMIA cualquier cambio en sus procesos que pueda afectar el proyecto.</w:t>
      </w:r>
    </w:p>
    <w:p>
      <w:pPr>
        <w:pStyle w:val="ListParagraph"/>
        <w:numPr>
          <w:ilvl w:val="0"/>
          <w:numId w:val="2"/>
        </w:numPr>
        <w:spacing w:after="60" w:before="60"/>
      </w:pPr>
      <w:r>
        <w:rPr>
          <w:rFonts w:ascii="Arial" w:cs="Arial" w:eastAsia="Arial" w:hAnsi="Arial"/>
          <w:color w:val="1A1A1A"/>
          <w:sz w:val="22"/>
          <w:szCs w:val="22"/>
        </w:rPr>
        <w:t xml:space="preserve">Garantizar que la información suministrada a PYMIA no infringe derechos de terceros.</w:t>
      </w:r>
    </w:p>
    <w:p>
      <w:pPr>
        <w:pStyle w:val="Heading1"/>
        <w:pBdr>
          <w:bottom w:val="single" w:color="1F4E79" w:sz="8" w:space="6"/>
        </w:pBdr>
        <w:spacing w:after="140" w:before="400"/>
      </w:pPr>
      <w:r>
        <w:rPr>
          <w:rFonts w:ascii="Arial" w:cs="Arial" w:eastAsia="Arial" w:hAnsi="Arial"/>
          <w:b/>
          <w:bCs/>
          <w:color w:val="1F4E79"/>
          <w:sz w:val="28"/>
          <w:szCs w:val="28"/>
        </w:rPr>
        <w:t xml:space="preserve">5. PROPIEDAD INTELECTUAL</w:t>
      </w:r>
    </w:p>
    <w:p>
      <w:pPr>
        <w:spacing w:after="80" w:before="220"/>
      </w:pPr>
      <w:r>
        <w:rPr>
          <w:rFonts w:ascii="Arial" w:cs="Arial" w:eastAsia="Arial" w:hAnsi="Arial"/>
          <w:b/>
          <w:bCs/>
          <w:color w:val="1F4E79"/>
          <w:sz w:val="22"/>
          <w:szCs w:val="22"/>
        </w:rPr>
        <w:t xml:space="preserve">5.1. </w:t>
      </w:r>
      <w:r>
        <w:rPr>
          <w:rFonts w:ascii="Arial" w:cs="Arial" w:eastAsia="Arial" w:hAnsi="Arial"/>
          <w:b/>
          <w:bCs/>
          <w:color w:val="1A1A1A"/>
          <w:sz w:val="22"/>
          <w:szCs w:val="22"/>
        </w:rPr>
        <w:t xml:space="preserve">PROPIEDAD DE ENTREGABLES.</w:t>
      </w:r>
    </w:p>
    <w:p>
      <w:pPr>
        <w:spacing w:after="80" w:before="80" w:line="320" w:lineRule="auto"/>
        <w:ind w:left="360"/>
        <w:jc w:val="both"/>
      </w:pPr>
      <w:r>
        <w:rPr>
          <w:rFonts w:ascii="Arial" w:cs="Arial" w:eastAsia="Arial" w:hAnsi="Arial"/>
          <w:color w:val="1A1A1A"/>
          <w:sz w:val="22"/>
          <w:szCs w:val="22"/>
        </w:rPr>
        <w:t xml:space="preserve">Salvo acuerdo expreso en contrario, los entregables desarrollados específicamente para el Cliente en el marco del proyecto serán de propiedad del Cliente una vez realizados todos los pagos correspondientes. Los derechos de autor se entenderán cedidos al Cliente en ese momento, sin necesidad de instrumento adicional.</w:t>
      </w:r>
    </w:p>
    <w:p>
      <w:pPr>
        <w:spacing w:after="80" w:before="220"/>
      </w:pPr>
      <w:r>
        <w:rPr>
          <w:rFonts w:ascii="Arial" w:cs="Arial" w:eastAsia="Arial" w:hAnsi="Arial"/>
          <w:b/>
          <w:bCs/>
          <w:color w:val="1F4E79"/>
          <w:sz w:val="22"/>
          <w:szCs w:val="22"/>
        </w:rPr>
        <w:t xml:space="preserve">5.2. </w:t>
      </w:r>
      <w:r>
        <w:rPr>
          <w:rFonts w:ascii="Arial" w:cs="Arial" w:eastAsia="Arial" w:hAnsi="Arial"/>
          <w:b/>
          <w:bCs/>
          <w:color w:val="1A1A1A"/>
          <w:sz w:val="22"/>
          <w:szCs w:val="22"/>
        </w:rPr>
        <w:t xml:space="preserve">PROPIEDAD DE PYMIA.</w:t>
      </w:r>
    </w:p>
    <w:p>
      <w:pPr>
        <w:spacing w:after="80" w:before="80" w:line="320" w:lineRule="auto"/>
        <w:ind w:left="360"/>
        <w:jc w:val="both"/>
      </w:pPr>
      <w:r>
        <w:rPr>
          <w:rFonts w:ascii="Arial" w:cs="Arial" w:eastAsia="Arial" w:hAnsi="Arial"/>
          <w:color w:val="1A1A1A"/>
          <w:sz w:val="22"/>
          <w:szCs w:val="22"/>
        </w:rPr>
        <w:t xml:space="preserve">PYMIA S.A.S. conservará en todo momento la propiedad sobre: (i) su metodología, frameworks y know-how propietario; (ii) herramientas, scripts y componentes genéricos reutilizables desarrollados previamente o durante el proyecto; (iii) cualquier propiedad intelectual no desarrollada específicamente para el Cliente. El Cliente recibirá una licencia de uso sobre dichos elementos en la medida necesaria para aprovechar los entregables.</w:t>
      </w:r>
    </w:p>
    <w:p>
      <w:pPr>
        <w:spacing w:after="80" w:before="220"/>
      </w:pPr>
      <w:r>
        <w:rPr>
          <w:rFonts w:ascii="Arial" w:cs="Arial" w:eastAsia="Arial" w:hAnsi="Arial"/>
          <w:b/>
          <w:bCs/>
          <w:color w:val="1F4E79"/>
          <w:sz w:val="22"/>
          <w:szCs w:val="22"/>
        </w:rPr>
        <w:t xml:space="preserve">5.3. </w:t>
      </w:r>
      <w:r>
        <w:rPr>
          <w:rFonts w:ascii="Arial" w:cs="Arial" w:eastAsia="Arial" w:hAnsi="Arial"/>
          <w:b/>
          <w:bCs/>
          <w:color w:val="1A1A1A"/>
          <w:sz w:val="22"/>
          <w:szCs w:val="22"/>
        </w:rPr>
        <w:t xml:space="preserve">LICENCIA DE USO DEL CLIENTE.</w:t>
      </w:r>
    </w:p>
    <w:p>
      <w:pPr>
        <w:spacing w:after="80" w:before="80" w:line="320" w:lineRule="auto"/>
        <w:ind w:left="360"/>
        <w:jc w:val="both"/>
      </w:pPr>
      <w:r>
        <w:rPr>
          <w:rFonts w:ascii="Arial" w:cs="Arial" w:eastAsia="Arial" w:hAnsi="Arial"/>
          <w:color w:val="1A1A1A"/>
          <w:sz w:val="22"/>
          <w:szCs w:val="22"/>
        </w:rPr>
        <w:t xml:space="preserve">El Cliente otorga a PYMIA una licencia no exclusiva y gratuita para usar el nombre del Cliente como referencia comercial (caso de éxito), salvo que el Cliente solicite expresamente lo contrario por escrito.</w:t>
      </w:r>
    </w:p>
    <w:p>
      <w:pPr>
        <w:pStyle w:val="Heading1"/>
        <w:pBdr>
          <w:bottom w:val="single" w:color="1F4E79" w:sz="8" w:space="6"/>
        </w:pBdr>
        <w:spacing w:after="140" w:before="400"/>
      </w:pPr>
      <w:r>
        <w:rPr>
          <w:rFonts w:ascii="Arial" w:cs="Arial" w:eastAsia="Arial" w:hAnsi="Arial"/>
          <w:b/>
          <w:bCs/>
          <w:color w:val="1F4E79"/>
          <w:sz w:val="28"/>
          <w:szCs w:val="28"/>
        </w:rPr>
        <w:t xml:space="preserve">6. CONFIDENCIALIDAD</w:t>
      </w:r>
    </w:p>
    <w:p>
      <w:pPr>
        <w:spacing w:after="80" w:before="220"/>
      </w:pPr>
      <w:r>
        <w:rPr>
          <w:rFonts w:ascii="Arial" w:cs="Arial" w:eastAsia="Arial" w:hAnsi="Arial"/>
          <w:b/>
          <w:bCs/>
          <w:color w:val="1F4E79"/>
          <w:sz w:val="22"/>
          <w:szCs w:val="22"/>
        </w:rPr>
        <w:t xml:space="preserve">6.1. </w:t>
      </w:r>
      <w:r>
        <w:rPr>
          <w:rFonts w:ascii="Arial" w:cs="Arial" w:eastAsia="Arial" w:hAnsi="Arial"/>
          <w:b/>
          <w:bCs/>
          <w:color w:val="1A1A1A"/>
          <w:sz w:val="22"/>
          <w:szCs w:val="22"/>
        </w:rPr>
        <w:t xml:space="preserve">APLICACIÓN DEL NDA.</w:t>
      </w:r>
    </w:p>
    <w:p>
      <w:pPr>
        <w:spacing w:after="80" w:before="80" w:line="320" w:lineRule="auto"/>
        <w:ind w:left="360"/>
        <w:jc w:val="both"/>
      </w:pPr>
      <w:r>
        <w:rPr>
          <w:rFonts w:ascii="Arial" w:cs="Arial" w:eastAsia="Arial" w:hAnsi="Arial"/>
          <w:color w:val="1A1A1A"/>
          <w:sz w:val="22"/>
          <w:szCs w:val="22"/>
        </w:rPr>
        <w:t xml:space="preserve">Las obligaciones de confidencialidad se rigen por el Acuerdo de Confidencialidad (NDA) suscrito entre las partes. Si no existe NDA separado, aplica el siguiente estándar mínimo: ambas partes se obligan a no divulgar información técnica, comercial o financiera de la otra parte a terceros sin autorización escrita, durante la vigencia del contrato y por dos (2) años posteriores.</w:t>
      </w:r>
    </w:p>
    <w:p>
      <w:pPr>
        <w:pStyle w:val="Heading1"/>
        <w:pBdr>
          <w:bottom w:val="single" w:color="1F4E79" w:sz="8" w:space="6"/>
        </w:pBdr>
        <w:spacing w:after="140" w:before="400"/>
      </w:pPr>
      <w:r>
        <w:rPr>
          <w:rFonts w:ascii="Arial" w:cs="Arial" w:eastAsia="Arial" w:hAnsi="Arial"/>
          <w:b/>
          <w:bCs/>
          <w:color w:val="1F4E79"/>
          <w:sz w:val="28"/>
          <w:szCs w:val="28"/>
        </w:rPr>
        <w:t xml:space="preserve">7. LIMITACIÓN DE RESPONSABILIDAD</w:t>
      </w:r>
    </w:p>
    <w:p>
      <w:pPr>
        <w:spacing w:after="80" w:before="220"/>
      </w:pPr>
      <w:r>
        <w:rPr>
          <w:rFonts w:ascii="Arial" w:cs="Arial" w:eastAsia="Arial" w:hAnsi="Arial"/>
          <w:b/>
          <w:bCs/>
          <w:color w:val="1F4E79"/>
          <w:sz w:val="22"/>
          <w:szCs w:val="22"/>
        </w:rPr>
        <w:t xml:space="preserve">7.1. </w:t>
      </w:r>
      <w:r>
        <w:rPr>
          <w:rFonts w:ascii="Arial" w:cs="Arial" w:eastAsia="Arial" w:hAnsi="Arial"/>
          <w:b/>
          <w:bCs/>
          <w:color w:val="1A1A1A"/>
          <w:sz w:val="22"/>
          <w:szCs w:val="22"/>
        </w:rPr>
        <w:t xml:space="preserve">RESPONSABILIDAD DE PYMIA.</w:t>
      </w:r>
    </w:p>
    <w:p>
      <w:pPr>
        <w:spacing w:after="80" w:before="80" w:line="320" w:lineRule="auto"/>
        <w:ind w:left="360"/>
        <w:jc w:val="both"/>
      </w:pPr>
      <w:r>
        <w:rPr>
          <w:rFonts w:ascii="Arial" w:cs="Arial" w:eastAsia="Arial" w:hAnsi="Arial"/>
          <w:color w:val="1A1A1A"/>
          <w:sz w:val="22"/>
          <w:szCs w:val="22"/>
        </w:rPr>
        <w:t xml:space="preserve">La responsabilidad total de PYMIA S.A.S. por cualquier concepto bajo este contrato estará limitada al valor total pagado por el Cliente en los últimos tres (3) meses de servicio. PYMIA no será responsable por daños indirectos, lucro cesante, pérdida de datos o daño reputacional, salvo dolo o culpa grave comprobada.</w:t>
      </w:r>
    </w:p>
    <w:p>
      <w:pPr>
        <w:spacing w:after="80" w:before="220"/>
      </w:pPr>
      <w:r>
        <w:rPr>
          <w:rFonts w:ascii="Arial" w:cs="Arial" w:eastAsia="Arial" w:hAnsi="Arial"/>
          <w:b/>
          <w:bCs/>
          <w:color w:val="1F4E79"/>
          <w:sz w:val="22"/>
          <w:szCs w:val="22"/>
        </w:rPr>
        <w:t xml:space="preserve">7.2. </w:t>
      </w:r>
      <w:r>
        <w:rPr>
          <w:rFonts w:ascii="Arial" w:cs="Arial" w:eastAsia="Arial" w:hAnsi="Arial"/>
          <w:b/>
          <w:bCs/>
          <w:color w:val="1A1A1A"/>
          <w:sz w:val="22"/>
          <w:szCs w:val="22"/>
        </w:rPr>
        <w:t xml:space="preserve">CASO FORTUITO Y FUERZA MAYOR.</w:t>
      </w:r>
    </w:p>
    <w:p>
      <w:pPr>
        <w:spacing w:after="80" w:before="80" w:line="320" w:lineRule="auto"/>
        <w:ind w:left="360"/>
        <w:jc w:val="both"/>
      </w:pPr>
      <w:r>
        <w:rPr>
          <w:rFonts w:ascii="Arial" w:cs="Arial" w:eastAsia="Arial" w:hAnsi="Arial"/>
          <w:color w:val="1A1A1A"/>
          <w:sz w:val="22"/>
          <w:szCs w:val="22"/>
        </w:rPr>
        <w:t xml:space="preserve">PYMIA no será responsable por incumplimientos causados por eventos de fuerza mayor o caso fortuito (ej. desastres naturales, fallos de infraestructura de terceros, pandemia, actos de autoridad) conforme al artículo 64 del Código Civil colombiano. En estos casos, notificará al Cliente en un plazo máximo de 48 horas y acordarán un plan de continuidad.</w:t>
      </w:r>
    </w:p>
    <w:p>
      <w:pPr>
        <w:pStyle w:val="Heading1"/>
        <w:pBdr>
          <w:bottom w:val="single" w:color="1F4E79" w:sz="8" w:space="6"/>
        </w:pBdr>
        <w:spacing w:after="140" w:before="400"/>
      </w:pPr>
      <w:r>
        <w:rPr>
          <w:rFonts w:ascii="Arial" w:cs="Arial" w:eastAsia="Arial" w:hAnsi="Arial"/>
          <w:b/>
          <w:bCs/>
          <w:color w:val="1F4E79"/>
          <w:sz w:val="28"/>
          <w:szCs w:val="28"/>
        </w:rPr>
        <w:t xml:space="preserve">8. PLAZO, TERMINACIÓN Y SUSPENSIÓN</w:t>
      </w:r>
    </w:p>
    <w:p>
      <w:pPr>
        <w:spacing w:after="80" w:before="220"/>
      </w:pPr>
      <w:r>
        <w:rPr>
          <w:rFonts w:ascii="Arial" w:cs="Arial" w:eastAsia="Arial" w:hAnsi="Arial"/>
          <w:b/>
          <w:bCs/>
          <w:color w:val="1F4E79"/>
          <w:sz w:val="22"/>
          <w:szCs w:val="22"/>
        </w:rPr>
        <w:t xml:space="preserve">8.1. </w:t>
      </w:r>
      <w:r>
        <w:rPr>
          <w:rFonts w:ascii="Arial" w:cs="Arial" w:eastAsia="Arial" w:hAnsi="Arial"/>
          <w:b/>
          <w:bCs/>
          <w:color w:val="1A1A1A"/>
          <w:sz w:val="22"/>
          <w:szCs w:val="22"/>
        </w:rPr>
        <w:t xml:space="preserve">DURACIÓN.</w:t>
      </w:r>
    </w:p>
    <w:p>
      <w:pPr>
        <w:spacing w:after="80" w:before="80" w:line="320" w:lineRule="auto"/>
        <w:ind w:left="360"/>
        <w:jc w:val="both"/>
      </w:pPr>
      <w:r>
        <w:rPr>
          <w:rFonts w:ascii="Arial" w:cs="Arial" w:eastAsia="Arial" w:hAnsi="Arial"/>
          <w:color w:val="1A1A1A"/>
          <w:sz w:val="22"/>
          <w:szCs w:val="22"/>
        </w:rPr>
        <w:t xml:space="preserve">El contrato tendrá la duración establecida en la Propuesta Comercial. Si no se especifica, se entenderá vigente hasta la entrega y aceptación de los entregables por parte del Cliente.</w:t>
      </w:r>
    </w:p>
    <w:p>
      <w:pPr>
        <w:spacing w:after="80" w:before="220"/>
      </w:pPr>
      <w:r>
        <w:rPr>
          <w:rFonts w:ascii="Arial" w:cs="Arial" w:eastAsia="Arial" w:hAnsi="Arial"/>
          <w:b/>
          <w:bCs/>
          <w:color w:val="1F4E79"/>
          <w:sz w:val="22"/>
          <w:szCs w:val="22"/>
        </w:rPr>
        <w:t xml:space="preserve">8.2. </w:t>
      </w:r>
      <w:r>
        <w:rPr>
          <w:rFonts w:ascii="Arial" w:cs="Arial" w:eastAsia="Arial" w:hAnsi="Arial"/>
          <w:b/>
          <w:bCs/>
          <w:color w:val="1A1A1A"/>
          <w:sz w:val="22"/>
          <w:szCs w:val="22"/>
        </w:rPr>
        <w:t xml:space="preserve">TERMINACIÓN POR INCUMPLIMIENTO.</w:t>
      </w:r>
    </w:p>
    <w:p>
      <w:pPr>
        <w:spacing w:after="80" w:before="80" w:line="320" w:lineRule="auto"/>
        <w:ind w:left="360"/>
        <w:jc w:val="both"/>
      </w:pPr>
      <w:r>
        <w:rPr>
          <w:rFonts w:ascii="Arial" w:cs="Arial" w:eastAsia="Arial" w:hAnsi="Arial"/>
          <w:color w:val="1A1A1A"/>
          <w:sz w:val="22"/>
          <w:szCs w:val="22"/>
        </w:rPr>
        <w:t xml:space="preserve">Cualquiera de las partes podrá terminar el contrato si la otra incumple materialmente sus obligaciones y no subsana el incumplimiento dentro de los quince (15) días hábiles siguientes a la notificación escrita. En caso de terminación por incumplimiento del Cliente, PYMIA tendrá derecho al pago proporcional del trabajo ejecutado más los perjuicios causados.</w:t>
      </w:r>
    </w:p>
    <w:p>
      <w:pPr>
        <w:spacing w:after="80" w:before="220"/>
      </w:pPr>
      <w:r>
        <w:rPr>
          <w:rFonts w:ascii="Arial" w:cs="Arial" w:eastAsia="Arial" w:hAnsi="Arial"/>
          <w:b/>
          <w:bCs/>
          <w:color w:val="1F4E79"/>
          <w:sz w:val="22"/>
          <w:szCs w:val="22"/>
        </w:rPr>
        <w:t xml:space="preserve">8.3. </w:t>
      </w:r>
      <w:r>
        <w:rPr>
          <w:rFonts w:ascii="Arial" w:cs="Arial" w:eastAsia="Arial" w:hAnsi="Arial"/>
          <w:b/>
          <w:bCs/>
          <w:color w:val="1A1A1A"/>
          <w:sz w:val="22"/>
          <w:szCs w:val="22"/>
        </w:rPr>
        <w:t xml:space="preserve">TERMINACIÓN UNILATERAL SIN CAUSA.</w:t>
      </w:r>
    </w:p>
    <w:p>
      <w:pPr>
        <w:spacing w:after="80" w:before="80" w:line="320" w:lineRule="auto"/>
        <w:ind w:left="360"/>
        <w:jc w:val="both"/>
      </w:pPr>
      <w:r>
        <w:rPr>
          <w:rFonts w:ascii="Arial" w:cs="Arial" w:eastAsia="Arial" w:hAnsi="Arial"/>
          <w:color w:val="1A1A1A"/>
          <w:sz w:val="22"/>
          <w:szCs w:val="22"/>
        </w:rPr>
        <w:t xml:space="preserve">El Cliente podrá terminar unilateralmente el contrato con treinta (30) días de aviso previo, pagando el trabajo ejecutado hasta la fecha de terminación más una penalidad equivalente al 20% del valor restante del contrato, como compensación por la reorganización de recursos de PYMIA.</w:t>
      </w:r>
    </w:p>
    <w:p>
      <w:pPr>
        <w:pStyle w:val="Heading1"/>
        <w:pBdr>
          <w:bottom w:val="single" w:color="1F4E79" w:sz="8" w:space="6"/>
        </w:pBdr>
        <w:spacing w:after="140" w:before="400"/>
      </w:pPr>
      <w:r>
        <w:rPr>
          <w:rFonts w:ascii="Arial" w:cs="Arial" w:eastAsia="Arial" w:hAnsi="Arial"/>
          <w:b/>
          <w:bCs/>
          <w:color w:val="1F4E79"/>
          <w:sz w:val="28"/>
          <w:szCs w:val="28"/>
        </w:rPr>
        <w:t xml:space="preserve">9. LEY APLICABLE Y SOLUCIÓN DE CONTROVERSIAS</w:t>
      </w:r>
    </w:p>
    <w:p>
      <w:pPr>
        <w:spacing w:after="80" w:before="220"/>
      </w:pPr>
      <w:r>
        <w:rPr>
          <w:rFonts w:ascii="Arial" w:cs="Arial" w:eastAsia="Arial" w:hAnsi="Arial"/>
          <w:b/>
          <w:bCs/>
          <w:color w:val="1F4E79"/>
          <w:sz w:val="22"/>
          <w:szCs w:val="22"/>
        </w:rPr>
        <w:t xml:space="preserve">9.1. </w:t>
      </w:r>
      <w:r>
        <w:rPr>
          <w:rFonts w:ascii="Arial" w:cs="Arial" w:eastAsia="Arial" w:hAnsi="Arial"/>
          <w:b/>
          <w:bCs/>
          <w:color w:val="1A1A1A"/>
          <w:sz w:val="22"/>
          <w:szCs w:val="22"/>
        </w:rPr>
        <w:t xml:space="preserve">LEY APLICABLE.</w:t>
      </w:r>
    </w:p>
    <w:p>
      <w:pPr>
        <w:spacing w:after="80" w:before="80" w:line="320" w:lineRule="auto"/>
        <w:ind w:left="360"/>
        <w:jc w:val="both"/>
      </w:pPr>
      <w:r>
        <w:rPr>
          <w:rFonts w:ascii="Arial" w:cs="Arial" w:eastAsia="Arial" w:hAnsi="Arial"/>
          <w:color w:val="1A1A1A"/>
          <w:sz w:val="22"/>
          <w:szCs w:val="22"/>
        </w:rPr>
        <w:t xml:space="preserve">El presente contrato se rige por las leyes de la República de Colombia, en especial el Código de Comercio, la Ley 1480 de 2011 (Estatuto del Consumidor, cuando aplique), y las normas de propiedad intelectual vigentes.</w:t>
      </w:r>
    </w:p>
    <w:p>
      <w:pPr>
        <w:spacing w:after="80" w:before="220"/>
      </w:pPr>
      <w:r>
        <w:rPr>
          <w:rFonts w:ascii="Arial" w:cs="Arial" w:eastAsia="Arial" w:hAnsi="Arial"/>
          <w:b/>
          <w:bCs/>
          <w:color w:val="1F4E79"/>
          <w:sz w:val="22"/>
          <w:szCs w:val="22"/>
        </w:rPr>
        <w:t xml:space="preserve">9.2. </w:t>
      </w:r>
      <w:r>
        <w:rPr>
          <w:rFonts w:ascii="Arial" w:cs="Arial" w:eastAsia="Arial" w:hAnsi="Arial"/>
          <w:b/>
          <w:bCs/>
          <w:color w:val="1A1A1A"/>
          <w:sz w:val="22"/>
          <w:szCs w:val="22"/>
        </w:rPr>
        <w:t xml:space="preserve">SOLUCIÓN DE CONTROVERSIAS.</w:t>
      </w:r>
    </w:p>
    <w:p>
      <w:pPr>
        <w:spacing w:after="80" w:before="80" w:line="320" w:lineRule="auto"/>
        <w:ind w:left="360"/>
        <w:jc w:val="both"/>
      </w:pPr>
      <w:r>
        <w:rPr>
          <w:rFonts w:ascii="Arial" w:cs="Arial" w:eastAsia="Arial" w:hAnsi="Arial"/>
          <w:color w:val="1A1A1A"/>
          <w:sz w:val="22"/>
          <w:szCs w:val="22"/>
        </w:rPr>
        <w:t xml:space="preserve">Las controversias derivadas de este contrato se resolverán: (i) primero, mediante negociación directa entre las partes en un plazo de 15 días hábiles; (ii) de no llegarse a acuerdo, mediante arbitraje institucional ante el Centro de Arbitraje y Conciliación de la Cámara de Comercio de Bogotá, con árbitro único y en derecho.</w:t>
      </w:r>
    </w:p>
    <w:p>
      <w:pPr>
        <w:pStyle w:val="Heading1"/>
        <w:pBdr>
          <w:bottom w:val="single" w:color="1F4E79" w:sz="8" w:space="6"/>
        </w:pBdr>
        <w:spacing w:after="140" w:before="400"/>
      </w:pPr>
      <w:r>
        <w:rPr>
          <w:rFonts w:ascii="Arial" w:cs="Arial" w:eastAsia="Arial" w:hAnsi="Arial"/>
          <w:b/>
          <w:bCs/>
          <w:color w:val="1F4E79"/>
          <w:sz w:val="28"/>
          <w:szCs w:val="28"/>
        </w:rPr>
        <w:t xml:space="preserve">10. DISPOSICIONES GENERALES</w:t>
      </w:r>
    </w:p>
    <w:p>
      <w:pPr>
        <w:spacing w:after="80" w:before="220"/>
      </w:pPr>
      <w:r>
        <w:rPr>
          <w:rFonts w:ascii="Arial" w:cs="Arial" w:eastAsia="Arial" w:hAnsi="Arial"/>
          <w:b/>
          <w:bCs/>
          <w:color w:val="1F4E79"/>
          <w:sz w:val="22"/>
          <w:szCs w:val="22"/>
        </w:rPr>
        <w:t xml:space="preserve">10.1. </w:t>
      </w:r>
      <w:r>
        <w:rPr>
          <w:rFonts w:ascii="Arial" w:cs="Arial" w:eastAsia="Arial" w:hAnsi="Arial"/>
          <w:b/>
          <w:bCs/>
          <w:color w:val="1A1A1A"/>
          <w:sz w:val="22"/>
          <w:szCs w:val="22"/>
        </w:rPr>
        <w:t xml:space="preserve">MODIFICACIONES.</w:t>
      </w:r>
    </w:p>
    <w:p>
      <w:pPr>
        <w:spacing w:after="80" w:before="80" w:line="320" w:lineRule="auto"/>
        <w:ind w:left="360"/>
        <w:jc w:val="both"/>
      </w:pPr>
      <w:r>
        <w:rPr>
          <w:rFonts w:ascii="Arial" w:cs="Arial" w:eastAsia="Arial" w:hAnsi="Arial"/>
          <w:color w:val="1A1A1A"/>
          <w:sz w:val="22"/>
          <w:szCs w:val="22"/>
        </w:rPr>
        <w:t xml:space="preserve">PYMIA S.A.S. podrá actualizar estos Términos y Condiciones con un preaviso de treinta (30) días. Para contratos en ejecución, las modificaciones requerirán acuerdo escrito de ambas partes.</w:t>
      </w:r>
    </w:p>
    <w:p>
      <w:pPr>
        <w:spacing w:after="80" w:before="220"/>
      </w:pPr>
      <w:r>
        <w:rPr>
          <w:rFonts w:ascii="Arial" w:cs="Arial" w:eastAsia="Arial" w:hAnsi="Arial"/>
          <w:b/>
          <w:bCs/>
          <w:color w:val="1F4E79"/>
          <w:sz w:val="22"/>
          <w:szCs w:val="22"/>
        </w:rPr>
        <w:t xml:space="preserve">10.2. </w:t>
      </w:r>
      <w:r>
        <w:rPr>
          <w:rFonts w:ascii="Arial" w:cs="Arial" w:eastAsia="Arial" w:hAnsi="Arial"/>
          <w:b/>
          <w:bCs/>
          <w:color w:val="1A1A1A"/>
          <w:sz w:val="22"/>
          <w:szCs w:val="22"/>
        </w:rPr>
        <w:t xml:space="preserve">INDEPENDENCIA DE CLÁUSULAS.</w:t>
      </w:r>
    </w:p>
    <w:p>
      <w:pPr>
        <w:spacing w:after="80" w:before="80" w:line="320" w:lineRule="auto"/>
        <w:ind w:left="360"/>
        <w:jc w:val="both"/>
      </w:pPr>
      <w:r>
        <w:rPr>
          <w:rFonts w:ascii="Arial" w:cs="Arial" w:eastAsia="Arial" w:hAnsi="Arial"/>
          <w:color w:val="1A1A1A"/>
          <w:sz w:val="22"/>
          <w:szCs w:val="22"/>
        </w:rPr>
        <w:t xml:space="preserve">Si alguna cláusula de estos Términos fuere declarada inválida, las demás permanecerán en plena vigencia.</w:t>
      </w:r>
    </w:p>
    <w:p>
      <w:pPr>
        <w:spacing w:after="80" w:before="220"/>
      </w:pPr>
      <w:r>
        <w:rPr>
          <w:rFonts w:ascii="Arial" w:cs="Arial" w:eastAsia="Arial" w:hAnsi="Arial"/>
          <w:b/>
          <w:bCs/>
          <w:color w:val="1F4E79"/>
          <w:sz w:val="22"/>
          <w:szCs w:val="22"/>
        </w:rPr>
        <w:t xml:space="preserve">10.3. </w:t>
      </w:r>
      <w:r>
        <w:rPr>
          <w:rFonts w:ascii="Arial" w:cs="Arial" w:eastAsia="Arial" w:hAnsi="Arial"/>
          <w:b/>
          <w:bCs/>
          <w:color w:val="1A1A1A"/>
          <w:sz w:val="22"/>
          <w:szCs w:val="22"/>
        </w:rPr>
        <w:t xml:space="preserve">RENUNCIA.</w:t>
      </w:r>
    </w:p>
    <w:p>
      <w:pPr>
        <w:spacing w:after="80" w:before="80" w:line="320" w:lineRule="auto"/>
        <w:ind w:left="360"/>
        <w:jc w:val="both"/>
      </w:pPr>
      <w:r>
        <w:rPr>
          <w:rFonts w:ascii="Arial" w:cs="Arial" w:eastAsia="Arial" w:hAnsi="Arial"/>
          <w:color w:val="1A1A1A"/>
          <w:sz w:val="22"/>
          <w:szCs w:val="22"/>
        </w:rPr>
        <w:t xml:space="preserve">La omisión de exigir el cumplimiento de cualquier disposición de estos Términos no constituye renuncia al derecho de exigirla en el futuro.</w:t>
      </w:r>
    </w:p>
    <w:p>
      <w:pPr>
        <w:spacing w:after="80" w:before="220"/>
      </w:pPr>
      <w:r>
        <w:rPr>
          <w:rFonts w:ascii="Arial" w:cs="Arial" w:eastAsia="Arial" w:hAnsi="Arial"/>
          <w:b/>
          <w:bCs/>
          <w:color w:val="1F4E79"/>
          <w:sz w:val="22"/>
          <w:szCs w:val="22"/>
        </w:rPr>
        <w:t xml:space="preserve">10.4. </w:t>
      </w:r>
      <w:r>
        <w:rPr>
          <w:rFonts w:ascii="Arial" w:cs="Arial" w:eastAsia="Arial" w:hAnsi="Arial"/>
          <w:b/>
          <w:bCs/>
          <w:color w:val="1A1A1A"/>
          <w:sz w:val="22"/>
          <w:szCs w:val="22"/>
        </w:rPr>
        <w:t xml:space="preserve">COMUNICACIONES.</w:t>
      </w:r>
    </w:p>
    <w:p>
      <w:pPr>
        <w:spacing w:after="80" w:before="80" w:line="320" w:lineRule="auto"/>
        <w:ind w:left="360"/>
        <w:jc w:val="both"/>
      </w:pPr>
      <w:r>
        <w:rPr>
          <w:rFonts w:ascii="Arial" w:cs="Arial" w:eastAsia="Arial" w:hAnsi="Arial"/>
          <w:color w:val="1A1A1A"/>
          <w:sz w:val="22"/>
          <w:szCs w:val="22"/>
        </w:rPr>
        <w:t xml:space="preserve">Todas las comunicaciones formales entre las partes se realizarán por escrito, preferiblemente por correo electrónico con confirmación de recibido. Las notificaciones a PYMIA S.A.S. deberán dirigirse a: [email de contacto legal] con copia a David Gutierrez.</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5F8FB" w:val="clear"/>
            <w:tcMar>
              <w:top w:type="dxa" w:w="140"/>
              <w:left w:type="dxa" w:w="220"/>
              <w:bottom w:type="dxa" w:w="140"/>
              <w:right w:type="dxa" w:w="220"/>
            </w:tcMar>
          </w:tcPr>
          <w:p>
            <w:pPr>
              <w:spacing w:after="80" w:before="0"/>
            </w:pPr>
            <w:r>
              <w:rPr>
                <w:rFonts w:ascii="Arial" w:cs="Arial" w:eastAsia="Arial" w:hAnsi="Arial"/>
                <w:b/>
                <w:bCs/>
                <w:color w:val="1A1A1A"/>
                <w:sz w:val="20"/>
                <w:szCs w:val="20"/>
              </w:rPr>
              <w:t xml:space="preserve">ACEPTACIÓN — Para adjuntar a propuestas comerciales</w:t>
            </w:r>
          </w:p>
          <w:p>
            <w:pPr>
              <w:spacing w:after="40" w:before="40"/>
            </w:pPr>
            <w:r>
              <w:rPr>
                <w:rFonts w:ascii="Arial" w:cs="Arial" w:eastAsia="Arial" w:hAnsi="Arial"/>
                <w:color w:val="1A1A1A"/>
                <w:sz w:val="20"/>
                <w:szCs w:val="20"/>
              </w:rPr>
              <w:t xml:space="preserve">El Cliente declara haber leído, comprendido y aceptado en su totalidad los presentes Términos y</w:t>
            </w:r>
          </w:p>
          <w:p>
            <w:pPr>
              <w:spacing w:after="40" w:before="40"/>
            </w:pPr>
            <w:r>
              <w:rPr>
                <w:rFonts w:ascii="Arial" w:cs="Arial" w:eastAsia="Arial" w:hAnsi="Arial"/>
                <w:color w:val="1A1A1A"/>
                <w:sz w:val="20"/>
                <w:szCs w:val="20"/>
              </w:rPr>
              <w:t xml:space="preserve">Condiciones de Servicio de PYMIA S.A.S., como parte integral del contrato de consultoría.</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Nombre del Cliente: ___________________________________________________</w:t>
            </w:r>
          </w:p>
          <w:p>
            <w:pPr>
              <w:spacing w:after="40" w:before="40"/>
            </w:pPr>
            <w:r>
              <w:rPr>
                <w:rFonts w:ascii="Arial" w:cs="Arial" w:eastAsia="Arial" w:hAnsi="Arial"/>
                <w:color w:val="1A1A1A"/>
                <w:sz w:val="20"/>
                <w:szCs w:val="20"/>
              </w:rPr>
              <w:t xml:space="preserve">Representante Legal / Contacto: _______________________________________</w:t>
            </w:r>
          </w:p>
          <w:p>
            <w:pPr>
              <w:spacing w:after="40" w:before="40"/>
            </w:pPr>
            <w:r>
              <w:rPr>
                <w:rFonts w:ascii="Arial" w:cs="Arial" w:eastAsia="Arial" w:hAnsi="Arial"/>
                <w:color w:val="1A1A1A"/>
                <w:sz w:val="20"/>
                <w:szCs w:val="20"/>
              </w:rPr>
              <w:t xml:space="preserve">Firma: ________________________   Fecha: ____________________________</w:t>
            </w:r>
          </w:p>
          <w:p>
            <w:pPr>
              <w:spacing w:after="40" w:before="40"/>
            </w:pPr>
            <w:r>
              <w:rPr>
                <w:rFonts w:ascii="Arial" w:cs="Arial" w:eastAsia="Arial" w:hAnsi="Arial"/>
                <w:color w:val="1A1A1A"/>
                <w:sz w:val="20"/>
                <w:szCs w:val="20"/>
              </w:rPr>
              <w:t xml:space="preserve">Empresa: _____________________________________________________________</w:t>
            </w:r>
          </w:p>
          <w:p>
            <w:pPr>
              <w:spacing w:after="40" w:before="40"/>
            </w:pPr>
            <w:r>
              <w:rPr>
                <w:rFonts w:ascii="Arial" w:cs="Arial" w:eastAsia="Arial" w:hAnsi="Arial"/>
                <w:color w:val="1A1A1A"/>
                <w:sz w:val="20"/>
                <w:szCs w:val="20"/>
              </w:rPr>
              <w:t xml:space="preserve">NIT/CC: ______________________________________________________________</w:t>
            </w:r>
          </w:p>
        </w:tc>
      </w:tr>
    </w:tbl>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6"/>
      </w:pBdr>
      <w:spacing w:after="0" w:before="80"/>
    </w:pPr>
    <w:r>
      <w:rPr>
        <w:rFonts w:ascii="Arial" w:cs="Arial" w:eastAsia="Arial" w:hAnsi="Arial"/>
        <w:i/>
        <w:iCs/>
        <w:color w:val="595959"/>
        <w:sz w:val="16"/>
        <w:szCs w:val="16"/>
      </w:rPr>
      <w:t xml:space="preserve">PYMIA S.A.S. © 2025 — Todos los derechos reservados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8"/>
      </w:pBdr>
      <w:tabs>
        <w:tab w:val="right" w:pos="9360"/>
      </w:tabs>
      <w:spacing w:after="120" w:before="0"/>
    </w:pPr>
    <w:r>
      <w:rPr>
        <w:rFonts w:ascii="Arial" w:cs="Arial" w:eastAsia="Arial" w:hAnsi="Arial"/>
        <w:b/>
        <w:bCs/>
        <w:color w:val="1F4E79"/>
        <w:sz w:val="20"/>
        <w:szCs w:val="20"/>
      </w:rPr>
      <w:t xml:space="preserve">PYMIA S.A.S.</w:t>
    </w:r>
    <w:r>
      <w:rPr>
        <w:rFonts w:ascii="Arial" w:cs="Arial" w:eastAsia="Arial" w:hAnsi="Arial"/>
        <w:color w:val="595959"/>
        <w:sz w:val="18"/>
        <w:szCs w:val="18"/>
      </w:rPr>
      <w:t xml:space="preserve">	Términos y Condiciones de Servicio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2026-05-07T14:46:21.442Z</dcterms:created>
  <dcterms:modified xsi:type="dcterms:W3CDTF">2026-05-07T14:46:21.468Z</dcterms:modified>
</cp:coreProperties>
</file>

<file path=docProps/custom.xml><?xml version="1.0" encoding="utf-8"?>
<Properties xmlns="http://schemas.openxmlformats.org/officeDocument/2006/custom-properties" xmlns:vt="http://schemas.openxmlformats.org/officeDocument/2006/docPropsVTypes"/>
</file>