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PYMIA S.A.S.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CHECKLIST DE CUMPLIMIENTO LEGAL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Legal Compliance Checklist — Constitución y Operación Inicial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Bogotá D.C., Colombia — 2025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⬜ Pendiente</w:t>
            </w:r>
          </w:p>
        </w:tc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🔄 En proceso</w:t>
            </w:r>
          </w:p>
        </w:tc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✅ Completado</w:t>
            </w:r>
          </w:p>
        </w:tc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8D7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🚨 Urgente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00"/>
        <w:gridCol w:w="1600"/>
        <w:gridCol w:w="1600"/>
        <w:gridCol w:w="1400"/>
      </w:tblGrid>
      <w:tr>
        <w:trPr>
          <w:tblHeader/>
        </w:trPr>
        <w:tc>
          <w:tcPr>
            <w:tcW w:type="dxa" w:w="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Obligación / Trámite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Plazo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9360"/>
            <w:gridSpan w:val="5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🏛️  1. CONSTITUCIÓN Y REGISTRO MERCANTIL</w:t>
            </w:r>
          </w:p>
        </w:tc>
      </w:tr>
      <w:tr>
        <w:tc>
          <w:tcPr>
            <w:tcW w:type="dxa" w:w="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⬜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Verificar disponibilidad del nombre 'PYMIA' en RUES (www.rues.org.co)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David G.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Inmediato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⬜</w:t>
            </w:r>
          </w:p>
        </w:tc>
      </w:tr>
      <w:tr>
        <w:tc>
          <w:tcPr>
            <w:tcW w:type="dxa" w:w="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⬜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Redactar y firmar documento privado de constitución (Estatutos SAS)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Todos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Semana 1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⬜</w:t>
            </w:r>
          </w:p>
        </w:tc>
      </w:tr>
      <w:tr>
        <w:tc>
          <w:tcPr>
            <w:tcW w:type="dxa" w:w="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⬜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Tramitar Pre-RUT ante DIAN o Cámara de Comercio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David G.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Semana 1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⬜</w:t>
            </w:r>
          </w:p>
        </w:tc>
      </w:tr>
      <w:tr>
        <w:tc>
          <w:tcPr>
            <w:tcW w:type="dxa" w:w="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⬜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Inscribir ante Cámara de Comercio de Bogotá (RUES) + pago matrícula mercantil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David G.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Semana 1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⬜</w:t>
            </w:r>
          </w:p>
        </w:tc>
      </w:tr>
      <w:tr>
        <w:tc>
          <w:tcPr>
            <w:tcW w:type="dxa" w:w="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⬜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Obtener Certificado de Existencia y Representación Legal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David G.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Semana 1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⬜</w:t>
            </w:r>
          </w:p>
        </w:tc>
      </w:tr>
      <w:tr>
        <w:tc>
          <w:tcPr>
            <w:tcW w:type="dxa" w:w="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⬜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Obtener RUT definitivo y NIT ante la DIAN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David G.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Semana 2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⬜</w:t>
            </w:r>
          </w:p>
        </w:tc>
      </w:tr>
      <w:tr>
        <w:tc>
          <w:tcPr>
            <w:tcW w:type="dxa" w:w="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⬜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Registrar libros corporativos ante Cámara de Comercio (actas, accionistas)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David G.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Semana 2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⬜</w:t>
            </w:r>
          </w:p>
        </w:tc>
      </w:tr>
      <w:tr>
        <w:tc>
          <w:tcPr>
            <w:tcW w:type="dxa" w:w="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⬜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Abrir cuenta bancaria corporativa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David G.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Semana 2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⬜</w:t>
            </w:r>
          </w:p>
        </w:tc>
      </w:tr>
      <w:tr>
        <w:tc>
          <w:tcPr>
            <w:tcW w:type="dxa" w:w="9360"/>
            <w:gridSpan w:val="5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D6A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💰  2. OBLIGACIONES TRIBUTARIAS — DIAN</w:t>
            </w:r>
          </w:p>
        </w:tc>
      </w:tr>
      <w:tr>
        <w:tc>
          <w:tcPr>
            <w:tcW w:type="dxa" w:w="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⬜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Activar responsabilidades tributarias en RUT (IVA, retención en la fuente, etc.)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Contador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Mes 1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⬜</w:t>
            </w:r>
          </w:p>
        </w:tc>
      </w:tr>
      <w:tr>
        <w:tc>
          <w:tcPr>
            <w:tcW w:type="dxa" w:w="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⬜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Registrarse como responsable de IVA si supera el umbral legal (Art. 499 E.T.)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Contador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Mes 1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⬜</w:t>
            </w:r>
          </w:p>
        </w:tc>
      </w:tr>
      <w:tr>
        <w:tc>
          <w:tcPr>
            <w:tcW w:type="dxa" w:w="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⬜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Implementar facturación electrónica según Resolución DIAN 000042/2020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Contador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Mes 1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⬜</w:t>
            </w:r>
          </w:p>
        </w:tc>
      </w:tr>
      <w:tr>
        <w:tc>
          <w:tcPr>
            <w:tcW w:type="dxa" w:w="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⬜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Definir régimen tributario: Simple de Tributación o Régimen Ordinario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Contador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Mes 1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⬜</w:t>
            </w:r>
          </w:p>
        </w:tc>
      </w:tr>
      <w:tr>
        <w:tc>
          <w:tcPr>
            <w:tcW w:type="dxa" w:w="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⬜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Contratar o designar contador público titulado (firma estados financieros)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David G.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Mes 1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⬜</w:t>
            </w:r>
          </w:p>
        </w:tc>
      </w:tr>
      <w:tr>
        <w:tc>
          <w:tcPr>
            <w:tcW w:type="dxa" w:w="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⬜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Llevar contabilidad conforme a NIIF para Pymes (Decreto 3022 de 2013)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Contador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Permanente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⬜</w:t>
            </w:r>
          </w:p>
        </w:tc>
      </w:tr>
      <w:tr>
        <w:tc>
          <w:tcPr>
            <w:tcW w:type="dxa" w:w="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⬜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Declarar y pagar IVA bimestralmente si aplica (Formulario 300 DIAN)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Contador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Bimestral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⬜</w:t>
            </w:r>
          </w:p>
        </w:tc>
      </w:tr>
      <w:tr>
        <w:tc>
          <w:tcPr>
            <w:tcW w:type="dxa" w:w="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⬜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Declarar y pagar retención en la fuente mensualmente (Formulario 350)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Contador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Mensual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⬜</w:t>
            </w:r>
          </w:p>
        </w:tc>
      </w:tr>
      <w:tr>
        <w:tc>
          <w:tcPr>
            <w:tcW w:type="dxa" w:w="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⬜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Declarar impuesto de renta anualmente (Formulario 110)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Contador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Anual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⬜</w:t>
            </w:r>
          </w:p>
        </w:tc>
      </w:tr>
      <w:tr>
        <w:tc>
          <w:tcPr>
            <w:tcW w:type="dxa" w:w="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⬜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Declarar y pagar ICA (Impuesto de Industria y Comercio) ante Bogotá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Contador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Bimestral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⬜</w:t>
            </w:r>
          </w:p>
        </w:tc>
      </w:tr>
      <w:tr>
        <w:tc>
          <w:tcPr>
            <w:tcW w:type="dxa" w:w="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⬜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Presentar información exógena DIAN (si supera umbral de ingresos)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Contador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Anual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⬜</w:t>
            </w:r>
          </w:p>
        </w:tc>
      </w:tr>
      <w:tr>
        <w:tc>
          <w:tcPr>
            <w:tcW w:type="dxa" w:w="9360"/>
            <w:gridSpan w:val="5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👥  3. OBLIGACIONES LABORALES Y SEGURIDAD SOCIAL</w:t>
            </w:r>
          </w:p>
        </w:tc>
      </w:tr>
      <w:tr>
        <w:tc>
          <w:tcPr>
            <w:tcW w:type="dxa" w:w="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⬜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Inscribir empresa ante ARL (Administradora de Riesgos Laborales)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David G.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Antes 1er empleado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⬜</w:t>
            </w:r>
          </w:p>
        </w:tc>
      </w:tr>
      <w:tr>
        <w:tc>
          <w:tcPr>
            <w:tcW w:type="dxa" w:w="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⬜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Afiliar empleados a EPS (salud), AFP (pensión) y ARL desde día 1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RRHH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Día de ingreso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⬜</w:t>
            </w:r>
          </w:p>
        </w:tc>
      </w:tr>
      <w:tr>
        <w:tc>
          <w:tcPr>
            <w:tcW w:type="dxa" w:w="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⬜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Afiliar empleados a Caja de Compensación Familiar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RRHH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Día de ingreso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⬜</w:t>
            </w:r>
          </w:p>
        </w:tc>
      </w:tr>
      <w:tr>
        <w:tc>
          <w:tcPr>
            <w:tcW w:type="dxa" w:w="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⬜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Pagar aportes a seguridad social antes del día 10 de cada mes (PILA)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Contador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Mensual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⬜</w:t>
            </w:r>
          </w:p>
        </w:tc>
      </w:tr>
      <w:tr>
        <w:tc>
          <w:tcPr>
            <w:tcW w:type="dxa" w:w="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⬜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Pagar aportes parafiscales (SENA, ICBF, Caja) — si aplica según plantilla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Contador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Mensual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⬜</w:t>
            </w:r>
          </w:p>
        </w:tc>
      </w:tr>
      <w:tr>
        <w:tc>
          <w:tcPr>
            <w:tcW w:type="dxa" w:w="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⬜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Depositar cesantías en fondo antes del 14 de febrero de cada año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Contador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Anual (feb)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⬜</w:t>
            </w:r>
          </w:p>
        </w:tc>
      </w:tr>
      <w:tr>
        <w:tc>
          <w:tcPr>
            <w:tcW w:type="dxa" w:w="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⬜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Pagar intereses sobre cesantías (31 ene de c/año)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Contador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Anual (ene)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⬜</w:t>
            </w:r>
          </w:p>
        </w:tc>
      </w:tr>
      <w:tr>
        <w:tc>
          <w:tcPr>
            <w:tcW w:type="dxa" w:w="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⬜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Pagar prima de servicios (30 jun y 20 dic)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Contador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Semestral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⬜</w:t>
            </w:r>
          </w:p>
        </w:tc>
      </w:tr>
      <w:tr>
        <w:tc>
          <w:tcPr>
            <w:tcW w:type="dxa" w:w="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⬜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Implementar SG-SST conforme a Decreto 1072/2015 y Res. 0312/2019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David G.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Mes 2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⬜</w:t>
            </w:r>
          </w:p>
        </w:tc>
      </w:tr>
      <w:tr>
        <w:tc>
          <w:tcPr>
            <w:tcW w:type="dxa" w:w="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⬜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Depositar Reglamento Interno de Trabajo ante Ministerio de Trabajo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David G.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Mes 1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⬜</w:t>
            </w:r>
          </w:p>
        </w:tc>
      </w:tr>
      <w:tr>
        <w:tc>
          <w:tcPr>
            <w:tcW w:type="dxa" w:w="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⬜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Elaborar y publicar política de acoso laboral (Ley 1010/2006)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David G.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Mes 1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⬜</w:t>
            </w:r>
          </w:p>
        </w:tc>
      </w:tr>
      <w:tr>
        <w:tc>
          <w:tcPr>
            <w:tcW w:type="dxa" w:w="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⬜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Constituir Comité de Convivencia Laboral (cuando supere 10 empleados)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David G.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 llegar a 10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⬜</w:t>
            </w:r>
          </w:p>
        </w:tc>
      </w:tr>
      <w:tr>
        <w:tc>
          <w:tcPr>
            <w:tcW w:type="dxa" w:w="9360"/>
            <w:gridSpan w:val="5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🔒  4. PROTECCIÓN DE DATOS PERSONALES — LEY 1581/2012</w:t>
            </w:r>
          </w:p>
        </w:tc>
      </w:tr>
      <w:tr>
        <w:tc>
          <w:tcPr>
            <w:tcW w:type="dxa" w:w="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⬜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Aprobar y publicar Política de Tratamiento de Datos Personales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David G.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Antes de operar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⬜</w:t>
            </w:r>
          </w:p>
        </w:tc>
      </w:tr>
      <w:tr>
        <w:tc>
          <w:tcPr>
            <w:tcW w:type="dxa" w:w="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⬜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Registrar bases de datos ante SIC — Registro Nacional de Bases de Datos (RNBD)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David G.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Mes 1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⬜</w:t>
            </w:r>
          </w:p>
        </w:tc>
      </w:tr>
      <w:tr>
        <w:tc>
          <w:tcPr>
            <w:tcW w:type="dxa" w:w="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⬜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Implementar mecanismos de obtención de autorización de titulares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David G.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Antes de operar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⬜</w:t>
            </w:r>
          </w:p>
        </w:tc>
      </w:tr>
      <w:tr>
        <w:tc>
          <w:tcPr>
            <w:tcW w:type="dxa" w:w="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⬜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Firmar cláusulas de confidencialidad con empleados y contratistas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David G.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Día de ingreso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⬜</w:t>
            </w:r>
          </w:p>
        </w:tc>
      </w:tr>
      <w:tr>
        <w:tc>
          <w:tcPr>
            <w:tcW w:type="dxa" w:w="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⬜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Capacitar equipo en manejo de datos personales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David G.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Mes 2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⬜</w:t>
            </w:r>
          </w:p>
        </w:tc>
      </w:tr>
      <w:tr>
        <w:tc>
          <w:tcPr>
            <w:tcW w:type="dxa" w:w="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⬜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Implementar medidas de seguridad técnicas (cifrado, control acceso)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 / David G.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Mes 1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⬜</w:t>
            </w:r>
          </w:p>
        </w:tc>
      </w:tr>
      <w:tr>
        <w:tc>
          <w:tcPr>
            <w:tcW w:type="dxa" w:w="9360"/>
            <w:gridSpan w:val="5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7D4E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💡  5. PROPIEDAD INTELECTUAL Y MARCA</w:t>
            </w:r>
          </w:p>
        </w:tc>
      </w:tr>
      <w:tr>
        <w:tc>
          <w:tcPr>
            <w:tcW w:type="dxa" w:w="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⬜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Firmar Acuerdo de Cesión de PI con todos los fundadores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David G.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Semana 1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⬜</w:t>
            </w:r>
          </w:p>
        </w:tc>
      </w:tr>
      <w:tr>
        <w:tc>
          <w:tcPr>
            <w:tcW w:type="dxa" w:w="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⬜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Firmar Acuerdo de Cesión de PI con cada empleado/contratista al ingresar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RRHH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Día de ingreso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⬜</w:t>
            </w:r>
          </w:p>
        </w:tc>
      </w:tr>
      <w:tr>
        <w:tc>
          <w:tcPr>
            <w:tcW w:type="dxa" w:w="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⬜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Registrar obras de software ante DNDA (Dirección Nac. de Derecho de Autor)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David G.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Mes 3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⬜</w:t>
            </w:r>
          </w:p>
        </w:tc>
      </w:tr>
      <w:tr>
        <w:tc>
          <w:tcPr>
            <w:tcW w:type="dxa" w:w="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⬜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Solicitar registro de marca 'PYMIA' ante SIC (Clase 35 — servicios consultoria)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David G./Abogado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Mes 2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⬜</w:t>
            </w:r>
          </w:p>
        </w:tc>
      </w:tr>
      <w:tr>
        <w:tc>
          <w:tcPr>
            <w:tcW w:type="dxa" w:w="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⬜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Registrar dominio web pymia.co y pymia.com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Semana 1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⬜</w:t>
            </w:r>
          </w:p>
        </w:tc>
      </w:tr>
      <w:tr>
        <w:tc>
          <w:tcPr>
            <w:tcW w:type="dxa" w:w="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⬜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Proteger metodologías y frameworks propios como secreto empresarial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David G.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Mes 2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⬜</w:t>
            </w:r>
          </w:p>
        </w:tc>
      </w:tr>
      <w:tr>
        <w:tc>
          <w:tcPr>
            <w:tcW w:type="dxa" w:w="9360"/>
            <w:gridSpan w:val="5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📄  6. CONTRATOS Y DOCUMENTOS LEGALES</w:t>
            </w:r>
          </w:p>
        </w:tc>
      </w:tr>
      <w:tr>
        <w:tc>
          <w:tcPr>
            <w:tcW w:type="dxa" w:w="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⬜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Firma del Acuerdo de Fundadores por los 5 fundadores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Todos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Semana 1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⬜</w:t>
            </w:r>
          </w:p>
        </w:tc>
      </w:tr>
      <w:tr>
        <w:tc>
          <w:tcPr>
            <w:tcW w:type="dxa" w:w="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⬜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Firma de NDA con todos los fundadores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Todos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Semana 1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⬜</w:t>
            </w:r>
          </w:p>
        </w:tc>
      </w:tr>
      <w:tr>
        <w:tc>
          <w:tcPr>
            <w:tcW w:type="dxa" w:w="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⬜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Tener plantilla de contrato de servicios lista para clientes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David G.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Antes 1er cliente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⬜</w:t>
            </w:r>
          </w:p>
        </w:tc>
      </w:tr>
      <w:tr>
        <w:tc>
          <w:tcPr>
            <w:tcW w:type="dxa" w:w="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⬜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Tener plantilla de contrato de prestación de servicios para contratistas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David G.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Antes 1er contratista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⬜</w:t>
            </w:r>
          </w:p>
        </w:tc>
      </w:tr>
      <w:tr>
        <w:tc>
          <w:tcPr>
            <w:tcW w:type="dxa" w:w="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⬜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Definir y documentar políticas de precios y facturación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David G.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Mes 1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⬜</w:t>
            </w:r>
          </w:p>
        </w:tc>
      </w:tr>
      <w:tr>
        <w:tc>
          <w:tcPr>
            <w:tcW w:type="dxa" w:w="9360"/>
            <w:gridSpan w:val="5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721C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🛡️  7. ANTILAVADO Y OTROS (SARLAFT / SAGRILAFT)</w:t>
            </w:r>
          </w:p>
        </w:tc>
      </w:tr>
      <w:tr>
        <w:tc>
          <w:tcPr>
            <w:tcW w:type="dxa" w:w="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⬜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Evaluar si PYMIA debe implementar SAGRILAFT (Circular SFC — Pymes con riesgo)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Contador/Abogado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Mes 2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⬜</w:t>
            </w:r>
          </w:p>
        </w:tc>
      </w:tr>
      <w:tr>
        <w:tc>
          <w:tcPr>
            <w:tcW w:type="dxa" w:w="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⬜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Implementar proceso básico de debida diligencia de clientes (KYC)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David G.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Antes de operar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⬜</w:t>
            </w:r>
          </w:p>
        </w:tc>
      </w:tr>
      <w:tr>
        <w:tc>
          <w:tcPr>
            <w:tcW w:type="dxa" w:w="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⬜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Conservar documentación de clientes por mínimo 5 años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David G.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Permanente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⬜</w:t>
            </w:r>
          </w:p>
        </w:tc>
      </w:tr>
      <w:tr>
        <w:tc>
          <w:tcPr>
            <w:tcW w:type="dxa" w:w="9360"/>
            <w:gridSpan w:val="5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D6A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🔄  8. OBLIGACIONES PERIÓDICAS Y RENOVACIONES</w:t>
            </w:r>
          </w:p>
        </w:tc>
      </w:tr>
      <w:tr>
        <w:tc>
          <w:tcPr>
            <w:tcW w:type="dxa" w:w="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⬜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Renovar matrícula mercantil ante Cámara de Comercio (marzo de cada año)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David G.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Anual (mar)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⬜</w:t>
            </w:r>
          </w:p>
        </w:tc>
      </w:tr>
      <w:tr>
        <w:tc>
          <w:tcPr>
            <w:tcW w:type="dxa" w:w="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⬜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Renovar y actualizar RUT ante DIAN cuando haya cambios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Contador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 cambio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⬜</w:t>
            </w:r>
          </w:p>
        </w:tc>
      </w:tr>
      <w:tr>
        <w:tc>
          <w:tcPr>
            <w:tcW w:type="dxa" w:w="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⬜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Celebrar Asamblea Ordinaria de Accionistas (ene-mar de cada año)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David G.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Anual (1T)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⬜</w:t>
            </w:r>
          </w:p>
        </w:tc>
      </w:tr>
      <w:tr>
        <w:tc>
          <w:tcPr>
            <w:tcW w:type="dxa" w:w="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⬜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Preparar y aprobar estados financieros anuales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Contador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Anual (mar)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⬜</w:t>
            </w:r>
          </w:p>
        </w:tc>
      </w:tr>
      <w:tr>
        <w:tc>
          <w:tcPr>
            <w:tcW w:type="dxa" w:w="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⬜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Revisar y actualizar la Política de Datos Personales (mínimo anual)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David G.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Anual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⬜</w:t>
            </w:r>
          </w:p>
        </w:tc>
      </w:tr>
      <w:tr>
        <w:tc>
          <w:tcPr>
            <w:tcW w:type="dxa" w:w="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⬜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Actualizar Cap Table tras cualquier cambio de accionistas o rondas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David G.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 cambio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⬜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4E79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COSTOS ESTIMADOS DE CONSTITUCIÓN (REFERENCIA 2025)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7D4E00"/>
                <w:sz w:val="20"/>
                <w:szCs w:val="20"/>
              </w:rPr>
              <w:t xml:space="preserve">Nota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Los valores son aproximados y pueden variar. Verificar con la Cámara de Comercio de Bogotá y la DIAN.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680"/>
        <w:gridCol w:w="1680"/>
      </w:tblGrid>
      <w:tr>
        <w:trPr>
          <w:tblHeader/>
        </w:trPr>
        <w:tc>
          <w:tcPr>
            <w:tcW w:type="dxa" w:w="5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Trámite</w:t>
            </w:r>
          </w:p>
        </w:tc>
        <w:tc>
          <w:tcPr>
            <w:tcW w:type="dxa" w:w="2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 Aprox.</w:t>
            </w:r>
          </w:p>
        </w:tc>
        <w:tc>
          <w:tcPr>
            <w:tcW w:type="dxa" w:w="1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</w:t>
            </w:r>
          </w:p>
        </w:tc>
      </w:tr>
      <w:tr>
        <w:tc>
          <w:tcPr>
            <w:tcW w:type="dxa" w:w="5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Matrícula mercantil (sobre capital suscrito $5M COP)</w:t>
            </w:r>
          </w:p>
        </w:tc>
        <w:tc>
          <w:tcPr>
            <w:tcW w:type="dxa" w:w="2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~$196.000 COP</w:t>
            </w:r>
          </w:p>
        </w:tc>
        <w:tc>
          <w:tcPr>
            <w:tcW w:type="dxa" w:w="1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CCB</w:t>
            </w:r>
          </w:p>
        </w:tc>
      </w:tr>
      <w:tr>
        <w:tc>
          <w:tcPr>
            <w:tcW w:type="dxa" w:w="5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Registro de libros corporativos</w:t>
            </w:r>
          </w:p>
        </w:tc>
        <w:tc>
          <w:tcPr>
            <w:tcW w:type="dxa" w:w="2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~$50.000 COP</w:t>
            </w:r>
          </w:p>
        </w:tc>
        <w:tc>
          <w:tcPr>
            <w:tcW w:type="dxa" w:w="1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CCB</w:t>
            </w:r>
          </w:p>
        </w:tc>
      </w:tr>
      <w:tr>
        <w:tc>
          <w:tcPr>
            <w:tcW w:type="dxa" w:w="5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Pre-RUT / RUT</w:t>
            </w:r>
          </w:p>
        </w:tc>
        <w:tc>
          <w:tcPr>
            <w:tcW w:type="dxa" w:w="2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Gratuito</w:t>
            </w:r>
          </w:p>
        </w:tc>
        <w:tc>
          <w:tcPr>
            <w:tcW w:type="dxa" w:w="1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DIAN/CCB</w:t>
            </w:r>
          </w:p>
        </w:tc>
      </w:tr>
      <w:tr>
        <w:tc>
          <w:tcPr>
            <w:tcW w:type="dxa" w:w="5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Registro marca ante SIC (por clase)</w:t>
            </w:r>
          </w:p>
        </w:tc>
        <w:tc>
          <w:tcPr>
            <w:tcW w:type="dxa" w:w="2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~$1.500.000 COP</w:t>
            </w:r>
          </w:p>
        </w:tc>
        <w:tc>
          <w:tcPr>
            <w:tcW w:type="dxa" w:w="1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SIC</w:t>
            </w:r>
          </w:p>
        </w:tc>
      </w:tr>
      <w:tr>
        <w:tc>
          <w:tcPr>
            <w:tcW w:type="dxa" w:w="5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Registro obra ante DNDA</w:t>
            </w:r>
          </w:p>
        </w:tc>
        <w:tc>
          <w:tcPr>
            <w:tcW w:type="dxa" w:w="2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~$100.000 COP</w:t>
            </w:r>
          </w:p>
        </w:tc>
        <w:tc>
          <w:tcPr>
            <w:tcW w:type="dxa" w:w="1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DNDA</w:t>
            </w:r>
          </w:p>
        </w:tc>
      </w:tr>
      <w:tr>
        <w:tc>
          <w:tcPr>
            <w:tcW w:type="dxa" w:w="5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Registro RNBD datos personales</w:t>
            </w:r>
          </w:p>
        </w:tc>
        <w:tc>
          <w:tcPr>
            <w:tcW w:type="dxa" w:w="2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Gratuito</w:t>
            </w:r>
          </w:p>
        </w:tc>
        <w:tc>
          <w:tcPr>
            <w:tcW w:type="dxa" w:w="1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SIC</w:t>
            </w:r>
          </w:p>
        </w:tc>
      </w:tr>
      <w:tr>
        <w:tc>
          <w:tcPr>
            <w:tcW w:type="dxa" w:w="5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Depósito Reglamento Interno</w:t>
            </w:r>
          </w:p>
        </w:tc>
        <w:tc>
          <w:tcPr>
            <w:tcW w:type="dxa" w:w="2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Gratuito</w:t>
            </w:r>
          </w:p>
        </w:tc>
        <w:tc>
          <w:tcPr>
            <w:tcW w:type="dxa" w:w="1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Min. Trabajo</w:t>
            </w:r>
          </w:p>
        </w:tc>
      </w:tr>
      <w:tr>
        <w:tc>
          <w:tcPr>
            <w:tcW w:type="dxa" w:w="5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Honorarios abogado (estimado revisión docs)</w:t>
            </w:r>
          </w:p>
        </w:tc>
        <w:tc>
          <w:tcPr>
            <w:tcW w:type="dxa" w:w="2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$1.500.000 – $3.000.000 COP</w:t>
            </w:r>
          </w:p>
        </w:tc>
        <w:tc>
          <w:tcPr>
            <w:tcW w:type="dxa" w:w="1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Particular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4E79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ENLACES Y RECURSOS CLAVE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</w:t>
            </w:r>
          </w:p>
        </w:tc>
        <w:tc>
          <w:tcPr>
            <w:tcW w:type="dxa" w:w="6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Portal / Recurso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Cámara de Comercio Bogotá</w:t>
            </w:r>
          </w:p>
        </w:tc>
        <w:tc>
          <w:tcPr>
            <w:tcW w:type="dxa" w:w="6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www.ccb.org.co — Trámites en línea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RUES (Registro Único)</w:t>
            </w:r>
          </w:p>
        </w:tc>
        <w:tc>
          <w:tcPr>
            <w:tcW w:type="dxa" w:w="6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www.rues.org.co — Disponibilidad de nombres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DIAN — RUT / Facturación</w:t>
            </w:r>
          </w:p>
        </w:tc>
        <w:tc>
          <w:tcPr>
            <w:tcW w:type="dxa" w:w="6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www.dian.gov.co — Portal transaccional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SIC — Marcas y Datos</w:t>
            </w:r>
          </w:p>
        </w:tc>
        <w:tc>
          <w:tcPr>
            <w:tcW w:type="dxa" w:w="6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www.sic.gov.co — Registro marcas y RNBD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DNDA — Derechos de Autor</w:t>
            </w:r>
          </w:p>
        </w:tc>
        <w:tc>
          <w:tcPr>
            <w:tcW w:type="dxa" w:w="6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www.derechodeautor.gov.co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Ministerio de Trabajo</w:t>
            </w:r>
          </w:p>
        </w:tc>
        <w:tc>
          <w:tcPr>
            <w:tcW w:type="dxa" w:w="6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www.mintrabajo.gov.co — Depósito reglamentos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Muisca DIAN</w:t>
            </w:r>
          </w:p>
        </w:tc>
        <w:tc>
          <w:tcPr>
            <w:tcW w:type="dxa" w:w="6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muisca.dian.gov.co — Declaraciones tributarias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Calculadora PILA</w:t>
            </w:r>
          </w:p>
        </w:tc>
        <w:tc>
          <w:tcPr>
            <w:tcW w:type="dxa" w:w="6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www.aportesenlinea.com — Seguridad social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ACTUALIZACIÓN DEL CHECKLIST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Responsable de actualización: David Gutierrez (Representante Legal)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Frecuencia de revisión: Trimestral o al ocurrir cambios normativos relevantes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Última actualización: _________________________ | Próxima revisión: _________________________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00" w:right="1000" w:bottom="12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 w:space="6"/>
      </w:pBdr>
      <w:spacing w:after="0" w:before="80"/>
    </w:pPr>
    <w:r>
      <w:rPr>
        <w:rFonts w:ascii="Arial" w:cs="Arial" w:eastAsia="Arial" w:hAnsi="Arial"/>
        <w:i/>
        <w:iCs/>
        <w:color w:val="595959"/>
        <w:sz w:val="16"/>
        <w:szCs w:val="16"/>
      </w:rPr>
      <w:t xml:space="preserve">PYMIA S.A.S. © 2025 — Documento de gestión interna | Revisar trimestralmente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8"/>
      </w:pBdr>
      <w:tabs>
        <w:tab w:val="right" w:pos="10080"/>
      </w:tabs>
      <w:spacing w:after="100" w:before="0"/>
    </w:pPr>
    <w:r>
      <w:rPr>
        <w:rFonts w:ascii="Arial" w:cs="Arial" w:eastAsia="Arial" w:hAnsi="Arial"/>
        <w:b/>
        <w:bCs/>
        <w:color w:val="1F4E79"/>
        <w:sz w:val="20"/>
        <w:szCs w:val="20"/>
      </w:rPr>
      <w:t xml:space="preserve">PYMIA S.A.S.</w:t>
    </w:r>
    <w:r>
      <w:rPr>
        <w:rFonts w:ascii="Arial" w:cs="Arial" w:eastAsia="Arial" w:hAnsi="Arial"/>
        <w:color w:val="595959"/>
        <w:sz w:val="18"/>
        <w:szCs w:val="18"/>
      </w:rPr>
      <w:t xml:space="preserve">	Checklist de Cumplimiento Legal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2026-05-07T23:05:00.602Z</dcterms:created>
  <dcterms:modified xsi:type="dcterms:W3CDTF">2026-05-07T23:05:00.602Z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