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4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FC346TdSGHMnWwCwVgxIGrnw==">AMUW2mXjd+gSvOmQMf9TMUgoFbzI9ZytE+LkYhEg9FiCfp2sAZkXblGeEvwpz1UN/bPbXByf/90QJeUWHdvPvjpOmxssHUJfvBWs/uxmFsUgs2hNAwzMb6KeUyTtdKq1/AndqxuMoR34+CQ5G97ePL4kkF/DUNIqiQ==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