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Recuperar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Recuperar la contraseña en el caso de olvidarla.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haber ingresado un correo para enviar un link de confirmación y poder realizar el cambio.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/>
        <w:drawing>
          <wp:inline distB="0" distT="0" distL="0" distR="0">
            <wp:extent cx="3190875" cy="573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3iy8gWfu1xCqOZlUfxYsQBMa1Q==">AMUW2mU7E3/5/3rwCXbCm1VAXN/7+GoJuTlBnx/H01wigNK2vnZTOb0c2CYjEODBNeW19hrN6VDXUI+EUeK//f0HvWhLUyKC+ic8fDC1z22KD5MfCqasE4E+mjkch0OQSUNwm7nPJEDbA9QNhm8uTsaPxB/xFIj6WA==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