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16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Ser clasificado según malestares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clasificado según malestares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Rubí Santivañez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 de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clasificar a través de los datos que ingrese respecto a las actualizaciones de mis malestares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ser clasificado según los malestares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clasificará al usuario de la aplicación a través de las continuas actualizaciones que registre respecto a los malestares que presente.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evaluación se hará teniendo en cuenta tanto el primer registro de malestares, así como las continuas actualizaciones que se le solicitará que realice.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resultado se clasifica como información sensible, por lo tanto, el usuario de la aplicación no podrá tener acceso a él.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clasificación se hará teniendo tres niveles: normal, medio, alto. Siendo: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cuando haya mínimamente dos actualizaciones semanales de malestares donde se indique que no presenta ningún síntoma o no haya ocurrido exposición a alguna zona de riesgo.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Medio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cuando haya registro de por lo menos dos síntomas de COVID-19 en las últimas dos actualizaciones semanales de malestares.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cuando presente múltiples síntomas del COVID durante las últimas dos actualizaciones semanales de malestares y haya ocurrido una exposición constante o múl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resultante de esta clasificación será un dato de entrada para poder tener actualizada las zonas de riesgo.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zbnt8sdoo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MjbB7yCnzptc9cgh5US1vExvg==">AMUW2mVYzEcBH0fleBqK9uT/ju8vGrdnCJq2TQ68GpoOPJGOdTa/ssSHCwCOSCKeE2Lch0q3F7HsIUZ+h/ZDBCgq+sJuT1+9p5FYllwbZqanJqZp2k4GxOiYcfTt/A0ExSv9YuFUYAKU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