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información de prevención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monitoreo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Visualizar información de prevención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Rubí Santivañez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Poder visualizar información actualizada y oficial sobre prevención del COVID-19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Reducir la desinformación habida respecto esta enfermedad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esta pantalla, el usuario debe estar registrado y haber iniciado sesión correctamente.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podrá acceder al módulo en cualquier momento desde el menú desplegable, seleccionando la opción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Prevención Covid-19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8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contenido visualizado es meramente informativo, actualizado y de fuente oficial.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ss4d8wb6t9ep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391051" cy="60105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051" cy="601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4ds4kwfdvc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uc6wyb320er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AMUW2mWcQwQNkcMzjv/eTKdz+4vMtcZ95uiYzc9c3O3Sb/9PjX3jsQzpmbuHf1OLzYnsCWPaJSRQDlkP11M2d6Ed5rBfX+q85w4fpze9onQyXpKPapN0geRmacBYrXhF5I4faQfxq14neoqvXuFk/A3A5ThLUOhvtczGsD5qZZD4owaVCNER/II=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