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Кераміка України</w:t>
      </w:r>
    </w:p>
    <w:p>
      <w:pPr>
        <w:pBdr>
          <w:bottom w:val="single" w:sz="8" w:color="CC9B56"/>
        </w:pBdr>
      </w:pPr>
      <w:r>
        <w:rPr>
          <w:b/>
          <w:color w:val="AB7123"/>
          <w:sz w:val="22"/>
        </w:rPr>
        <w:t>ПОВНА ВЕРСІЯ  |  45–50 хв</w:t>
      </w:r>
    </w:p>
    <w:p>
      <w:pPr>
        <w:pStyle w:val="Subtitle"/>
      </w:pPr>
      <w:r>
        <w:rPr>
          <w:sz w:val="19"/>
        </w:rPr>
        <w:t>Для сходин в осередку; рекомендований вік 12–17 років. Тривалість орієнтовна, залежить від запитань і кількості учасників.</w:t>
      </w:r>
    </w:p>
    <w:p>
      <w:pPr>
        <w:pStyle w:val="Heading1"/>
      </w:pPr>
      <w:r>
        <w:t>Мета й підготовка</w:t>
      </w:r>
    </w:p>
    <w:p>
      <w:r>
        <w:t>Мета: пояснити шлях виготовлення піали; показати різноманіття українських гончарних традицій; зацікавити учасників збереженням ремесел.</w:t>
      </w:r>
    </w:p>
    <w:p>
      <w:r>
        <w:t>Візьми: ноутбук/проєктор і файл «Кераміка_України_повна.html», гіпсову форму (~300 г), 3 піали (бісквіт після першого випалу; після другого випалу без глазурі; готову з керамічною акварельною фарбою та прозорою глазур’ю), захисне пакування. Фото готової піали вже включене в презентацію.</w:t>
      </w:r>
    </w:p>
    <w:p>
      <w:pPr>
        <w:pStyle w:val="Heading1"/>
      </w:pPr>
      <w:r>
        <w:t>Хід гутірки — 48 хвилин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494"/>
        <w:gridCol w:w="5896"/>
      </w:tblGrid>
      <w:tr>
        <w:tc>
          <w:tcPr>
            <w:tcW w:type="dxa" w:w="3475"/>
            <w:shd w:fill="143C48"/>
          </w:tcPr>
          <w:p>
            <w:r>
              <w:rPr>
                <w:b/>
                <w:color w:val="FFFFFF"/>
                <w:sz w:val="16"/>
              </w:rPr>
              <w:t>Хвилини</w:t>
            </w:r>
          </w:p>
        </w:tc>
        <w:tc>
          <w:tcPr>
            <w:tcW w:type="dxa" w:w="3475"/>
            <w:shd w:fill="143C48"/>
          </w:tcPr>
          <w:p>
            <w:r>
              <w:rPr>
                <w:b/>
                <w:color w:val="FFFFFF"/>
                <w:sz w:val="16"/>
              </w:rPr>
              <w:t>Етап</w:t>
            </w:r>
          </w:p>
        </w:tc>
        <w:tc>
          <w:tcPr>
            <w:tcW w:type="dxa" w:w="3475"/>
            <w:shd w:fill="143C48"/>
          </w:tcPr>
          <w:p>
            <w:r>
              <w:rPr>
                <w:b/>
                <w:color w:val="FFFFFF"/>
                <w:sz w:val="16"/>
              </w:rPr>
              <w:t>Дії ведучого</w:t>
            </w:r>
          </w:p>
        </w:tc>
      </w:tr>
      <w:tr>
        <w:tc>
          <w:tcPr>
            <w:tcW w:type="dxa" w:w="1247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0–3</w:t>
            </w:r>
          </w:p>
        </w:tc>
        <w:tc>
          <w:tcPr>
            <w:tcW w:type="dxa" w:w="2494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Зацікавлення</w:t>
            </w:r>
          </w:p>
        </w:tc>
        <w:tc>
          <w:tcPr>
            <w:tcW w:type="dxa" w:w="5896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Покажи готову піалу: «З чого вона почалася? Скільки рішень ухвалив майстер?»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3–12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Технологія</w:t>
            </w:r>
          </w:p>
        </w:tc>
        <w:tc>
          <w:tcPr>
            <w:tcW w:type="dxa" w:w="589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Форма → шлікер → сушіння → перший випал → декор і глазур → другий випал. Дай порівняти 3 зразки.</w:t>
            </w:r>
          </w:p>
        </w:tc>
      </w:tr>
      <w:tr>
        <w:tc>
          <w:tcPr>
            <w:tcW w:type="dxa" w:w="1247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12–17</w:t>
            </w:r>
          </w:p>
        </w:tc>
        <w:tc>
          <w:tcPr>
            <w:tcW w:type="dxa" w:w="2494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Історичний вступ</w:t>
            </w:r>
          </w:p>
        </w:tc>
        <w:tc>
          <w:tcPr>
            <w:tcW w:type="dxa" w:w="5896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Коротко пройди хронологію зі слайдів: Трипілля, античні поселення, княжа і пізніші доби.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17–35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9 регіонів</w:t>
            </w:r>
          </w:p>
        </w:tc>
        <w:tc>
          <w:tcPr>
            <w:tcW w:type="dxa" w:w="589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Приблизно по 2 хв на кожен; показуй на карті та по 1–2 характерні вироби.</w:t>
            </w:r>
          </w:p>
        </w:tc>
      </w:tr>
      <w:tr>
        <w:tc>
          <w:tcPr>
            <w:tcW w:type="dxa" w:w="1247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35–41</w:t>
            </w:r>
          </w:p>
        </w:tc>
        <w:tc>
          <w:tcPr>
            <w:tcW w:type="dxa" w:w="2494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Порівняння</w:t>
            </w:r>
          </w:p>
        </w:tc>
        <w:tc>
          <w:tcPr>
            <w:tcW w:type="dxa" w:w="5896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Гуртки порівнюють кольори, форму й призначення виробів у 2–3 регіонах.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41–46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Вікторина</w:t>
            </w:r>
          </w:p>
        </w:tc>
        <w:tc>
          <w:tcPr>
            <w:tcW w:type="dxa" w:w="589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5 запитань із презентації; нехай кожна відповідь має коротке пояснення.</w:t>
            </w:r>
          </w:p>
        </w:tc>
      </w:tr>
      <w:tr>
        <w:tc>
          <w:tcPr>
            <w:tcW w:type="dxa" w:w="1247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46–48</w:t>
            </w:r>
          </w:p>
        </w:tc>
        <w:tc>
          <w:tcPr>
            <w:tcW w:type="dxa" w:w="2494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Підсумок</w:t>
            </w:r>
          </w:p>
        </w:tc>
        <w:tc>
          <w:tcPr>
            <w:tcW w:type="dxa" w:w="5896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«Чому важливо пам’ятати, з якого регіону й традиції походить виріб?»</w:t>
            </w:r>
          </w:p>
        </w:tc>
      </w:tr>
    </w:tbl>
    <w:p>
      <w:pPr>
        <w:spacing w:after="0"/>
      </w:pPr>
    </w:p>
    <w:p>
      <w:pPr>
        <w:pStyle w:val="Heading1"/>
      </w:pPr>
      <w:r>
        <w:t>Про що сказати під час показу регіонів</w:t>
      </w:r>
    </w:p>
    <w:p>
      <w:pPr>
        <w:spacing w:after="40"/>
      </w:pPr>
      <w:r>
        <w:rPr>
          <w:b/>
          <w:color w:val="1F535B"/>
        </w:rPr>
        <w:t xml:space="preserve">Закарпаття. </w:t>
      </w:r>
      <w:r>
        <w:t>Змішання традицій; глеки, тарелі, квіти й рослинний розпис.</w:t>
      </w:r>
    </w:p>
    <w:p>
      <w:pPr>
        <w:spacing w:after="40"/>
      </w:pPr>
      <w:r>
        <w:rPr>
          <w:b/>
          <w:color w:val="1F535B"/>
        </w:rPr>
        <w:t xml:space="preserve">Гуцульщина і Покуття. </w:t>
      </w:r>
      <w:r>
        <w:t>Косів, Пістинь, Коломия; рослинні та геометричні мотиви, кольорові поливи.</w:t>
      </w:r>
    </w:p>
    <w:p>
      <w:pPr>
        <w:spacing w:after="40"/>
      </w:pPr>
      <w:r>
        <w:rPr>
          <w:b/>
          <w:color w:val="1F535B"/>
        </w:rPr>
        <w:t xml:space="preserve">Галичина. </w:t>
      </w:r>
      <w:r>
        <w:t>Полив’яні кахлі, міське й сільське гончарство.</w:t>
      </w:r>
    </w:p>
    <w:p>
      <w:pPr>
        <w:spacing w:after="40"/>
      </w:pPr>
      <w:r>
        <w:rPr>
          <w:b/>
          <w:color w:val="1F535B"/>
        </w:rPr>
        <w:t xml:space="preserve">Поділля. </w:t>
      </w:r>
      <w:r>
        <w:t>Бубнівка; червона глина, ангобний квітковий розпис.</w:t>
      </w:r>
    </w:p>
    <w:p>
      <w:pPr>
        <w:spacing w:after="40"/>
      </w:pPr>
      <w:r>
        <w:rPr>
          <w:b/>
          <w:color w:val="1F535B"/>
        </w:rPr>
        <w:t xml:space="preserve">Київщина. </w:t>
      </w:r>
      <w:r>
        <w:t>Пам’ятки трипільського розписного посуду; спіралі й геометрія.</w:t>
      </w:r>
    </w:p>
    <w:p>
      <w:pPr>
        <w:spacing w:after="40"/>
      </w:pPr>
      <w:r>
        <w:rPr>
          <w:b/>
          <w:color w:val="1F535B"/>
        </w:rPr>
        <w:t xml:space="preserve">Полісся і Чернігівщина. </w:t>
      </w:r>
      <w:r>
        <w:t>Ічня, чорнолощена кераміка, стриманий декор.</w:t>
      </w:r>
    </w:p>
    <w:p>
      <w:pPr>
        <w:spacing w:after="40"/>
      </w:pPr>
      <w:r>
        <w:rPr>
          <w:b/>
          <w:color w:val="1F535B"/>
        </w:rPr>
        <w:t xml:space="preserve">Полтавщина. </w:t>
      </w:r>
      <w:r>
        <w:t>Опішня, музей гончарства, куманці та фігурні баранці.</w:t>
      </w:r>
    </w:p>
    <w:p>
      <w:pPr>
        <w:spacing w:after="40"/>
      </w:pPr>
      <w:r>
        <w:rPr>
          <w:b/>
          <w:color w:val="1F535B"/>
        </w:rPr>
        <w:t xml:space="preserve">Слобожанщина і схід. </w:t>
      </w:r>
      <w:r>
        <w:t>Побутові форми, полива, глиняні іграшки.</w:t>
      </w:r>
    </w:p>
    <w:p>
      <w:pPr>
        <w:spacing w:after="40"/>
      </w:pPr>
      <w:r>
        <w:rPr>
          <w:b/>
          <w:color w:val="1F535B"/>
        </w:rPr>
        <w:t xml:space="preserve">Причорномор’я і Крим. </w:t>
      </w:r>
      <w:r>
        <w:t>Античні амфори; кримськотатарські ремісничі традиції.</w:t>
      </w:r>
    </w:p>
    <w:p>
      <w:pPr>
        <w:pStyle w:val="Heading1"/>
      </w:pPr>
      <w:r>
        <w:t>Інтерактив і контрольні запитання</w:t>
      </w:r>
    </w:p>
    <w:p>
      <w:pPr>
        <w:pStyle w:val="ListBullet"/>
      </w:pPr>
      <w:r>
        <w:t>Попроси кожного обрати 1 регіон і назвати ознаку, за якою він запам’ятав вироби.</w:t>
      </w:r>
    </w:p>
    <w:p>
      <w:pPr>
        <w:pStyle w:val="ListBullet"/>
      </w:pPr>
      <w:r>
        <w:t>Запитай: «Навіщо гіпсу вбирати воду? Яка з піал матиме глазуровану поверхню?»</w:t>
      </w:r>
    </w:p>
    <w:p>
      <w:pPr>
        <w:pStyle w:val="ListBullet"/>
      </w:pPr>
      <w:r>
        <w:t>Для молодшого юнацтва (12–14) — більше впізнавання картинок; для старшого (15–17) — порівняння технологій та культурних впливів.</w:t>
      </w:r>
    </w:p>
    <w:p>
      <w:pPr>
        <w:pStyle w:val="Heading1"/>
      </w:pPr>
      <w:r>
        <w:t>Технічні зауваги</w:t>
      </w:r>
    </w:p>
    <w:p>
      <w:r>
        <w:t>У конкретній демонстрації це два випали, але технології кераміки можуть відрізнятися. Порівнюй зразки на дотик обережно; для «водного досліду» спершу перевір результат удома. Висушений невипалений виріб не обов’язково перевозити — він крихкий.</w:t>
      </w:r>
    </w:p>
    <w:p>
      <w:r>
        <w:t>Файл HTML має керування клавішами → / ←, «Зміст», повноекранний режим клавішею F і кнопку «Пульт». Телефонне керування працює після публікації сайту та з інтернетом.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95" w:right="907" w:bottom="59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636D"/>
        <w:sz w:val="14"/>
      </w:rPr>
      <w:t>Кераміка України  •  робочий план виховника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4636D"/>
        <w:sz w:val="15"/>
      </w:rPr>
      <w:t>ПЛАСТ · ГУТІРКА ДЛЯ ЮНАЦТВА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DejaVu Sans" w:hAnsi="DejaVu Sans"/>
      <w:color w:val="1A2C39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6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F535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6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F535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" w:line="240" w:lineRule="auto" w:before="100"/>
      <w:contextualSpacing/>
    </w:pPr>
    <w:rPr>
      <w:rFonts w:asciiTheme="majorHAnsi" w:eastAsiaTheme="majorEastAsia" w:hAnsiTheme="majorHAnsi" w:cstheme="majorBidi" w:ascii="DejaVu Sans" w:hAnsi="DejaVu Sans"/>
      <w:b/>
      <w:color w:val="1A2C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