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FF6700"/>
          <w:sz w:val="18"/>
        </w:rPr>
        <w:t>实验报告 · 答辩材料</w:t>
      </w:r>
    </w:p>
    <w:p>
      <w:pPr>
        <w:spacing w:after="80"/>
      </w:pPr>
      <w:r>
        <w:rPr>
          <w:rFonts w:ascii="微软雅黑" w:hAnsi="微软雅黑" w:eastAsia="微软雅黑"/>
          <w:b/>
          <w:color w:val="1A1A1F"/>
          <w:sz w:val="40"/>
        </w:rPr>
        <w:t>OpsWarden · RAG 超参数调优实验报告</w:t>
      </w:r>
    </w:p>
    <w:p>
      <w:pPr>
        <w:spacing w:after="40"/>
      </w:pPr>
      <w:r>
        <w:rPr>
          <w:rFonts w:ascii="微软雅黑" w:hAnsi="微软雅黑" w:eastAsia="微软雅黑"/>
          <w:b w:val="0"/>
          <w:color w:val="6B7280"/>
          <w:sz w:val="20"/>
        </w:rPr>
        <w:t>目标：在误命中率 FPR ≤ 5% 约束下，最大化知识库召回 Hit@1。评测集：exact + paraphrase + hard_confusion + negative；向量库：PostgreSQL / pgvector。</w:t>
      </w:r>
    </w:p>
    <w:p>
      <w:pPr>
        <w:spacing w:after="40"/>
      </w:pPr>
      <w:r>
        <w:rPr>
          <w:rFonts w:ascii="微软雅黑" w:hAnsi="微软雅黑" w:eastAsia="微软雅黑"/>
          <w:b w:val="0"/>
          <w:color w:val="6B7280"/>
          <w:sz w:val="19"/>
        </w:rPr>
        <w:t>模型 BGE-small-zh-v1.5（512 维）  |  调参维度 ε · L1-K · τ · Top-K  |  网格组合 1584 (v2) / 216 (v3)</w:t>
      </w:r>
    </w:p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FF6700"/>
          <w:sz w:val="30"/>
        </w:rPr>
        <w:t xml:space="preserve">1  </w:t>
      </w:r>
      <w:r>
        <w:rPr>
          <w:rFonts w:ascii="微软雅黑" w:hAnsi="微软雅黑" w:eastAsia="微软雅黑"/>
          <w:b/>
          <w:color w:val="1A1A1F"/>
          <w:sz w:val="30"/>
        </w:rPr>
        <w:t>实验背景与目标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1A1A1F"/>
          <w:sz w:val="21"/>
        </w:rPr>
        <w:t>RAG 检索链由 4 个超参数控制，它们共同决定「问对了能不能查到、问偏了会不会乱答」：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超参数</w:t>
            </w:r>
          </w:p>
        </w:tc>
        <w:tc>
          <w:tcPr>
            <w:tcW w:type="dxa" w:w="432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1A73E8"/>
                <w:sz w:val="19"/>
              </w:rPr>
              <w:t>ε  量化步长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向量吸附到网格，越大锚点合并越多，索引越轻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1A73E8"/>
                <w:sz w:val="19"/>
              </w:rPr>
              <w:t>L1-K  锚点路由 Top-K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粗筛阶段保留的候选锚点桶数量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1E7E34"/>
                <w:sz w:val="19"/>
              </w:rPr>
              <w:t>τ  相似度阈值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score ≥ τ 判命中，否则视为未命中并建工单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1A73E8"/>
                <w:sz w:val="19"/>
              </w:rPr>
              <w:t>Top-K  精排返回条数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最终送入 LLM 的知识上下文条数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color w:val="6B7280"/>
          <w:sz w:val="20"/>
        </w:rPr>
        <w:t>核心矛盾：阈值 τ 调低 → 召回高但误命中多（拿不相关知识硬答）；τ 调高 → 误命中少但可能漏答。调优就是找这个平衡点。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6700"/>
          <w:sz w:val="30"/>
        </w:rPr>
        <w:t xml:space="preserve">2  </w:t>
      </w:r>
      <w:r>
        <w:rPr>
          <w:rFonts w:ascii="微软雅黑" w:hAnsi="微软雅黑" w:eastAsia="微软雅黑"/>
          <w:b/>
          <w:color w:val="1A1A1F"/>
          <w:sz w:val="30"/>
        </w:rPr>
        <w:t>实验设置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超参数</w:t>
            </w:r>
          </w:p>
        </w:tc>
        <w:tc>
          <w:tcPr>
            <w:tcW w:type="dxa" w:w="288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候选范围（v2 网格）</w:t>
            </w:r>
          </w:p>
        </w:tc>
        <w:tc>
          <w:tcPr>
            <w:tcW w:type="dxa" w:w="288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ANCHOR_QUANT_EPSILON (ε)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0.01 – 0.10（6 档）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量化网格步长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RAG_ANCHOR_TOP_K (L1-K)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1, 2, 3, 4, 8, 12, 16, 24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锚点粗筛 Top-K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RAG_SCORE_THRESHOLD (τ)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0.35 – 0.85（步长 0.05）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命中阈值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RAG_TOP_K (Top-K)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1, 3, 5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精排返回条数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6B7280"/>
          <w:sz w:val="20"/>
        </w:rPr>
        <w:t>评测集构造（v2，共 332 条）：原题 exact 100 + 口语改写 paraphrase 200 + 知识库外 negative 32。v3 进一步扩到 680 条（加 hard_confusion 同类干扰 80 + negative 100），知识库扩至 400 条以测锚点合并。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F"/>
          <w:sz w:val="24"/>
        </w:rPr>
        <w:t>评测指标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指标</w:t>
            </w:r>
          </w:p>
        </w:tc>
        <w:tc>
          <w:tcPr>
            <w:tcW w:type="dxa" w:w="432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FF6700"/>
                <w:sz w:val="19"/>
              </w:rPr>
              <w:t>Hit@1_para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主指标——口语改写问题的 Top-1 命中率，衡量「换种问法还能不能查到」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C0392B"/>
                <w:sz w:val="19"/>
              </w:rPr>
              <w:t>FPR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误命中率——知识库外问题被误判为命中的比例，越低越好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1A73E8"/>
                <w:sz w:val="19"/>
              </w:rPr>
              <w:t>L1_recall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锚点召回——正确条目的锚点是否进入 L1 候选桶，验证粗筛不漏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1E7E34"/>
                <w:sz w:val="19"/>
              </w:rPr>
              <w:t>anchor_compression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锚点压缩比——量化后锚点数 / 条目数，越小索引越轻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6700"/>
          <w:sz w:val="30"/>
        </w:rPr>
        <w:t xml:space="preserve">3  </w:t>
      </w:r>
      <w:r>
        <w:rPr>
          <w:rFonts w:ascii="微软雅黑" w:hAnsi="微软雅黑" w:eastAsia="微软雅黑"/>
          <w:b/>
          <w:color w:val="1A1A1F"/>
          <w:sz w:val="30"/>
        </w:rPr>
        <w:t>核心结果</w:t>
      </w:r>
    </w:p>
    <w:p>
      <w:pPr>
        <w:spacing w:after="120"/>
      </w:pPr>
      <w:r>
        <w:rPr>
          <w:rFonts w:ascii="微软雅黑" w:hAnsi="微软雅黑" w:eastAsia="微软雅黑"/>
          <w:b/>
          <w:color w:val="FF6700"/>
          <w:sz w:val="21"/>
        </w:rPr>
        <w:t>一句话结论：</w:t>
      </w:r>
      <w:r>
        <w:rPr>
          <w:rFonts w:ascii="微软雅黑" w:hAnsi="微软雅黑" w:eastAsia="微软雅黑"/>
          <w:b w:val="0"/>
          <w:color w:val="1A1A1F"/>
          <w:sz w:val="21"/>
        </w:rPr>
        <w:t>最优组合 ε=0.02 · L1-K=8 · τ=0.65 · Top-K=3。其中 τ 从默认 0.4 提到 0.65 是关键——几乎不损召回，却把误命中率从 81% 砍到 3%。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4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u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4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微软雅黑" w:hAnsi="微软雅黑" w:eastAsia="微软雅黑"/>
          <w:b w:val="0"/>
          <w:color w:val="1A1A1F"/>
          <w:sz w:val="20"/>
        </w:rPr>
        <w:t>τ ≤ 0.5 时召回满分但 FPR 高得离谱（0.40 时 81.2%）；τ ≥ 0.75 后召回开始崩塌。τ=0.65 是甜点：Hit_para 仍有 98.5%，FPR 降到 3.1%，满足 ≤5% 约束。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55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ault_vs_r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5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6B7280"/>
          <w:sz w:val="20"/>
        </w:rPr>
        <w:t>召回几乎不变，误命中率断崖式下降。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F"/>
          <w:sz w:val="24"/>
        </w:rPr>
        <w:t>最优超参数组合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参数</w:t>
            </w:r>
          </w:p>
        </w:tc>
        <w:tc>
          <w:tcPr>
            <w:tcW w:type="dxa" w:w="216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当前默认（线上）</w:t>
            </w:r>
          </w:p>
        </w:tc>
        <w:tc>
          <w:tcPr>
            <w:tcW w:type="dxa" w:w="216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v2 推荐</w:t>
            </w:r>
          </w:p>
        </w:tc>
        <w:tc>
          <w:tcPr>
            <w:tcW w:type="dxa" w:w="216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v3 推荐（最新）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ε（量化步长）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0.02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0.02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E7E34"/>
                <w:sz w:val="19"/>
              </w:rPr>
              <w:t>0.02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L1-K（锚点 Top-K）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E7E34"/>
                <w:sz w:val="19"/>
              </w:rP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τ（相似度阈值）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C0392B"/>
                <w:sz w:val="19"/>
              </w:rPr>
              <w:t>0.40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0.65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E7E34"/>
                <w:sz w:val="19"/>
              </w:rPr>
              <w:t>0.65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Top-K（精排条数）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E7E34"/>
                <w:sz w:val="19"/>
              </w:rPr>
              <w:t>3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A1A1F"/>
          <w:sz w:val="24"/>
        </w:rPr>
        <w:t>推荐配置指标（v3，680 条评测 / 400 条扩库）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Hit@1_exact</w:t>
            </w:r>
          </w:p>
        </w:tc>
        <w:tc>
          <w:tcPr>
            <w:tcW w:type="dxa" w:w="216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Hit@1_para</w:t>
            </w:r>
          </w:p>
        </w:tc>
        <w:tc>
          <w:tcPr>
            <w:tcW w:type="dxa" w:w="216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L1_recall_hard</w:t>
            </w:r>
          </w:p>
        </w:tc>
        <w:tc>
          <w:tcPr>
            <w:tcW w:type="dxa" w:w="2160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9"/>
              </w:rPr>
              <w:t>anchor_compression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E7E34"/>
                <w:sz w:val="19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FF6700"/>
                <w:sz w:val="19"/>
              </w:rPr>
              <w:t>99.5%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A73E8"/>
                <w:sz w:val="19"/>
              </w:rPr>
              <w:t>96.2%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color w:val="1A1A1F"/>
                <w:sz w:val="19"/>
              </w:rPr>
              <w:t>0.25×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6B7280"/>
          <w:sz w:val="20"/>
        </w:rPr>
        <w:t>关于 FPR 的两个数：v2（32 条负样本）测得 FPR≈3.1%，v3 扩到 100 条含 near-miss 后 FPR≈13%。数字升高不是模型变差，而是评测更严格；负样本量小、估计有方差，生产应持续用真实日志迭代。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F"/>
          <w:sz w:val="24"/>
        </w:rPr>
        <w:t>Top 配置（v3 joint，按 Hit_para + L1_hard 选优）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Rank</w:t>
            </w:r>
          </w:p>
        </w:tc>
        <w:tc>
          <w:tcPr>
            <w:tcW w:type="dxa" w:w="1234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ε</w:t>
            </w:r>
          </w:p>
        </w:tc>
        <w:tc>
          <w:tcPr>
            <w:tcW w:type="dxa" w:w="1234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L1-K</w:t>
            </w:r>
          </w:p>
        </w:tc>
        <w:tc>
          <w:tcPr>
            <w:tcW w:type="dxa" w:w="1234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Top-K</w:t>
            </w:r>
          </w:p>
        </w:tc>
        <w:tc>
          <w:tcPr>
            <w:tcW w:type="dxa" w:w="1234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Hit_para</w:t>
            </w:r>
          </w:p>
        </w:tc>
        <w:tc>
          <w:tcPr>
            <w:tcW w:type="dxa" w:w="1234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L1_hard</w:t>
            </w:r>
          </w:p>
        </w:tc>
        <w:tc>
          <w:tcPr>
            <w:tcW w:type="dxa" w:w="1234"/>
            <w:shd w:val="clear" w:color="auto" w:fill="FFF3E9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FPR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0.02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99.5%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97.5%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13.0%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0.01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99.5%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97.5%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13.0%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0.02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99.5%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97.5%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13.0%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color w:val="1A1A1F"/>
                <w:sz w:val="18"/>
              </w:rPr>
              <w:t>0.02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color w:val="FF670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color w:val="1A1A1F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99.5%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96.2%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color w:val="1A1A1F"/>
                <w:sz w:val="18"/>
              </w:rPr>
              <w:t>13.0%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6B7280"/>
          <w:sz w:val="20"/>
        </w:rPr>
        <w:t>统计最优 L1-K=12，但生产保守取 L1-K=8：召回仅差 1.3 个百分点，候选更少、延迟更低，且与现有默认一致、无需大改。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6700"/>
          <w:sz w:val="30"/>
        </w:rPr>
        <w:t xml:space="preserve">4  </w:t>
      </w:r>
      <w:r>
        <w:rPr>
          <w:rFonts w:ascii="微软雅黑" w:hAnsi="微软雅黑" w:eastAsia="微软雅黑"/>
          <w:b/>
          <w:color w:val="1A1A1F"/>
          <w:sz w:val="30"/>
        </w:rPr>
        <w:t>结论与生产建议</w:t>
      </w:r>
    </w:p>
    <w:p>
      <w:pPr>
        <w:pStyle w:val="ListNumber"/>
      </w:pPr>
      <w:r>
        <w:rPr>
          <w:rFonts w:ascii="微软雅黑" w:hAnsi="微软雅黑" w:eastAsia="微软雅黑"/>
          <w:b/>
          <w:color w:val="1A1A1F"/>
          <w:sz w:val="21"/>
        </w:rPr>
        <w:t>立即可落地：</w:t>
      </w:r>
      <w:r>
        <w:rPr>
          <w:rFonts w:ascii="微软雅黑" w:hAnsi="微软雅黑" w:eastAsia="微软雅黑"/>
          <w:b w:val="0"/>
          <w:color w:val="1A1A1F"/>
          <w:sz w:val="21"/>
        </w:rPr>
        <w:t>把 RAG_SCORE_THRESHOLD 从 0.40 调到 0.65，性价比最高。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F"/>
          <w:sz w:val="21"/>
        </w:rPr>
        <w:t>其余三参数维持默认：</w:t>
      </w:r>
      <w:r>
        <w:rPr>
          <w:rFonts w:ascii="微软雅黑" w:hAnsi="微软雅黑" w:eastAsia="微软雅黑"/>
          <w:b w:val="0"/>
          <w:color w:val="1A1A1F"/>
          <w:sz w:val="21"/>
        </w:rPr>
        <w:t>ε=0.02、L1-K=8、Top-K=3 已是稳健解，无需改动。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F"/>
          <w:sz w:val="21"/>
        </w:rPr>
        <w:t>显式写入 .env：</w:t>
      </w:r>
      <w:r>
        <w:rPr>
          <w:rFonts w:ascii="微软雅黑" w:hAnsi="微软雅黑" w:eastAsia="微软雅黑"/>
          <w:b w:val="0"/>
          <w:color w:val="1A1A1F"/>
          <w:sz w:val="21"/>
        </w:rPr>
        <w:t>当前 RAG_ANCHOR_TOP_K / ANCHOR_QUANT_EPSILON 未写进 .env，靠代码默认兜底，建议显式声明避免歧义。</w:t>
      </w:r>
    </w:p>
    <w:p>
      <w:pPr>
        <w:pStyle w:val="ListNumber"/>
      </w:pPr>
      <w:r>
        <w:rPr>
          <w:rFonts w:ascii="微软雅黑" w:hAnsi="微软雅黑" w:eastAsia="微软雅黑"/>
          <w:b/>
          <w:color w:val="1A1A1F"/>
          <w:sz w:val="21"/>
        </w:rPr>
        <w:t>持续迭代：</w:t>
      </w:r>
      <w:r>
        <w:rPr>
          <w:rFonts w:ascii="微软雅黑" w:hAnsi="微软雅黑" w:eastAsia="微软雅黑"/>
          <w:b w:val="0"/>
          <w:color w:val="1A1A1F"/>
          <w:sz w:val="21"/>
        </w:rPr>
        <w:t>负样本规模偏小，上线后应收集真实「未命中 / 误命中」日志，定期重跑调优脚本。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F"/>
          <w:sz w:val="24"/>
        </w:rPr>
        <w:t>推荐 .env</w:t>
      </w:r>
    </w:p>
    <w:p>
      <w:pPr>
        <w:spacing w:after="0"/>
        <w:ind w:left="200"/>
      </w:pPr>
      <w:r>
        <w:rPr>
          <w:rFonts w:ascii="Consolas" w:hAnsi="Consolas" w:eastAsia="Consolas"/>
          <w:color w:val="333333"/>
          <w:sz w:val="19"/>
        </w:rPr>
        <w:t># RAG 最优组合（v3 调优结论）</w:t>
      </w:r>
    </w:p>
    <w:p>
      <w:pPr>
        <w:spacing w:after="0"/>
        <w:ind w:left="200"/>
      </w:pPr>
      <w:r>
        <w:rPr>
          <w:rFonts w:ascii="Consolas" w:hAnsi="Consolas" w:eastAsia="Consolas"/>
          <w:color w:val="333333"/>
          <w:sz w:val="19"/>
        </w:rPr>
        <w:t>ANCHOR_QUANT_EPSILON=0.02</w:t>
      </w:r>
    </w:p>
    <w:p>
      <w:pPr>
        <w:spacing w:after="0"/>
        <w:ind w:left="200"/>
      </w:pPr>
      <w:r>
        <w:rPr>
          <w:rFonts w:ascii="Consolas" w:hAnsi="Consolas" w:eastAsia="Consolas"/>
          <w:color w:val="333333"/>
          <w:sz w:val="19"/>
        </w:rPr>
        <w:t>RAG_ANCHOR_TOP_K=8</w:t>
      </w:r>
    </w:p>
    <w:p>
      <w:pPr>
        <w:spacing w:after="0"/>
        <w:ind w:left="200"/>
      </w:pPr>
      <w:r>
        <w:rPr>
          <w:rFonts w:ascii="Consolas" w:hAnsi="Consolas" w:eastAsia="Consolas"/>
          <w:color w:val="333333"/>
          <w:sz w:val="19"/>
        </w:rPr>
        <w:t>RAG_SCORE_THRESHOLD=0.65   # ← 由 0.40 上调，FPR 81% → 3%</w:t>
      </w:r>
    </w:p>
    <w:p>
      <w:pPr>
        <w:spacing w:after="0"/>
        <w:ind w:left="200"/>
      </w:pPr>
      <w:r>
        <w:rPr>
          <w:rFonts w:ascii="Consolas" w:hAnsi="Consolas" w:eastAsia="Consolas"/>
          <w:color w:val="333333"/>
          <w:sz w:val="19"/>
        </w:rPr>
        <w:t>RAG_TOP_K=3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1A1F"/>
          <w:sz w:val="24"/>
        </w:rPr>
        <w:t>复现命令</w:t>
      </w:r>
    </w:p>
    <w:p>
      <w:pPr>
        <w:spacing w:after="0"/>
        <w:ind w:left="200"/>
      </w:pPr>
      <w:r>
        <w:rPr>
          <w:rFonts w:ascii="Consolas" w:hAnsi="Consolas" w:eastAsia="Consolas"/>
          <w:color w:val="333333"/>
          <w:sz w:val="19"/>
        </w:rPr>
        <w:t>python scripts/build_eval_dataset_v3.py</w:t>
      </w:r>
    </w:p>
    <w:p>
      <w:pPr>
        <w:spacing w:after="0"/>
        <w:ind w:left="200"/>
      </w:pPr>
      <w:r>
        <w:rPr>
          <w:rFonts w:ascii="Consolas" w:hAnsi="Consolas" w:eastAsia="Consolas"/>
          <w:color w:val="333333"/>
          <w:sz w:val="19"/>
        </w:rPr>
        <w:t>python scripts/rag_hyperparam_eval.py --dataset v3 --joint3 --all</w:t>
      </w:r>
    </w:p>
    <w:p>
      <w:pPr>
        <w:spacing w:after="0"/>
        <w:ind w:left="200"/>
      </w:pPr>
      <w:r>
        <w:rPr>
          <w:rFonts w:ascii="Consolas" w:hAnsi="Consolas" w:eastAsia="Consolas"/>
          <w:color w:val="333333"/>
          <w:sz w:val="19"/>
        </w:rPr>
        <w:t>python scripts/rag_hyperparam_verify_db.py --dataset v3 --joint3</w:t>
      </w:r>
    </w:p>
    <w:p/>
    <w:p>
      <w:pPr>
        <w:spacing w:after="120"/>
      </w:pPr>
      <w:r>
        <w:rPr>
          <w:rFonts w:ascii="微软雅黑" w:hAnsi="微软雅黑" w:eastAsia="微软雅黑"/>
          <w:b w:val="0"/>
          <w:color w:val="6B7280"/>
          <w:sz w:val="17"/>
        </w:rPr>
        <w:t>数据来源：docs/rag_hyperparam_report.md (v2) · docs/rag_hyperparam_report_v3_joint.md (v3)。图表由 matplotlib 渲染。OpsWarden · AI 运维数字员工平台。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