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GovTribe, Inc.</w:t>
      </w:r>
    </w:p>
    <w:p>
      <w:pPr>
        <w:pStyle w:val="Subtitle"/>
      </w:pPr>
      <w:r>
        <w:rPr>
          <w:rFonts w:ascii="Arial" w:hAnsi="Arial"/>
          <w:color w:val="000000"/>
        </w:rPr>
        <w:t>Company profile and due diligence</w:t>
      </w:r>
    </w:p>
    <w:p>
      <w:pPr>
        <w:pStyle w:val="Meta"/>
        <w:spacing w:after="100"/>
      </w:pPr>
      <w:r>
        <w:rPr>
          <w:rFonts w:ascii="Arial" w:hAnsi="Arial"/>
          <w:color w:val="555E6B"/>
        </w:rPr>
        <w:t>Washington, DC  |  Research as of 15 September 2026</w:t>
      </w:r>
    </w:p>
    <w:p>
      <w:pPr>
        <w:pStyle w:val="Meta"/>
        <w:spacing w:after="240"/>
      </w:pPr>
      <w:r>
        <w:rPr>
          <w:rFonts w:ascii="Arial" w:hAnsi="Arial"/>
          <w:color w:val="555E6B"/>
        </w:rPr>
        <w:t xml:space="preserve">UEI EDJBUPNLCCL5  |  CAGE 6XKE3  </w:t>
      </w:r>
      <w:hyperlink r:id="rId13" w:history="1">
        <w:r>
          <w:rPr>
            <w:rFonts w:ascii="Arial" w:hAnsi="Arial"/>
            <w:color w:val="126B80"/>
          </w:rPr>
          <w:t>[S1]</w:t>
        </w:r>
      </w:hyperlink>
      <w:r>
        <w:rPr>
          <w:rFonts w:ascii="Arial" w:hAnsi="Arial"/>
          <w:color w:val="555E6B"/>
        </w:rPr>
      </w:r>
    </w:p>
    <w:p>
      <w:r>
        <w:rPr>
          <w:rFonts w:ascii="Arial" w:hAnsi="Arial"/>
          <w:color w:val="20252D"/>
        </w:rPr>
        <w:t xml:space="preserve">GovTribe provides a market intelligence platform for organizations pursuing government business. Its published materials describe opportunity and award research, capture management, contact intelligence and AI-assisted analysis across federal, state and local markets. These are company-described product capabilities, not evidence of delivery on a federal contract. </w:t>
      </w:r>
      <w:hyperlink r:id="rId14" w:history="1">
        <w:r>
          <w:rPr>
            <w:rFonts w:ascii="Arial" w:hAnsi="Arial"/>
            <w:color w:val="126B80"/>
          </w:rPr>
          <w:t>[S2]</w:t>
        </w:r>
      </w:hyperlink>
      <w:r>
        <w:rPr>
          <w:rFonts w:ascii="Arial" w:hAnsi="Arial"/>
          <w:color w:val="20252D"/>
        </w:rPr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16"/>
        <w:gridCol w:w="6840"/>
        <w:gridCol w:w="1224"/>
      </w:tblGrid>
      <w:tr>
        <w:trPr>
          <w:cantSplit/>
          <w:tblHeader/>
        </w:trPr>
        <w:tc>
          <w:tcPr>
            <w:tcW w:type="dxa" w:w="201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6840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Details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Legal identity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GovTribe, Inc.</w:t>
              <w:br/>
              <w:t>600 New Hampshire Ave NW, Washington, DC 20037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Website</w:t>
            </w:r>
          </w:p>
        </w:tc>
        <w:tc>
          <w:tcPr>
            <w:tcW w:type="dxa" w:w="684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govtribe.com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4" w:history="1">
              <w:r>
                <w:rPr>
                  <w:rFonts w:ascii="Arial" w:hAnsi="Arial"/>
                  <w:color w:val="126B80"/>
                  <w:sz w:val="21"/>
                </w:rPr>
                <w:t>[S2]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Record currency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Vendor record updated 24 February 2026; retrieved 15 September 2026. This is not a live SAM eligibility determination.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[S1]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Federal awards</w:t>
            </w:r>
          </w:p>
        </w:tc>
        <w:tc>
          <w:tcPr>
            <w:tcW w:type="dxa" w:w="6840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None, as confirmed by the company owner for this example series. No federal award or past-performance claim is made.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Owner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</w:pPr>
      <w:r>
        <w:rPr>
          <w:rFonts w:ascii="Arial" w:hAnsi="Arial"/>
          <w:color w:val="000000"/>
        </w:rPr>
        <w:t>Capabilities</w:t>
      </w:r>
    </w:p>
    <w:p>
      <w:r>
        <w:rPr>
          <w:rFonts w:ascii="Arial" w:hAnsi="Arial"/>
          <w:color w:val="20252D"/>
        </w:rPr>
        <w:t xml:space="preserve">Market research. The company describes a platform combining government opportunity and award data with market and buyer intelligence to support business-development decisions. </w:t>
      </w:r>
      <w:hyperlink r:id="rId14" w:history="1">
        <w:r>
          <w:rPr>
            <w:rFonts w:ascii="Arial" w:hAnsi="Arial"/>
            <w:color w:val="126B80"/>
          </w:rPr>
          <w:t>[S2]</w:t>
        </w:r>
      </w:hyperlink>
      <w:r>
        <w:rPr>
          <w:rFonts w:ascii="Arial" w:hAnsi="Arial"/>
          <w:color w:val="20252D"/>
        </w:rPr>
      </w:r>
    </w:p>
    <w:p>
      <w:r>
        <w:rPr>
          <w:rFonts w:ascii="Arial" w:hAnsi="Arial"/>
          <w:color w:val="20252D"/>
        </w:rPr>
        <w:t xml:space="preserve">Capture coordination. The user guide documents dashboards, pipelines, pursuits, tasks and saved searches. Teams can organize potential opportunities and track their internal capture work. </w:t>
      </w:r>
      <w:hyperlink r:id="rId15" w:history="1">
        <w:r>
          <w:rPr>
            <w:rFonts w:ascii="Arial" w:hAnsi="Arial"/>
            <w:color w:val="126B80"/>
          </w:rPr>
          <w:t>[S3]</w:t>
        </w:r>
      </w:hyperlink>
      <w:r>
        <w:rPr>
          <w:rFonts w:ascii="Arial" w:hAnsi="Arial"/>
          <w:color w:val="20252D"/>
        </w:rPr>
      </w:r>
    </w:p>
    <w:p>
      <w:r>
        <w:rPr>
          <w:rFonts w:ascii="Arial" w:hAnsi="Arial"/>
          <w:color w:val="20252D"/>
        </w:rPr>
        <w:t xml:space="preserve">Research and teaming. The documented workflows include researching vendors and awards, analyzing funding, and expressing teaming interest on federal opportunities. GovTribe AI supports record research and context summaries. </w:t>
      </w:r>
      <w:hyperlink r:id="rId15" w:history="1">
        <w:r>
          <w:rPr>
            <w:rFonts w:ascii="Arial" w:hAnsi="Arial"/>
            <w:color w:val="126B80"/>
          </w:rPr>
          <w:t>[S3]</w:t>
        </w:r>
      </w:hyperlink>
      <w:r>
        <w:rPr>
          <w:rFonts w:ascii="Arial" w:hAnsi="Arial"/>
          <w:color w:val="20252D"/>
        </w:rPr>
      </w:r>
    </w:p>
    <w:p>
      <w:pPr>
        <w:pStyle w:val="Heading1"/>
        <w:pageBreakBefore/>
      </w:pPr>
      <w:r>
        <w:rPr>
          <w:rFonts w:ascii="Arial" w:hAnsi="Arial"/>
          <w:color w:val="000000"/>
        </w:rPr>
        <w:t>Contract access and relationships</w:t>
      </w:r>
    </w:p>
    <w:p>
      <w:r>
        <w:rPr>
          <w:rFonts w:ascii="Arial" w:hAnsi="Arial"/>
          <w:color w:val="20252D"/>
        </w:rPr>
        <w:t xml:space="preserve">GovTribe’s About page identifies GovExec as its parent company. This is a company-published relationship; it does not establish a joint venture, reseller agreement or procurement route. </w:t>
      </w:r>
      <w:hyperlink r:id="rId14" w:history="1">
        <w:r>
          <w:rPr>
            <w:rFonts w:ascii="Arial" w:hAnsi="Arial"/>
            <w:color w:val="126B80"/>
          </w:rPr>
          <w:t>[S2]</w:t>
        </w:r>
      </w:hyperlink>
      <w:r>
        <w:rPr>
          <w:rFonts w:ascii="Arial" w:hAnsi="Arial"/>
          <w:color w:val="20252D"/>
        </w:rPr>
      </w:r>
    </w:p>
    <w:p>
      <w:r>
        <w:rPr>
          <w:rFonts w:ascii="Arial" w:hAnsi="Arial"/>
          <w:color w:val="20252D"/>
        </w:rPr>
        <w:t>No company-held contract vehicle is represented in this profile. A prospective transaction would require confirmation of the purchasing route, terms and authorized selling entity.</w:t>
      </w:r>
    </w:p>
    <w:p>
      <w:pPr>
        <w:pStyle w:val="Heading1"/>
      </w:pPr>
      <w:r>
        <w:rPr>
          <w:rFonts w:ascii="Arial" w:hAnsi="Arial"/>
          <w:color w:val="000000"/>
        </w:rPr>
        <w:t>Questions to resolve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8856"/>
        <w:gridCol w:w="1224"/>
      </w:tblGrid>
      <w:tr>
        <w:trPr>
          <w:cantSplit/>
          <w:tblHeader/>
        </w:trPr>
        <w:tc>
          <w:tcPr>
            <w:tcW w:type="dxa" w:w="8856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22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What purchasing route, license scope and support terms apply to the intended buyer?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Confirm</w:t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What security, accessibility, data-use and integration requirements apply to the proposed use, and what current evidence supports compliance?</w:t>
            </w:r>
          </w:p>
        </w:tc>
        <w:tc>
          <w:tcPr>
            <w:tcW w:type="dxa" w:w="122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Confirm</w:t>
            </w:r>
          </w:p>
        </w:tc>
      </w:tr>
      <w:tr>
        <w:trPr>
          <w:cantSplit/>
        </w:trPr>
        <w:tc>
          <w:tcPr>
            <w:tcW w:type="dxa" w:w="8856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What customer-authorized references or acceptance evidence can support any future past-performance claim? Illustrative projects in this template series are not actual GovTribe awards.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Owner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1"/>
        <w:pageBreakBefore w:val="0"/>
      </w:pPr>
      <w:r>
        <w:rPr>
          <w:rFonts w:ascii="Arial" w:hAnsi="Arial"/>
          <w:color w:val="000000"/>
        </w:rPr>
        <w:t>Sources</w:t>
      </w:r>
    </w:p>
    <w:p>
      <w:pPr>
        <w:pStyle w:val="ListBullet"/>
      </w:pPr>
      <w:r>
        <w:rPr>
          <w:rFonts w:ascii="Arial" w:hAnsi="Arial"/>
          <w:color w:val="20252D"/>
        </w:rPr>
      </w:r>
      <w:hyperlink r:id="rId13" w:history="1">
        <w:r>
          <w:rPr>
            <w:rFonts w:ascii="Arial" w:hAnsi="Arial"/>
            <w:color w:val="126B80"/>
          </w:rPr>
          <w:t>[S1]</w:t>
        </w:r>
      </w:hyperlink>
      <w:r>
        <w:rPr>
          <w:rFonts w:ascii="Arial" w:hAnsi="Arial"/>
          <w:color w:val="20252D"/>
        </w:rPr>
        <w:t xml:space="preserve"> GovTribe vendor record, exact UEI EDJBUPNLCCL5. Record updated 24 February 2026; retrieved 15 September 2026. Identity and address only.</w:t>
      </w:r>
    </w:p>
    <w:p>
      <w:pPr>
        <w:pStyle w:val="ListBullet"/>
      </w:pPr>
      <w:r>
        <w:rPr>
          <w:rFonts w:ascii="Arial" w:hAnsi="Arial"/>
          <w:color w:val="20252D"/>
        </w:rPr>
      </w:r>
      <w:hyperlink r:id="rId14" w:history="1">
        <w:r>
          <w:rPr>
            <w:rFonts w:ascii="Arial" w:hAnsi="Arial"/>
            <w:color w:val="126B80"/>
          </w:rPr>
          <w:t>[S2]</w:t>
        </w:r>
      </w:hyperlink>
      <w:r>
        <w:rPr>
          <w:rFonts w:ascii="Arial" w:hAnsi="Arial"/>
          <w:color w:val="20252D"/>
        </w:rPr>
        <w:t xml:space="preserve"> GovTribe, About. Retrieved 15 September 2026. Company-authored product and parent-company descriptions.</w:t>
      </w:r>
    </w:p>
    <w:p>
      <w:pPr>
        <w:pStyle w:val="ListBullet"/>
      </w:pPr>
      <w:r>
        <w:rPr>
          <w:rFonts w:ascii="Arial" w:hAnsi="Arial"/>
          <w:color w:val="20252D"/>
        </w:rPr>
      </w:r>
      <w:hyperlink r:id="rId15" w:history="1">
        <w:r>
          <w:rPr>
            <w:rFonts w:ascii="Arial" w:hAnsi="Arial"/>
            <w:color w:val="126B80"/>
          </w:rPr>
          <w:t>[S3]</w:t>
        </w:r>
      </w:hyperlink>
      <w:r>
        <w:rPr>
          <w:rFonts w:ascii="Arial" w:hAnsi="Arial"/>
          <w:color w:val="20252D"/>
        </w:rPr>
        <w:t xml:space="preserve"> GovTribe User Guide. Retrieved 15 September 2026. Documented product workflows.</w:t>
      </w:r>
    </w:p>
    <w:p>
      <w:pPr>
        <w:pStyle w:val="Small"/>
      </w:pPr>
      <w:r>
        <w:rPr>
          <w:rFonts w:ascii="Arial" w:hAnsi="Arial"/>
          <w:color w:val="555E6B"/>
        </w:rPr>
        <w:t>Owner confirmation — 15 September 2026: GovTribe has no federal awards. Illustrative experience in other sample documents is not actual company past performance.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line="240" w:lineRule="auto" w:after="0"/>
    </w:pPr>
    <w:r>
      <w:drawing>
        <wp:inline xmlns:a="http://schemas.openxmlformats.org/drawingml/2006/main" xmlns:pic="http://schemas.openxmlformats.org/drawingml/2006/picture">
          <wp:extent cx="1234440" cy="144532"/>
          <wp:docPr id="1" name="Picture 1" descr="Official GovTrib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vtribe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1445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34465B"/>
        <w:sz w:val="18"/>
      </w:rPr>
      <w:t xml:space="preserve">    GovTribe, Inc.  ·  UEI EDJBUPNLCCL5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GovTribe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80" w:line="269" w:lineRule="auto"/>
      <w:ind w:left="280" w:hanging="28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ovtribe.com/vendors/govtribe-inc-dot-6xke3" TargetMode="External"/><Relationship Id="rId14" Type="http://schemas.openxmlformats.org/officeDocument/2006/relationships/hyperlink" Target="https://govtribe.com/about" TargetMode="External"/><Relationship Id="rId15" Type="http://schemas.openxmlformats.org/officeDocument/2006/relationships/hyperlink" Target="https://govtribe.com/docs/govtribe-user-guide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GovTribe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GovTribe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GovTribe company profile and due diligence</dc:title>
  <dc:subject>Company identity, capabilities, selected federal work, contract access and diligence questions</dc:subject>
  <dc:creator>GovTribe</dc:creator>
  <cp:keywords>company profile, due diligence, reusable template</cp:keywords>
  <dc:description>Factual identity and company-described capabilities; no federal awards represented. Company owner confirms no federal awards.</dc:description>
  <cp:lastModifiedBy>GovTribe</cp:lastModifiedBy>
  <cp:revision>1</cp:revision>
  <dcterms:created xsi:type="dcterms:W3CDTF">2013-12-23T23:15:00Z</dcterms:created>
  <dcterms:modified xsi:type="dcterms:W3CDTF">2013-12-23T23:15:00Z</dcterms:modified>
  <cp:category/>
</cp:coreProperties>
</file>