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000000"/>
        </w:rPr>
        <w:t>NIST SRD License Key System</w:t>
      </w:r>
    </w:p>
    <w:p>
      <w:pPr>
        <w:pStyle w:val="Subtitle"/>
      </w:pPr>
      <w:r>
        <w:rPr>
          <w:rFonts w:ascii="Arial" w:hAnsi="Arial"/>
          <w:color w:val="000000"/>
        </w:rPr>
        <w:t>Opportunity Brief</w:t>
      </w:r>
    </w:p>
    <w:p>
      <w:pPr>
        <w:pStyle w:val="Meta"/>
      </w:pPr>
      <w:r>
        <w:rPr>
          <w:rFonts w:ascii="Arial" w:hAnsi="Arial"/>
          <w:color w:val="555E6B"/>
        </w:rPr>
        <w:t>NIST · Material Data Division, Material Measurement Laboratory  |  As of 11 September 2026</w:t>
      </w:r>
    </w:p>
    <w:p>
      <w:pPr>
        <w:pStyle w:val="Heading2"/>
      </w:pPr>
      <w:r>
        <w:rPr>
          <w:rFonts w:ascii="Arial" w:hAnsi="Arial"/>
          <w:color w:val="000000"/>
        </w:rPr>
        <w:t>What NIST is buying</w:t>
      </w:r>
    </w:p>
    <w:p>
      <w:r>
        <w:rPr>
          <w:rFonts w:ascii="Arial" w:hAnsi="Arial"/>
          <w:color w:val="20252D"/>
        </w:rPr>
        <w:t xml:space="preserve">NIST is acquiring its first Standard Reference Data licensing system to control post-delivery access, enforce geographic restrictions and track distributor sales. Initial priority: about 20 paid products with 100 SKUs, within roughly 80 products overall. </w:t>
      </w:r>
      <w:hyperlink r:id="rId13" w:history="1">
        <w:r>
          <w:rPr>
            <w:rFonts w:ascii="Arial" w:hAnsi="Arial"/>
            <w:color w:val="126B80"/>
          </w:rPr>
          <w:t>[S2 p1]</w:t>
        </w:r>
      </w:hyperlink>
      <w:r>
        <w:rPr>
          <w:rFonts w:ascii="Arial" w:hAnsi="Arial"/>
          <w:color w:val="20252D"/>
        </w:rPr>
        <w:t xml:space="preserve"> </w:t>
      </w:r>
      <w:hyperlink r:id="rId14" w:history="1">
        <w:r>
          <w:rPr>
            <w:rFonts w:ascii="Arial" w:hAnsi="Arial"/>
            <w:color w:val="126B80"/>
          </w:rPr>
          <w:t>[S3]</w:t>
        </w:r>
      </w:hyperlink>
      <w:r>
        <w:rPr>
          <w:rFonts w:ascii="Arial" w:hAnsi="Arial"/>
          <w:color w:val="20252D"/>
        </w:rPr>
      </w:r>
    </w:p>
    <w:p>
      <w:pPr>
        <w:pStyle w:val="Heading2"/>
      </w:pPr>
      <w:r>
        <w:rPr>
          <w:rFonts w:ascii="Arial" w:hAnsi="Arial"/>
          <w:color w:val="000000"/>
        </w:rPr>
        <w:t>Opportunity at a glance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20" w:type="dxa"/>
          <w:right w:w="120" w:type="dxa"/>
        </w:tblCellMar>
      </w:tblPr>
      <w:tblGrid>
        <w:gridCol w:w="1699"/>
        <w:gridCol w:w="6653"/>
        <w:gridCol w:w="1728"/>
      </w:tblGrid>
      <w:tr>
        <w:trPr>
          <w:cantSplit/>
          <w:tblHeader/>
        </w:trPr>
        <w:tc>
          <w:tcPr>
            <w:tcW w:type="dxa" w:w="1699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653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  <w:tc>
          <w:tcPr>
            <w:tcW w:type="dxa" w:w="1728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Citation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Opportunity</w:t>
            </w:r>
          </w:p>
        </w:tc>
        <w:tc>
          <w:tcPr>
            <w:tcW w:type="dxa" w:w="6653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SRD License Key System · 1333ND26QNB640575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0"/>
                </w:rPr>
                <w:t>[S1 p1]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Notice type</w:t>
            </w:r>
          </w:p>
        </w:tc>
        <w:tc>
          <w:tcPr>
            <w:tcW w:type="dxa" w:w="6653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Solicitation / request for quotation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0"/>
                </w:rPr>
                <w:t>[S1 p1]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Status</w:t>
            </w:r>
          </w:p>
        </w:tc>
        <w:tc>
          <w:tcPr>
            <w:tcW w:type="dxa" w:w="6653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Updated solicitation; response window open as of this brief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6" w:history="1">
              <w:r>
                <w:rPr>
                  <w:rFonts w:ascii="Arial" w:hAnsi="Arial"/>
                  <w:color w:val="126B80"/>
                  <w:sz w:val="20"/>
                </w:rPr>
                <w:t>[S5]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Response window</w:t>
            </w:r>
          </w:p>
        </w:tc>
        <w:tc>
          <w:tcPr>
            <w:tcW w:type="dxa" w:w="6653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15 September 2026; time-zone wording requires confirmation (see Sources)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6" w:history="1">
              <w:r>
                <w:rPr>
                  <w:rFonts w:ascii="Arial" w:hAnsi="Arial"/>
                  <w:color w:val="126B80"/>
                  <w:sz w:val="20"/>
                </w:rPr>
                <w:t>[S5]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Set-aside</w:t>
            </w:r>
          </w:p>
        </w:tc>
        <w:tc>
          <w:tcPr>
            <w:tcW w:type="dxa" w:w="6653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Total small business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0"/>
                </w:rPr>
                <w:t>[S1 p1]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NAICS</w:t>
            </w:r>
          </w:p>
        </w:tc>
        <w:tc>
          <w:tcPr>
            <w:tcW w:type="dxa" w:w="6653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513210 · Software Publishers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0"/>
                </w:rPr>
                <w:t>[S1 p1]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Size standard</w:t>
            </w:r>
          </w:p>
        </w:tc>
        <w:tc>
          <w:tcPr>
            <w:tcW w:type="dxa" w:w="6653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$47 million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0"/>
                </w:rPr>
                <w:t>[S1 p1]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Contract type</w:t>
            </w:r>
          </w:p>
        </w:tc>
        <w:tc>
          <w:tcPr>
            <w:tcW w:type="dxa" w:w="6653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Firm fixed price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0"/>
                </w:rPr>
                <w:t>[S1 p1]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Period</w:t>
            </w:r>
          </w:p>
        </w:tc>
        <w:tc>
          <w:tcPr>
            <w:tcW w:type="dxa" w:w="6653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12-month base and four optional 12-month periods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0"/>
                </w:rPr>
                <w:t>[S2 p3]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Budget</w:t>
            </w:r>
          </w:p>
        </w:tc>
        <w:tc>
          <w:tcPr>
            <w:tcW w:type="dxa" w:w="6653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Not stated in reviewed sources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Evaluation</w:t>
            </w:r>
          </w:p>
        </w:tc>
        <w:tc>
          <w:tcPr>
            <w:tcW w:type="dxa" w:w="6653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Best value: technical acceptability, past performance and price; not necessarily lowest price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0"/>
                </w:rPr>
                <w:t>[S1 p3]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Notice changes</w:t>
            </w:r>
          </w:p>
        </w:tc>
        <w:tc>
          <w:tcPr>
            <w:tcW w:type="dxa" w:w="6653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8 Sep: deadline extended to 15 Sep. 10 Sep: Q&amp;A added; deadline unchanged.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6" w:history="1">
              <w:r>
                <w:rPr>
                  <w:rFonts w:ascii="Arial" w:hAnsi="Arial"/>
                  <w:color w:val="126B80"/>
                  <w:sz w:val="20"/>
                </w:rPr>
                <w:t>[S5]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Linked contracts</w:t>
            </w:r>
          </w:p>
        </w:tc>
        <w:tc>
          <w:tcPr>
            <w:tcW w:type="dxa" w:w="6653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0"/>
              </w:rPr>
              <w:t>Exact opportunity and notice-chain searches returned 0 awards and 0 IDVs; related agency work may still exist.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0"/>
              </w:rPr>
            </w:r>
            <w:hyperlink r:id="rId17" w:history="1">
              <w:r>
                <w:rPr>
                  <w:rFonts w:ascii="Arial" w:hAnsi="Arial"/>
                  <w:color w:val="126B80"/>
                  <w:sz w:val="20"/>
                </w:rPr>
                <w:t>[S6]</w:t>
              </w:r>
            </w:hyperlink>
            <w:r>
              <w:rPr>
                <w:rFonts w:ascii="Arial" w:hAnsi="Arial"/>
                <w:color w:val="20252D"/>
                <w:sz w:val="20"/>
              </w:rPr>
              <w:t xml:space="preserve"> </w:t>
            </w:r>
            <w:hyperlink r:id="rId18" w:history="1">
              <w:r>
                <w:rPr>
                  <w:rFonts w:ascii="Arial" w:hAnsi="Arial"/>
                  <w:color w:val="126B80"/>
                  <w:sz w:val="20"/>
                </w:rPr>
                <w:t>[S7]</w:t>
              </w:r>
            </w:hyperlink>
            <w:r>
              <w:rPr>
                <w:rFonts w:ascii="Arial" w:hAnsi="Arial"/>
                <w:color w:val="20252D"/>
                <w:sz w:val="20"/>
              </w:rPr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spacing w:after="0" w:line="20" w:lineRule="exact"/>
      </w:pPr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Requirements</w:t>
      </w:r>
    </w:p>
    <w:p>
      <w:r>
        <w:rPr>
          <w:rFonts w:ascii="Arial" w:hAnsi="Arial"/>
          <w:color w:val="20252D"/>
        </w:rPr>
        <w:t>Covers all 17 numbered SOW specifications, eligibility, electronic delivery, installation, training, acceptance, warranty and option continuity. Detailed quotation instructions, conditional site-access rules and incorporated clauses remain in the source documents.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8064"/>
        <w:gridCol w:w="2016"/>
      </w:tblGrid>
      <w:tr>
        <w:trPr>
          <w:cantSplit/>
          <w:tblHeader/>
        </w:trPr>
        <w:tc>
          <w:tcPr>
            <w:tcW w:type="dxa" w:w="806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2016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Meet the total small-business set-aside under NAICS 513210 and its $47 million size standard.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p1]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Maintain active SAM registration at quotation, award, during performance and through final payment.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p1]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Fully integrate with Salesforce through its API, using a NIST-provided sandbox for initial testing.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p1 §1]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Generate unique license keys for Windows and Apple executables, ZIP files, websites and databases.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p1 §2]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Use encryption standards in accordance with NIST SP 800-52.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p1 §3]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Support modular access: keys may unlock an entire product or specified database portions.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p1 §4]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Support add-on purchases. The contractor may use existing or new keys.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p1 §5]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Provide an API for NIST to issue keys to third-party distributors and track their sales.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p1 §6]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Allow distributors to embed NIST software in their products and activate it without manual intervention.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p1 §7]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Provide a secure API for third-party systems to request data and trigger internal processes.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§8]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Block license activation and use in prohibited regions across all tiers, including free Tier 3 products.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§9]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Support Tier 3 workflows through Salesforce or separate request workflows.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§10]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Require a network activation check-in at least every six months, without requiring network access for every use.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§11]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Integrate all NIST-side backend administration with NIST-managed Active Directory/SSO using PIV authentication.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§12]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Provide software updates and bug fixes throughout performance, with security patches within 30 days of critical discovery.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§13]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Allow limits on the number of database queries.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§14]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Do not store identifying customer information.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§15]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Provide a FedRAMP Moderate ATO letter or a signed Federal Agency Moderate ATO. The agency route requires a complete assessment package and permission for NIST review; applicable subcontractors accessing government information also require Moderate authorization.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§16]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Provide dedicated IT support for system assistance throughout the contract.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§17]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Provide credentials, API documentation and administrative manuals electronically to the COR.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p3 §V]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Remotely install and configure the system, Salesforce API and AD/SSO integration. Completion requires a functioning production system and NIST security verification, coordinated with the COR.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p3 §VI]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Train up to 20 people before production deployment on administration, license generation, Salesforce integration management and troubleshooting; delivery may be on-site, remote or hybrid.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p3 §VII]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Complete integration and training before acceptance. NIST conducts one week of heartbeat and geofencing testing; the COR confirms acceptance.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p3 §VIII]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Provide the standard commercial warranty for all products and services, starting at government acceptance.</w:t>
            </w:r>
          </w:p>
        </w:tc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p3 §IX]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Continue all base-year requirements during any exercised option year.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spacing w:after="0" w:line="20" w:lineRule="exact"/>
      </w:pPr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Pursuit risks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016"/>
        <w:gridCol w:w="6264"/>
        <w:gridCol w:w="1800"/>
      </w:tblGrid>
      <w:tr>
        <w:trPr>
          <w:cantSplit/>
          <w:tblHeader/>
        </w:trPr>
        <w:tc>
          <w:tcPr>
            <w:tcW w:type="dxa" w:w="2016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Risk</w:t>
            </w:r>
          </w:p>
        </w:tc>
        <w:tc>
          <w:tcPr>
            <w:tcW w:type="dxa" w:w="626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Details</w:t>
            </w:r>
          </w:p>
        </w:tc>
        <w:tc>
          <w:tcPr>
            <w:tcW w:type="dxa" w:w="1800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Security authorization</w:t>
            </w:r>
          </w:p>
        </w:tc>
        <w:tc>
          <w:tcPr>
            <w:tcW w:type="dxa" w:w="62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Authorization must cover the proposed service and applicable subcontractors that access government information. A partner’s ATO may not cover the complete solution or team.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p2 §16]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Licensing scope</w:t>
            </w:r>
          </w:p>
        </w:tc>
        <w:tc>
          <w:tcPr>
            <w:tcW w:type="dxa" w:w="62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A basic key product may not support all required modular SKUs, free-product controls and distributor workflows.</w:t>
            </w:r>
          </w:p>
        </w:tc>
        <w:tc>
          <w:tcPr>
            <w:tcW w:type="dxa" w:w="1800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pp1–2]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Deadline uncertainty</w:t>
            </w:r>
          </w:p>
        </w:tc>
        <w:tc>
          <w:tcPr>
            <w:tcW w:type="dxa" w:w="626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The notice extends the response date, but its time-zone wording conflicts with the structured timestamp.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6" w:history="1">
              <w:r>
                <w:rPr>
                  <w:rFonts w:ascii="Arial" w:hAnsi="Arial"/>
                  <w:color w:val="126B80"/>
                  <w:sz w:val="21"/>
                </w:rPr>
                <w:t>[S5]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Incomplete pricing</w:t>
            </w:r>
          </w:p>
        </w:tc>
        <w:tc>
          <w:tcPr>
            <w:tcW w:type="dxa" w:w="626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Omitting required support, integration or option costs would leave the offer incomplete.</w:t>
            </w:r>
          </w:p>
        </w:tc>
        <w:tc>
          <w:tcPr>
            <w:tcW w:type="dxa" w:w="1800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p3]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Heading1"/>
        <w:spacing w:before="320"/>
      </w:pPr>
      <w:r>
        <w:rPr>
          <w:rFonts w:ascii="Arial" w:hAnsi="Arial"/>
          <w:color w:val="000000"/>
        </w:rPr>
        <w:t>Capture actions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7704"/>
        <w:gridCol w:w="2376"/>
      </w:tblGrid>
      <w:tr>
        <w:trPr>
          <w:cantSplit/>
          <w:tblHeader/>
        </w:trPr>
        <w:tc>
          <w:tcPr>
            <w:tcW w:type="dxa" w:w="770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Action</w:t>
            </w:r>
          </w:p>
        </w:tc>
        <w:tc>
          <w:tcPr>
            <w:tcW w:type="dxa" w:w="2376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Timing</w:t>
            </w:r>
          </w:p>
        </w:tc>
      </w:tr>
      <w:tr>
        <w:trPr>
          <w:cantSplit/>
        </w:trPr>
        <w:tc>
          <w:tcPr>
            <w:tcW w:type="dxa" w:w="770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Confirm the controlling response date/time and amendments; record one agreed submission deadline.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Immediately</w:t>
            </w:r>
          </w:p>
        </w:tc>
      </w:tr>
      <w:tr>
        <w:trPr>
          <w:cantSplit/>
        </w:trPr>
        <w:tc>
          <w:tcPr>
            <w:tcW w:type="dxa" w:w="770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If preparing a response, verify small-business eligibility and active SAM registration.</w:t>
            </w:r>
          </w:p>
        </w:tc>
        <w:tc>
          <w:tcPr>
            <w:tcW w:type="dxa" w:w="237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Before quotation</w:t>
            </w:r>
          </w:p>
        </w:tc>
      </w:tr>
      <w:tr>
        <w:trPr>
          <w:cantSplit/>
        </w:trPr>
        <w:tc>
          <w:tcPr>
            <w:tcW w:type="dxa" w:w="770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Identify the product/version and covered parties; collect the ATO and any required review permissions.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Before settling the solution</w:t>
            </w:r>
          </w:p>
        </w:tc>
      </w:tr>
      <w:tr>
        <w:trPr>
          <w:cantSplit/>
        </w:trPr>
        <w:tc>
          <w:tcPr>
            <w:tcW w:type="dxa" w:w="770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Use the individual requirements to build a response crosswalk and identify the evidence needed for each.</w:t>
            </w:r>
          </w:p>
        </w:tc>
        <w:tc>
          <w:tcPr>
            <w:tcW w:type="dxa" w:w="237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Before response drafting</w:t>
            </w:r>
          </w:p>
        </w:tc>
      </w:tr>
      <w:tr>
        <w:trPr>
          <w:cantSplit/>
        </w:trPr>
        <w:tc>
          <w:tcPr>
            <w:tcW w:type="dxa" w:w="770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 xml:space="preserve">Collect up to three recent relevant references and complete base/option pricing, including support. </w:t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p3]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During response preparation</w:t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spacing w:after="0" w:line="20" w:lineRule="exact"/>
      </w:pPr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Sources</w:t>
      </w:r>
    </w:p>
    <w:p>
      <w:pPr>
        <w:pStyle w:val="Heading2"/>
      </w:pPr>
      <w:r>
        <w:rPr>
          <w:rFonts w:ascii="Arial" w:hAnsi="Arial"/>
          <w:color w:val="000000"/>
        </w:rPr>
        <w:t>Source change requiring confirmation</w:t>
      </w:r>
    </w:p>
    <w:p>
      <w:pPr>
        <w:pStyle w:val="Small"/>
      </w:pPr>
      <w:r>
        <w:rPr>
          <w:rFonts w:ascii="Arial" w:hAnsi="Arial"/>
          <w:color w:val="555E6B"/>
        </w:rPr>
        <w:t xml:space="preserve">The original PDF says 10 AM Eastern on 11 September. The 8 September notice changes the date to 15 September and says “10AM EST”; the structured record is 14:00 UTC, corresponding to 10 AM EDT. The 10 September update says the deadline is unchanged. The contracts lead must confirm the controlling time. </w:t>
      </w:r>
      <w:hyperlink r:id="rId15" w:history="1">
        <w:r>
          <w:rPr>
            <w:rFonts w:ascii="Arial" w:hAnsi="Arial"/>
            <w:color w:val="126B80"/>
          </w:rPr>
          <w:t>[S1 p2]</w:t>
        </w:r>
      </w:hyperlink>
      <w:r>
        <w:rPr>
          <w:rFonts w:ascii="Arial" w:hAnsi="Arial"/>
          <w:color w:val="555E6B"/>
        </w:rPr>
        <w:t xml:space="preserve"> </w:t>
      </w:r>
      <w:hyperlink r:id="rId16" w:history="1">
        <w:r>
          <w:rPr>
            <w:rFonts w:ascii="Arial" w:hAnsi="Arial"/>
            <w:color w:val="126B80"/>
          </w:rPr>
          <w:t>[S5]</w:t>
        </w:r>
      </w:hyperlink>
      <w:r>
        <w:rPr>
          <w:rFonts w:ascii="Arial" w:hAnsi="Arial"/>
          <w:color w:val="555E6B"/>
        </w:rPr>
      </w:r>
    </w:p>
    <w:p>
      <w:pPr>
        <w:pStyle w:val="Heading2"/>
      </w:pPr>
      <w:r>
        <w:rPr>
          <w:rFonts w:ascii="Arial" w:hAnsi="Arial"/>
          <w:color w:val="000000"/>
        </w:rPr>
        <w:t>Source register</w:t>
      </w:r>
    </w:p>
    <w:p>
      <w:pPr>
        <w:pStyle w:val="Source"/>
      </w:pPr>
      <w:hyperlink r:id="rId15" w:history="1">
        <w:r>
          <w:rPr>
            <w:rFonts w:ascii="Arial" w:hAnsi="Arial"/>
            <w:color w:val="126B80"/>
            <w:sz w:val="19"/>
          </w:rPr>
          <w:t>S1  Combined synopsis and solicitation</w:t>
        </w:r>
      </w:hyperlink>
      <w:r>
        <w:rPr>
          <w:rFonts w:ascii="Arial" w:hAnsi="Arial"/>
          <w:color w:val="555E6B"/>
          <w:sz w:val="19"/>
        </w:rPr>
        <w:t xml:space="preserve">  1 September 2026. Pages 1–3: eligibility, quotation instructions, evaluation and pricing.</w:t>
      </w:r>
    </w:p>
    <w:p>
      <w:pPr>
        <w:pStyle w:val="Source"/>
      </w:pPr>
      <w:hyperlink r:id="rId13" w:history="1">
        <w:r>
          <w:rPr>
            <w:rFonts w:ascii="Arial" w:hAnsi="Arial"/>
            <w:color w:val="126B80"/>
            <w:sz w:val="19"/>
          </w:rPr>
          <w:t>S2  Statement of work</w:t>
        </w:r>
      </w:hyperlink>
      <w:r>
        <w:rPr>
          <w:rFonts w:ascii="Arial" w:hAnsi="Arial"/>
          <w:color w:val="555E6B"/>
          <w:sz w:val="19"/>
        </w:rPr>
        <w:t xml:space="preserve">  1 September 2026. Pages 1–4: technical requirements, security, delivery and acceptance.</w:t>
      </w:r>
    </w:p>
    <w:p>
      <w:pPr>
        <w:pStyle w:val="Source"/>
      </w:pPr>
      <w:hyperlink r:id="rId14" w:history="1">
        <w:r>
          <w:rPr>
            <w:rFonts w:ascii="Arial" w:hAnsi="Arial"/>
            <w:color w:val="126B80"/>
            <w:sz w:val="19"/>
          </w:rPr>
          <w:t>S3  Questions and responses</w:t>
        </w:r>
      </w:hyperlink>
      <w:r>
        <w:rPr>
          <w:rFonts w:ascii="Arial" w:hAnsi="Arial"/>
          <w:color w:val="555E6B"/>
          <w:sz w:val="19"/>
        </w:rPr>
        <w:t xml:space="preserve">  10 September 2026. Product scope, current process and first-system clarification.</w:t>
      </w:r>
    </w:p>
    <w:p>
      <w:pPr>
        <w:pStyle w:val="Source"/>
      </w:pPr>
      <w:hyperlink r:id="rId19" w:history="1">
        <w:r>
          <w:rPr>
            <w:rFonts w:ascii="Arial" w:hAnsi="Arial"/>
            <w:color w:val="126B80"/>
            <w:sz w:val="19"/>
          </w:rPr>
          <w:t>S4  Applicable provisions and clauses</w:t>
        </w:r>
      </w:hyperlink>
      <w:r>
        <w:rPr>
          <w:rFonts w:ascii="Arial" w:hAnsi="Arial"/>
          <w:color w:val="555E6B"/>
          <w:sz w:val="19"/>
        </w:rPr>
        <w:t xml:space="preserve">  1 September 2026. Seven-page attachment; incorporated external texts require separate review.</w:t>
      </w:r>
    </w:p>
    <w:p>
      <w:pPr>
        <w:pStyle w:val="Source"/>
      </w:pPr>
      <w:hyperlink r:id="rId16" w:history="1">
        <w:r>
          <w:rPr>
            <w:rFonts w:ascii="Arial" w:hAnsi="Arial"/>
            <w:color w:val="126B80"/>
            <w:sz w:val="19"/>
          </w:rPr>
          <w:t>S5  Opportunity notice and change history</w:t>
        </w:r>
      </w:hyperlink>
      <w:r>
        <w:rPr>
          <w:rFonts w:ascii="Arial" w:hAnsi="Arial"/>
          <w:color w:val="555E6B"/>
          <w:sz w:val="19"/>
        </w:rPr>
        <w:t xml:space="preserve">  8 September deadline extension; 10 September Q&amp;A update. Retrieved 11 September 2026.</w:t>
      </w:r>
    </w:p>
    <w:p>
      <w:pPr>
        <w:pStyle w:val="Source"/>
      </w:pPr>
      <w:hyperlink r:id="rId17" w:history="1">
        <w:r>
          <w:rPr>
            <w:rFonts w:ascii="Arial" w:hAnsi="Arial"/>
            <w:color w:val="126B80"/>
            <w:sz w:val="19"/>
          </w:rPr>
          <w:t>S6  Exact linked award search</w:t>
        </w:r>
      </w:hyperlink>
      <w:r>
        <w:rPr>
          <w:rFonts w:ascii="Arial" w:hAnsi="Arial"/>
          <w:color w:val="555E6B"/>
          <w:sz w:val="19"/>
        </w:rPr>
        <w:t xml:space="preserve">  11 September 2026. Exact opportunity: 0 awards. Matching notice-chain search also returned 0; query evidence retained.</w:t>
      </w:r>
    </w:p>
    <w:p>
      <w:pPr>
        <w:pStyle w:val="Source"/>
      </w:pPr>
      <w:hyperlink r:id="rId18" w:history="1">
        <w:r>
          <w:rPr>
            <w:rFonts w:ascii="Arial" w:hAnsi="Arial"/>
            <w:color w:val="126B80"/>
            <w:sz w:val="19"/>
          </w:rPr>
          <w:t>S7  Exact linked IDV search</w:t>
        </w:r>
      </w:hyperlink>
      <w:r>
        <w:rPr>
          <w:rFonts w:ascii="Arial" w:hAnsi="Arial"/>
          <w:color w:val="555E6B"/>
          <w:sz w:val="19"/>
        </w:rPr>
        <w:t xml:space="preserve">  11 September 2026. Exact opportunity: 0 IDVs. Matching notice-chain search also returned 0; query evidence retained.</w:t>
      </w:r>
    </w:p>
    <w:p>
      <w:pPr>
        <w:pStyle w:val="Small"/>
      </w:pPr>
      <w:r>
        <w:rPr>
          <w:rFonts w:ascii="Arial" w:hAnsi="Arial"/>
          <w:color w:val="555E6B"/>
        </w:rPr>
        <w:t>Sources reviewed as of 11 September 2026. Recheck for live work. Exact-linkage queries do not establish an incumbent or the absence of related work. Detailed quotation instructions, conditional site-access rules and incorporated external clauses need separate response review.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2240" w:h="15840"/>
      <w:pgMar w:top="1238" w:right="1080" w:bottom="1008" w:left="1080" w:header="475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line="240" w:lineRule="auto" w:after="0"/>
    </w:pPr>
    <w:r>
      <w:drawing>
        <wp:inline xmlns:a="http://schemas.openxmlformats.org/drawingml/2006/main" xmlns:pic="http://schemas.openxmlformats.org/drawingml/2006/picture">
          <wp:extent cx="1234440" cy="144532"/>
          <wp:docPr id="1" name="Picture 1" descr="Official GovTribe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vtribe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1445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34465B"/>
        <w:sz w:val="18"/>
      </w:rPr>
      <w:t xml:space="preserve">    GovTribe, Inc.  ·  UEI EDJBUPNLCCL5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000000"/>
        <w:sz w:val="16"/>
      </w:rPr>
      <w:t>NIST SRD License Key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60"/>
    </w:pPr>
    <w:rPr>
      <w:rFonts w:ascii="Arial" w:hAnsi="Arial"/>
      <w:i w:val="0"/>
      <w:color w:val="20252D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4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4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5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240"/>
    </w:pPr>
    <w:rPr>
      <w:rFonts w:asciiTheme="majorHAnsi" w:eastAsiaTheme="majorEastAsia" w:hAnsiTheme="majorHAnsi" w:cstheme="majorBidi" w:ascii="Arial" w:hAnsi="Arial"/>
      <w:b w:val="0"/>
      <w:i w:val="0"/>
      <w:iCs/>
      <w:color w:val="000000"/>
      <w:spacing w:val="15"/>
      <w:sz w:val="28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al"/>
    <w:pPr>
      <w:spacing w:line="252" w:lineRule="auto" w:after="120"/>
    </w:pPr>
    <w:rPr>
      <w:color w:val="555E6B"/>
      <w:sz w:val="18"/>
    </w:rPr>
  </w:style>
  <w:style w:type="paragraph" w:customStyle="1" w:styleId="Source">
    <w:name w:val="Source"/>
    <w:basedOn w:val="Normal"/>
    <w:pPr>
      <w:spacing w:line="252" w:lineRule="auto" w:after="120"/>
    </w:pPr>
    <w:rPr>
      <w:color w:val="555E6B"/>
      <w:sz w:val="19"/>
    </w:rPr>
  </w:style>
  <w:style w:type="paragraph" w:customStyle="1" w:styleId="Small">
    <w:name w:val="Small"/>
    <w:basedOn w:val="Normal"/>
    <w:pPr>
      <w:spacing w:line="252" w:lineRule="auto" w:after="120"/>
    </w:pPr>
    <w:rPr>
      <w:color w:val="555E6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govtribe.com/file/government-file/sow-srd-license-key-system-final-dot-pdf" TargetMode="External"/><Relationship Id="rId14" Type="http://schemas.openxmlformats.org/officeDocument/2006/relationships/hyperlink" Target="https://govtribe.com/file/government-file/1333nd26qnb640575-question-and-responses-dot-docx" TargetMode="External"/><Relationship Id="rId15" Type="http://schemas.openxmlformats.org/officeDocument/2006/relationships/hyperlink" Target="https://govtribe.com/file/government-file/combined-synopsis-solicitation-dot-pdf-1270" TargetMode="External"/><Relationship Id="rId16" Type="http://schemas.openxmlformats.org/officeDocument/2006/relationships/hyperlink" Target="https://govtribe.com/opportunity/federal-contract-opportunity/srd-license-key-system-1333nd26qnb640575" TargetMode="External"/><Relationship Id="rId17" Type="http://schemas.openxmlformats.org/officeDocument/2006/relationships/hyperlink" Target="https://govtribe.com/award/federal-contract-award?searchId=6aa433955d8294af320ab6f9&amp;utm_source=ai_insights" TargetMode="External"/><Relationship Id="rId18" Type="http://schemas.openxmlformats.org/officeDocument/2006/relationships/hyperlink" Target="https://govtribe.com/award/federal-idv-award?searchId=6aa433958893b7391502d74d&amp;utm_source=ai_insights" TargetMode="External"/><Relationship Id="rId19" Type="http://schemas.openxmlformats.org/officeDocument/2006/relationships/hyperlink" Target="https://govtribe.com/file/government-file/applicable-provisions-and-clauses-dot-pdf-26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GovTribe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GovTribe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NIST SRD License Key System — Opportunity Brief</dc:title>
  <dc:subject>Opportunity context, buyer requirements, pursuit risks, capture actions and sources</dc:subject>
  <dc:creator>GovTribe</dc:creator>
  <cp:keywords>opportunity brief, reusable template, review draft</cp:keywords>
  <dc:description>Review 05. Sourced NIST opportunity brief as of 2026-09-11. Company-neutral; no bid/no-bid or fit judgment.</dc:description>
  <cp:lastModifiedBy>GovTribe</cp:lastModifiedBy>
  <cp:revision>1</cp:revision>
  <dcterms:created xsi:type="dcterms:W3CDTF">2013-12-23T23:15:00Z</dcterms:created>
  <dcterms:modified xsi:type="dcterms:W3CDTF">2013-12-23T23:15:00Z</dcterms:modified>
  <cp:category/>
</cp:coreProperties>
</file>