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ext"/>
        <w:tabs>
          <w:tab w:pos="9360" w:val="right"/>
        </w:tabs>
        <w:spacing w:after="240" w:line="240" w:lineRule="auto"/>
      </w:pPr>
      <w:r>
        <w:rPr>
          <w:rFonts w:ascii="Arial" w:hAnsi="Arial" w:cs="Arial" w:eastAsia="Arial"/>
          <w:b/>
          <w:color w:val="147C83"/>
          <w:sz w:val="24"/>
        </w:rPr>
        <w:t>Sources sought response</w:t>
      </w:r>
      <w:r>
        <w:rPr>
          <w:rFonts w:ascii="Arial" w:hAnsi="Arial" w:cs="Arial" w:eastAsia="Arial"/>
          <w:b w:val="0"/>
          <w:color w:val="52616E"/>
          <w:sz w:val="24"/>
        </w:rPr>
        <w:tab/>
        <w:t>13 September 2026</w:t>
      </w:r>
    </w:p>
    <w:p>
      <w:pPr>
        <w:pStyle w:val="Title"/>
        <w:keepNext/>
        <w:spacing w:after="220" w:line="700" w:lineRule="exact" w:before="0"/>
      </w:pPr>
      <w:r>
        <w:rPr>
          <w:rFonts w:ascii="Arial" w:hAnsi="Arial" w:cs="Arial" w:eastAsia="Arial"/>
          <w:b/>
          <w:color w:val="192D43"/>
          <w:sz w:val="68"/>
        </w:rPr>
        <w:t>NCSES Web</w:t>
        <w:br/>
        <w:t>Support Services</w:t>
      </w:r>
    </w:p>
    <w:p>
      <w:pPr>
        <w:pStyle w:val="CoverText"/>
        <w:keepNext/>
        <w:spacing w:after="60" w:line="240" w:lineRule="auto"/>
      </w:pPr>
      <w:r>
        <w:rPr>
          <w:rFonts w:ascii="Arial" w:hAnsi="Arial" w:cs="Arial" w:eastAsia="Arial"/>
          <w:b/>
          <w:color w:val="192D43"/>
          <w:sz w:val="24"/>
        </w:rPr>
        <w:t>National Center for Science and Engineering Statistics</w:t>
      </w:r>
    </w:p>
    <w:p>
      <w:pPr>
        <w:pStyle w:val="CoverText"/>
        <w:keepNext/>
        <w:spacing w:after="160" w:line="240" w:lineRule="auto"/>
      </w:pPr>
      <w:r>
        <w:rPr>
          <w:rFonts w:ascii="Arial" w:hAnsi="Arial" w:cs="Arial" w:eastAsia="Arial"/>
          <w:b w:val="0"/>
          <w:color w:val="52616E"/>
          <w:sz w:val="24"/>
        </w:rPr>
        <w:t>National Science Foundation | 49100426K0002</w:t>
      </w:r>
    </w:p>
    <w:p>
      <w:pPr>
        <w:pStyle w:val="CoverText"/>
        <w:keepNext/>
        <w:spacing w:after="180" w:line="240" w:lineRule="auto"/>
      </w:pPr>
      <w:r>
        <w:rPr>
          <w:rFonts w:ascii="Arial" w:hAnsi="Arial" w:cs="Arial" w:eastAsia="Arial"/>
          <w:b w:val="0"/>
          <w:i/>
          <w:color w:val="52616E"/>
          <w:sz w:val="24"/>
        </w:rPr>
        <w:t>GovTribe’s identity is real; scenario assumptions and past performance are illustrative.</w:t>
      </w:r>
    </w:p>
    <w:tbl>
      <w:tblPr>
        <w:jc w:val="center"/>
        <w:tblLayout w:type="fixed"/>
        <w:tblLook w:firstColumn="1" w:firstRow="1" w:lastColumn="0" w:lastRow="0" w:noHBand="0" w:noVBand="1" w:val="04A0"/>
        <w:tblW w:w="9360" w:type="dxa"/>
        <w:tblInd w:w="0" w:type="dxa"/>
        <w:tblCellMar>
          <w:top w:w="0" w:type="dxa"/>
          <w:left w:w="0" w:type="dxa"/>
          <w:bottom w:w="0" w:type="dxa"/>
          <w:right w:w="0" w:type="dxa"/>
        </w:tblCellMar>
        <w:tblBorders>
          <w:top w:val="nil"/>
          <w:left w:val="nil"/>
          <w:bottom w:val="nil"/>
          <w:right w:val="nil"/>
          <w:insideH w:val="nil"/>
          <w:insideV w:val="nil"/>
        </w:tblBorders>
      </w:tblPr>
      <w:tblGrid>
        <w:gridCol w:w="4680"/>
        <w:gridCol w:w="4680"/>
      </w:tblGrid>
      <w:tr>
        <w:trPr>
          <w:cantSplit/>
          <w:tblHeader/>
        </w:trPr>
        <w:tc>
          <w:tcPr>
            <w:tcW w:type="dxa" w:w="4680"/>
            <w:vAlign w:val="top"/>
            <w:tcMar>
              <w:top w:w="60" w:type="dxa"/>
              <w:left w:w="0" w:type="dxa"/>
              <w:bottom w:w="60" w:type="dxa"/>
              <w:right w:w="240" w:type="dxa"/>
            </w:tcMar>
          </w:tcPr>
          <w:p>
            <w:pPr>
              <w:pStyle w:val="CoverText"/>
              <w:keepNext/>
              <w:spacing w:before="0" w:after="0"/>
              <w:ind w:left="0" w:right="0" w:firstLine="0"/>
            </w:pPr>
            <w:r>
              <w:rPr>
                <w:rFonts w:ascii="Arial" w:hAnsi="Arial" w:cs="Arial" w:eastAsia="Arial"/>
                <w:b/>
                <w:color w:val="192D43"/>
                <w:sz w:val="24"/>
              </w:rPr>
              <w:t>Company and address</w:t>
            </w:r>
          </w:p>
          <w:p>
            <w:pPr>
              <w:pStyle w:val="CoverText"/>
              <w:keepNext/>
              <w:spacing w:after="0" w:line="240" w:lineRule="auto"/>
            </w:pPr>
            <w:r>
              <w:rPr>
                <w:rFonts w:ascii="Arial" w:hAnsi="Arial" w:cs="Arial" w:eastAsia="Arial"/>
                <w:b w:val="0"/>
                <w:color w:val="000000"/>
                <w:sz w:val="24"/>
              </w:rPr>
              <w:t>GovTribe, Inc.</w:t>
              <w:br/>
              <w:t>600 New Hampshire Ave NW</w:t>
              <w:br/>
              <w:t>Washington, DC 20037</w:t>
            </w:r>
          </w:p>
        </w:tc>
        <w:tc>
          <w:tcPr>
            <w:tcW w:type="dxa" w:w="4680"/>
            <w:vAlign w:val="top"/>
            <w:tcMar>
              <w:top w:w="60" w:type="dxa"/>
              <w:left w:w="240" w:type="dxa"/>
              <w:bottom w:w="60" w:type="dxa"/>
              <w:right w:w="0" w:type="dxa"/>
            </w:tcMar>
          </w:tcPr>
          <w:p>
            <w:pPr>
              <w:pStyle w:val="CoverText"/>
              <w:keepNext/>
              <w:spacing w:before="0" w:after="0"/>
              <w:ind w:left="0" w:right="0" w:firstLine="0"/>
            </w:pPr>
            <w:r>
              <w:rPr>
                <w:rFonts w:ascii="Arial" w:hAnsi="Arial" w:cs="Arial" w:eastAsia="Arial"/>
                <w:b/>
                <w:color w:val="192D43"/>
                <w:sz w:val="24"/>
              </w:rPr>
              <w:t>Representative</w:t>
            </w:r>
          </w:p>
          <w:p>
            <w:pPr>
              <w:pStyle w:val="CoverText"/>
              <w:keepNext/>
              <w:spacing w:after="0" w:line="240" w:lineRule="auto"/>
            </w:pPr>
            <w:r>
              <w:rPr>
                <w:rFonts w:ascii="Arial" w:hAnsi="Arial" w:cs="Arial" w:eastAsia="Arial"/>
                <w:b w:val="0"/>
                <w:color w:val="000000"/>
                <w:sz w:val="24"/>
              </w:rPr>
              <w:t>Alex Morgan (illustrative representative)</w:t>
              <w:br/>
              <w:t>alex.morgan@example.org</w:t>
            </w:r>
          </w:p>
        </w:tc>
      </w:tr>
      <w:tr>
        <w:trPr>
          <w:cantSplit/>
        </w:trPr>
        <w:tc>
          <w:tcPr>
            <w:tcW w:type="dxa" w:w="4680"/>
            <w:vAlign w:val="top"/>
            <w:tcMar>
              <w:top w:w="60" w:type="dxa"/>
              <w:left w:w="0" w:type="dxa"/>
              <w:bottom w:w="60" w:type="dxa"/>
              <w:right w:w="240" w:type="dxa"/>
            </w:tcMar>
          </w:tcPr>
          <w:p>
            <w:pPr>
              <w:pStyle w:val="CoverText"/>
              <w:keepNext/>
              <w:spacing w:before="0" w:after="0"/>
              <w:ind w:left="0" w:right="0" w:firstLine="0"/>
            </w:pPr>
            <w:r>
              <w:rPr>
                <w:rFonts w:ascii="Arial" w:hAnsi="Arial" w:cs="Arial" w:eastAsia="Arial"/>
                <w:b/>
                <w:color w:val="192D43"/>
                <w:sz w:val="24"/>
              </w:rPr>
              <w:t>Small business socioeconomic status</w:t>
            </w:r>
          </w:p>
          <w:p>
            <w:pPr>
              <w:pStyle w:val="CoverText"/>
              <w:spacing w:after="0" w:line="240" w:lineRule="auto"/>
            </w:pPr>
            <w:r>
              <w:rPr>
                <w:rFonts w:ascii="Arial" w:hAnsi="Arial" w:cs="Arial" w:eastAsia="Arial"/>
                <w:b w:val="0"/>
                <w:color w:val="000000"/>
                <w:sz w:val="24"/>
              </w:rPr>
              <w:t>Small business under NAICS 541512 (illustrative)</w:t>
            </w:r>
          </w:p>
        </w:tc>
        <w:tc>
          <w:tcPr>
            <w:tcW w:type="dxa" w:w="4680"/>
            <w:vAlign w:val="top"/>
            <w:tcMar>
              <w:top w:w="60" w:type="dxa"/>
              <w:left w:w="240" w:type="dxa"/>
              <w:bottom w:w="60" w:type="dxa"/>
              <w:right w:w="0" w:type="dxa"/>
            </w:tcMar>
          </w:tcPr>
          <w:p>
            <w:pPr>
              <w:pStyle w:val="CoverText"/>
              <w:keepNext/>
              <w:spacing w:before="0" w:after="0"/>
              <w:ind w:left="0" w:right="0" w:firstLine="0"/>
            </w:pPr>
            <w:r>
              <w:rPr>
                <w:rFonts w:ascii="Arial" w:hAnsi="Arial" w:cs="Arial" w:eastAsia="Arial"/>
                <w:b/>
                <w:color w:val="192D43"/>
                <w:sz w:val="24"/>
              </w:rPr>
              <w:t>UEI</w:t>
            </w:r>
          </w:p>
          <w:p>
            <w:pPr>
              <w:pStyle w:val="CoverText"/>
              <w:spacing w:after="0" w:line="240" w:lineRule="auto"/>
            </w:pPr>
            <w:r>
              <w:rPr>
                <w:rFonts w:ascii="Arial" w:hAnsi="Arial" w:cs="Arial" w:eastAsia="Arial"/>
                <w:b w:val="0"/>
                <w:color w:val="000000"/>
                <w:sz w:val="24"/>
              </w:rPr>
              <w:t>EDJBUPNLCCL5</w:t>
            </w:r>
          </w:p>
        </w:tc>
      </w:tr>
      <w:tr>
        <w:trPr>
          <w:cantSplit/>
        </w:trPr>
        <w:tc>
          <w:tcPr>
            <w:tcW w:type="dxa" w:w="9360"/>
            <w:gridSpan w:val="2"/>
            <w:vAlign w:val="top"/>
            <w:tcMar>
              <w:top w:w="60" w:type="dxa"/>
              <w:left w:w="0" w:type="dxa"/>
              <w:bottom w:w="60" w:type="dxa"/>
              <w:right w:w="240" w:type="dxa"/>
            </w:tcMar>
          </w:tcPr>
          <w:p>
            <w:pPr>
              <w:pStyle w:val="CoverText"/>
              <w:keepNext/>
              <w:spacing w:before="0" w:after="0"/>
              <w:ind w:left="0" w:right="0" w:firstLine="0"/>
            </w:pPr>
            <w:r>
              <w:rPr>
                <w:rFonts w:ascii="Arial" w:hAnsi="Arial" w:cs="Arial" w:eastAsia="Arial"/>
                <w:b/>
                <w:color w:val="192D43"/>
                <w:sz w:val="24"/>
              </w:rPr>
              <w:t>Applicable contract vehicles</w:t>
            </w:r>
          </w:p>
          <w:p>
            <w:pPr>
              <w:pStyle w:val="CoverText"/>
              <w:spacing w:after="0" w:line="240" w:lineRule="auto"/>
            </w:pPr>
            <w:r>
              <w:rPr>
                <w:rFonts w:ascii="Arial" w:hAnsi="Arial" w:cs="Arial" w:eastAsia="Arial"/>
                <w:b w:val="0"/>
                <w:color w:val="000000"/>
                <w:sz w:val="24"/>
              </w:rPr>
              <w:t>No company-held vehicle is assumed in this example.</w:t>
            </w:r>
          </w:p>
        </w:tc>
      </w:tr>
    </w:tbl>
    <w:p>
      <w:pPr>
        <w:pStyle w:val="Heading1"/>
        <w:pageBreakBefore/>
        <w:ind w:left="240" w:right="240"/>
        <w:shd w:fill="192D43"/>
        <w:pBdr>
          <w:top w:val="single" w:sz="8" w:space="8" w:color="192D43"/>
          <w:bottom w:val="single" w:sz="8" w:space="8" w:color="192D43"/>
          <w:left w:val="single" w:sz="32" w:space="8" w:color="147C83"/>
          <w:right w:val="single" w:sz="8" w:space="8" w:color="192D43"/>
        </w:pBdr>
      </w:pPr>
      <w:r>
        <w:rPr>
          <w:rFonts w:ascii="Times New Roman" w:hAnsi="Times New Roman" w:cs="Times New Roman" w:eastAsia="Times New Roman"/>
          <w:b/>
          <w:color w:val="FFFFFF"/>
          <w:sz w:val="24"/>
        </w:rPr>
        <w:t>01   Evaluating custom CMS features</w:t>
      </w:r>
    </w:p>
    <w:p>
      <w:pPr>
        <w:keepNext/>
        <w:spacing w:after="140"/>
      </w:pPr>
      <w:r>
        <w:rPr>
          <w:rFonts w:ascii="Times New Roman" w:hAnsi="Times New Roman" w:cs="Times New Roman" w:eastAsia="Times New Roman"/>
          <w:b w:val="0"/>
          <w:i/>
          <w:color w:val="52616E"/>
          <w:sz w:val="24"/>
        </w:rPr>
        <w:t>What is your organization’s experience in evaluating the custom or customized features of a Content Management System (CMS) to determine if they are still needed?</w:t>
      </w:r>
    </w:p>
    <w:p>
      <w:pPr>
        <w:pStyle w:val="Heading2"/>
        <w:ind w:left="160"/>
        <w:pBdr>
          <w:left w:val="single" w:sz="16" w:space="4" w:color="147C83"/>
        </w:pBdr>
      </w:pPr>
      <w:r>
        <w:rPr>
          <w:rFonts w:ascii="Times New Roman" w:hAnsi="Times New Roman" w:cs="Times New Roman" w:eastAsia="Times New Roman"/>
          <w:b/>
          <w:color w:val="192D43"/>
          <w:sz w:val="24"/>
        </w:rPr>
        <w:t>Relevant experience</w:t>
      </w:r>
    </w:p>
    <w:p>
      <w:r>
        <w:rPr>
          <w:rFonts w:ascii="Times New Roman" w:hAnsi="Times New Roman" w:cs="Times New Roman" w:eastAsia="Times New Roman"/>
          <w:b w:val="0"/>
          <w:color w:val="000000"/>
          <w:sz w:val="24"/>
        </w:rPr>
        <w:t>We evaluated 42 custom features in Research Information Partnership's publishing system to determine which still supported an operational need. Editors used the system for research reports, topic pages and archived publications. Our business analyst examined the publishing workflow while developers traced each feature through its code, data and integrations.</w:t>
      </w:r>
    </w:p>
    <w:p>
      <w:r>
        <w:rPr>
          <w:rFonts w:ascii="Times New Roman" w:hAnsi="Times New Roman" w:cs="Times New Roman" w:eastAsia="Times New Roman"/>
          <w:b w:val="0"/>
          <w:color w:val="000000"/>
          <w:sz w:val="24"/>
        </w:rPr>
        <w:t>The review combined editor interviews, usage records, support requests and observation of a publication cycle. Each inventory entry recorded the user need, owner, dependencies and consequence of removal. We included corrections and annual releases because an infrequently used feature could still be essential. Editors reviewed the proposed dispositions before implementation.</w:t>
      </w:r>
    </w:p>
    <w:p>
      <w:pPr>
        <w:pStyle w:val="Heading2"/>
        <w:ind w:left="160"/>
        <w:pBdr>
          <w:left w:val="single" w:sz="16" w:space="4" w:color="147C83"/>
        </w:pBdr>
      </w:pPr>
      <w:r>
        <w:rPr>
          <w:rFonts w:ascii="Times New Roman" w:hAnsi="Times New Roman" w:cs="Times New Roman" w:eastAsia="Times New Roman"/>
          <w:b/>
          <w:color w:val="192D43"/>
          <w:sz w:val="24"/>
        </w:rPr>
        <w:t>Decisions and results</w:t>
      </w:r>
    </w:p>
    <w:p>
      <w:r>
        <w:rPr>
          <w:rFonts w:ascii="Times New Roman" w:hAnsi="Times New Roman" w:cs="Times New Roman" w:eastAsia="Times New Roman"/>
          <w:b w:val="0"/>
          <w:color w:val="000000"/>
          <w:sz w:val="24"/>
        </w:rPr>
        <w:t>A custom scheduling screen was replaced with a supported workflow after editors confirmed that embargo timing and approvals were preserved. A correction function was retained because changes to published reports had to preserve their history and links. A duplicate export was retired after its downstream consumer accepted the replacement output.</w:t>
      </w:r>
    </w:p>
    <w:p>
      <w:r>
        <w:rPr>
          <w:rFonts w:ascii="Times New Roman" w:hAnsi="Times New Roman" w:cs="Times New Roman" w:eastAsia="Times New Roman"/>
          <w:b w:val="0"/>
          <w:color w:val="000000"/>
          <w:sz w:val="24"/>
        </w:rPr>
        <w:t>The approved disposition retained 28 features, replaced 9 with simpler supported functionality and retired 5. Editors tested representative reports, attachments, permissions and accessible outputs. The feature inventory and decision record showed the reason for each disposition; unresolved dependencies remained visible in the maintenance backlog.</w:t>
      </w:r>
    </w:p>
    <w:p>
      <w:pPr>
        <w:pStyle w:val="Heading2"/>
        <w:ind w:left="160"/>
        <w:pBdr>
          <w:left w:val="single" w:sz="16" w:space="4" w:color="147C83"/>
        </w:pBdr>
      </w:pPr>
      <w:r>
        <w:rPr>
          <w:rFonts w:ascii="Times New Roman" w:hAnsi="Times New Roman" w:cs="Times New Roman" w:eastAsia="Times New Roman"/>
          <w:b/>
          <w:color w:val="192D43"/>
          <w:sz w:val="24"/>
        </w:rPr>
        <w:t>Application to NCSES</w:t>
      </w:r>
    </w:p>
    <w:p>
      <w:r>
        <w:rPr>
          <w:rFonts w:ascii="Times New Roman" w:hAnsi="Times New Roman" w:cs="Times New Roman" w:eastAsia="Times New Roman"/>
          <w:b w:val="0"/>
          <w:color w:val="000000"/>
          <w:sz w:val="24"/>
        </w:rPr>
        <w:t>For NCSES, we would examine the custom Java CMS from content import through publication and correction. A proposed simplification would need to preserve its ability to produce multiple formats from one source, including complex tables, graphics and cross-references.</w:t>
      </w:r>
    </w:p>
    <w:p>
      <w:r>
        <w:rPr>
          <w:rFonts w:ascii="Times New Roman" w:hAnsi="Times New Roman" w:cs="Times New Roman" w:eastAsia="Times New Roman"/>
          <w:b w:val="0"/>
          <w:color w:val="000000"/>
          <w:sz w:val="24"/>
        </w:rPr>
        <w:t>We would present the COR and publishing staff with the affected user task, the supporting evidence and a specific acceptance check for each recommendation. Priorities would reflect the publication calendar and dependencies on the separately managed data systems.</w:t>
      </w:r>
    </w:p>
    <w:p>
      <w:pPr>
        <w:spacing w:after="100"/>
      </w:pPr>
      <w:r>
        <w:rPr>
          <w:rFonts w:ascii="Times New Roman" w:hAnsi="Times New Roman" w:cs="Times New Roman" w:eastAsia="Times New Roman"/>
          <w:b w:val="0"/>
          <w:color w:val="52616E"/>
          <w:sz w:val="24"/>
        </w:rPr>
        <w:t>Project reference: DEMO-CMS-01</w:t>
      </w:r>
    </w:p>
    <w:p>
      <w:pPr>
        <w:pStyle w:val="Heading1"/>
        <w:pageBreakBefore/>
        <w:ind w:left="240" w:right="240"/>
        <w:shd w:fill="192D43"/>
        <w:pBdr>
          <w:top w:val="single" w:sz="8" w:space="8" w:color="192D43"/>
          <w:bottom w:val="single" w:sz="8" w:space="8" w:color="192D43"/>
          <w:left w:val="single" w:sz="32" w:space="8" w:color="147C83"/>
          <w:right w:val="single" w:sz="8" w:space="8" w:color="192D43"/>
        </w:pBdr>
      </w:pPr>
      <w:r>
        <w:rPr>
          <w:rFonts w:ascii="Times New Roman" w:hAnsi="Times New Roman" w:cs="Times New Roman" w:eastAsia="Times New Roman"/>
          <w:b/>
          <w:color w:val="FFFFFF"/>
          <w:sz w:val="24"/>
        </w:rPr>
        <w:t>02   Reengineering applications for the cloud</w:t>
      </w:r>
    </w:p>
    <w:p>
      <w:pPr>
        <w:keepNext/>
        <w:spacing w:after="140"/>
      </w:pPr>
      <w:r>
        <w:rPr>
          <w:rFonts w:ascii="Times New Roman" w:hAnsi="Times New Roman" w:cs="Times New Roman" w:eastAsia="Times New Roman"/>
          <w:b w:val="0"/>
          <w:i/>
          <w:color w:val="52616E"/>
          <w:sz w:val="24"/>
        </w:rPr>
        <w:t>What is your organization’s experience in reengineering non-simple web applications for optimized deployments in commercial cloud environments?</w:t>
      </w:r>
    </w:p>
    <w:p>
      <w:pPr>
        <w:pStyle w:val="Heading2"/>
        <w:ind w:left="160"/>
        <w:pBdr>
          <w:left w:val="single" w:sz="16" w:space="4" w:color="147C83"/>
        </w:pBdr>
      </w:pPr>
      <w:r>
        <w:rPr>
          <w:rFonts w:ascii="Times New Roman" w:hAnsi="Times New Roman" w:cs="Times New Roman" w:eastAsia="Times New Roman"/>
          <w:b/>
          <w:color w:val="192D43"/>
          <w:sz w:val="24"/>
        </w:rPr>
        <w:t>Relevant experience</w:t>
      </w:r>
    </w:p>
    <w:p>
      <w:r>
        <w:rPr>
          <w:rFonts w:ascii="Times New Roman" w:hAnsi="Times New Roman" w:cs="Times New Roman" w:eastAsia="Times New Roman"/>
          <w:b w:val="0"/>
          <w:color w:val="000000"/>
          <w:sz w:val="24"/>
        </w:rPr>
        <w:t>We reengineered Applied Research Data Consortium's research-publication portal for Amazon Web Services (AWS). Its website, editorial workspace, database, document conversion and external interfaces shared infrastructure. Conversion bursts competed with web traffic, and background-processing maintenance required a coordinated application release.</w:t>
      </w:r>
    </w:p>
    <w:p>
      <w:r>
        <w:rPr>
          <w:rFonts w:ascii="Times New Roman" w:hAnsi="Times New Roman" w:cs="Times New Roman" w:eastAsia="Times New Roman"/>
          <w:b w:val="0"/>
          <w:color w:val="000000"/>
          <w:sz w:val="24"/>
        </w:rPr>
        <w:t>Engineers mapped scheduled jobs, file locations, database dependencies and external exchanges before choosing component boundaries. We retained the PostgreSQL data model during migration, limiting simultaneous change while separating public web serving from asynchronous publication work.</w:t>
      </w:r>
    </w:p>
    <w:p>
      <w:pPr>
        <w:pStyle w:val="Heading2"/>
        <w:ind w:left="160"/>
        <w:pBdr>
          <w:left w:val="single" w:sz="16" w:space="4" w:color="147C83"/>
        </w:pBdr>
      </w:pPr>
      <w:r>
        <w:rPr>
          <w:rFonts w:ascii="Times New Roman" w:hAnsi="Times New Roman" w:cs="Times New Roman" w:eastAsia="Times New Roman"/>
          <w:b/>
          <w:color w:val="192D43"/>
          <w:sz w:val="24"/>
        </w:rPr>
        <w:t>Architecture and demonstrated results</w:t>
      </w:r>
    </w:p>
    <w:p>
      <w:r>
        <w:rPr>
          <w:rFonts w:ascii="Times New Roman" w:hAnsi="Times New Roman" w:cs="Times New Roman" w:eastAsia="Times New Roman"/>
          <w:b w:val="0"/>
          <w:color w:val="000000"/>
          <w:sz w:val="24"/>
        </w:rPr>
        <w:t>We placed public documents in Amazon S3, queued conversion requests in Amazon SQS and operated web and worker containers separately in Amazon ECS. The database moved to Amazon RDS for PostgreSQL. Versioned deployment definitions reproduced the environment and allowed worker capacity to change independently.</w:t>
      </w:r>
    </w:p>
    <w:p>
      <w:r>
        <w:rPr>
          <w:rFonts w:ascii="Times New Roman" w:hAnsi="Times New Roman" w:cs="Times New Roman" w:eastAsia="Times New Roman"/>
          <w:b w:val="0"/>
          <w:color w:val="000000"/>
          <w:sz w:val="24"/>
        </w:rPr>
        <w:t>In the acceptance rehearsal, operators restarted a worker and increased conversion capacity without restarting the public site. Failed conversions remained available for retry while approved publications stayed online. Reconciliation checked identifiers, attachment checksums, redirects and search results. These demonstrations established independent operation and publication continuity.</w:t>
      </w:r>
    </w:p>
    <w:p>
      <w:pPr>
        <w:pStyle w:val="Heading2"/>
        <w:ind w:left="160"/>
        <w:pBdr>
          <w:left w:val="single" w:sz="16" w:space="4" w:color="147C83"/>
        </w:pBdr>
      </w:pPr>
      <w:r>
        <w:rPr>
          <w:rFonts w:ascii="Times New Roman" w:hAnsi="Times New Roman" w:cs="Times New Roman" w:eastAsia="Times New Roman"/>
          <w:b/>
          <w:color w:val="192D43"/>
          <w:sz w:val="24"/>
        </w:rPr>
        <w:t>Application to NCSES</w:t>
      </w:r>
    </w:p>
    <w:p>
      <w:r>
        <w:rPr>
          <w:rFonts w:ascii="Times New Roman" w:hAnsi="Times New Roman" w:cs="Times New Roman" w:eastAsia="Times New Roman"/>
          <w:b w:val="0"/>
          <w:color w:val="000000"/>
          <w:sz w:val="24"/>
        </w:rPr>
        <w:t>For NCSES, we would first confirm the current inventory and status of the AWS and PostgreSQL transition described in the draft SOW. The technical design would account for the custom CMS, legacy applications and interfaces owned by the separate data-systems contractor.</w:t>
      </w:r>
    </w:p>
    <w:p>
      <w:r>
        <w:rPr>
          <w:rFonts w:ascii="Times New Roman" w:hAnsi="Times New Roman" w:cs="Times New Roman" w:eastAsia="Times New Roman"/>
          <w:b w:val="0"/>
          <w:color w:val="000000"/>
          <w:sz w:val="24"/>
        </w:rPr>
        <w:t>Rehearsals would use representative statistical publications and a correction cycle to compare HTML and downloadable outputs. NCSES, NSF/OCIO and publishing staff would agree a release window and a rollback decision point before new production writes caused the environments to diverge.</w:t>
      </w:r>
    </w:p>
    <w:p>
      <w:pPr>
        <w:spacing w:after="100"/>
      </w:pPr>
      <w:r>
        <w:rPr>
          <w:rFonts w:ascii="Times New Roman" w:hAnsi="Times New Roman" w:cs="Times New Roman" w:eastAsia="Times New Roman"/>
          <w:b w:val="0"/>
          <w:color w:val="52616E"/>
          <w:sz w:val="24"/>
        </w:rPr>
        <w:t>Project reference: DEMO-CLOUD-02</w:t>
      </w:r>
    </w:p>
    <w:p>
      <w:pPr>
        <w:pStyle w:val="Heading1"/>
        <w:pageBreakBefore/>
        <w:ind w:left="240" w:right="240"/>
        <w:shd w:fill="192D43"/>
        <w:pBdr>
          <w:top w:val="single" w:sz="8" w:space="8" w:color="192D43"/>
          <w:bottom w:val="single" w:sz="8" w:space="8" w:color="192D43"/>
          <w:left w:val="single" w:sz="32" w:space="8" w:color="147C83"/>
          <w:right w:val="single" w:sz="8" w:space="8" w:color="192D43"/>
        </w:pBdr>
      </w:pPr>
      <w:r>
        <w:rPr>
          <w:rFonts w:ascii="Times New Roman" w:hAnsi="Times New Roman" w:cs="Times New Roman" w:eastAsia="Times New Roman"/>
          <w:b/>
          <w:color w:val="FFFFFF"/>
          <w:sz w:val="24"/>
        </w:rPr>
        <w:t>03   Modernizing monolithic software</w:t>
      </w:r>
    </w:p>
    <w:p>
      <w:pPr>
        <w:keepNext/>
        <w:spacing w:after="140"/>
      </w:pPr>
      <w:r>
        <w:rPr>
          <w:rFonts w:ascii="Times New Roman" w:hAnsi="Times New Roman" w:cs="Times New Roman" w:eastAsia="Times New Roman"/>
          <w:b w:val="0"/>
          <w:i/>
          <w:color w:val="52616E"/>
          <w:sz w:val="24"/>
        </w:rPr>
        <w:t>What is your organization’s experience in modernizing legacy software from monolithic architecture to microservices?</w:t>
      </w:r>
    </w:p>
    <w:p>
      <w:pPr>
        <w:pStyle w:val="Heading2"/>
        <w:ind w:left="160"/>
        <w:pBdr>
          <w:left w:val="single" w:sz="16" w:space="4" w:color="147C83"/>
        </w:pBdr>
      </w:pPr>
      <w:r>
        <w:rPr>
          <w:rFonts w:ascii="Times New Roman" w:hAnsi="Times New Roman" w:cs="Times New Roman" w:eastAsia="Times New Roman"/>
          <w:b/>
          <w:color w:val="192D43"/>
          <w:sz w:val="24"/>
        </w:rPr>
        <w:t>Relevant experience</w:t>
      </w:r>
    </w:p>
    <w:p>
      <w:r>
        <w:rPr>
          <w:rFonts w:ascii="Times New Roman" w:hAnsi="Times New Roman" w:cs="Times New Roman" w:eastAsia="Times New Roman"/>
          <w:b w:val="0"/>
          <w:color w:val="000000"/>
          <w:sz w:val="24"/>
        </w:rPr>
        <w:t>We modernized Regional Science Data Collaborative's monolithic publication application by extracting notifications, document conversion and scheduled exports behind explicit interfaces. The editorial core remained in place. Those functions had different release schedules but shared one application deployment.</w:t>
      </w:r>
    </w:p>
    <w:p>
      <w:r>
        <w:rPr>
          <w:rFonts w:ascii="Times New Roman" w:hAnsi="Times New Roman" w:cs="Times New Roman" w:eastAsia="Times New Roman"/>
          <w:b w:val="0"/>
          <w:color w:val="000000"/>
          <w:sz w:val="24"/>
        </w:rPr>
        <w:t>Developers and operations staff defined each function's inputs, outputs, data owner and failure behavior. A compatibility layer preserved existing callers. Conversion requests carried a publication identifier and version; the editorial application retained publishing authority. Services did not receive unrestricted write access to editorial records.</w:t>
      </w:r>
    </w:p>
    <w:p>
      <w:pPr>
        <w:pStyle w:val="Heading2"/>
        <w:ind w:left="160"/>
        <w:pBdr>
          <w:left w:val="single" w:sz="16" w:space="4" w:color="147C83"/>
        </w:pBdr>
      </w:pPr>
      <w:r>
        <w:rPr>
          <w:rFonts w:ascii="Times New Roman" w:hAnsi="Times New Roman" w:cs="Times New Roman" w:eastAsia="Times New Roman"/>
          <w:b/>
          <w:color w:val="192D43"/>
          <w:sz w:val="24"/>
        </w:rPr>
        <w:t>Independent releases and failure isolation</w:t>
      </w:r>
    </w:p>
    <w:p>
      <w:r>
        <w:rPr>
          <w:rFonts w:ascii="Times New Roman" w:hAnsi="Times New Roman" w:cs="Times New Roman" w:eastAsia="Times New Roman"/>
          <w:b w:val="0"/>
          <w:color w:val="000000"/>
          <w:sz w:val="24"/>
        </w:rPr>
        <w:t>We moved one function at a time and compared results with the existing implementation. Tests covered repeated messages, unavailable dependencies and partially completed jobs. Stable job identifiers prevented duplicate publication. The interface catalog identified which component could change each shared record.</w:t>
      </w:r>
    </w:p>
    <w:p>
      <w:r>
        <w:rPr>
          <w:rFonts w:ascii="Times New Roman" w:hAnsi="Times New Roman" w:cs="Times New Roman" w:eastAsia="Times New Roman"/>
          <w:b w:val="0"/>
          <w:color w:val="000000"/>
          <w:sz w:val="24"/>
        </w:rPr>
        <w:t>The client accepted a notification-service update without an editorial-application deployment. In a failure test, an unavailable export destination left work pending while editors continued preparing content. These results demonstrated independent release and failure isolation. We retained the editorial core because further separation would have added support work without a demonstrated benefit.</w:t>
      </w:r>
    </w:p>
    <w:p>
      <w:pPr>
        <w:pStyle w:val="Heading2"/>
        <w:ind w:left="160"/>
        <w:pBdr>
          <w:left w:val="single" w:sz="16" w:space="4" w:color="147C83"/>
        </w:pBdr>
      </w:pPr>
      <w:r>
        <w:rPr>
          <w:rFonts w:ascii="Times New Roman" w:hAnsi="Times New Roman" w:cs="Times New Roman" w:eastAsia="Times New Roman"/>
          <w:b/>
          <w:color w:val="192D43"/>
          <w:sz w:val="24"/>
        </w:rPr>
        <w:t>Application to NCSES</w:t>
      </w:r>
    </w:p>
    <w:p>
      <w:r>
        <w:rPr>
          <w:rFonts w:ascii="Times New Roman" w:hAnsi="Times New Roman" w:cs="Times New Roman" w:eastAsia="Times New Roman"/>
          <w:b w:val="0"/>
          <w:color w:val="000000"/>
          <w:sz w:val="24"/>
        </w:rPr>
        <w:t>For NCSES, we would assess conversion, scheduled work and external interfaces as candidates, then choose a first extraction with a bounded purpose and agreed acceptance criteria. The boundary would preserve the CMS's ability to derive several publication formats from one source.</w:t>
      </w:r>
    </w:p>
    <w:p>
      <w:r>
        <w:rPr>
          <w:rFonts w:ascii="Times New Roman" w:hAnsi="Times New Roman" w:cs="Times New Roman" w:eastAsia="Times New Roman"/>
          <w:b w:val="0"/>
          <w:color w:val="000000"/>
          <w:sz w:val="24"/>
        </w:rPr>
        <w:t>A conversion service would return identifiable files and a processing result for each versioned source package. Publishing would remain separately approved. Interface changes and data ownership would be agreed with the data-systems contractor.</w:t>
      </w:r>
    </w:p>
    <w:p>
      <w:pPr>
        <w:spacing w:after="100"/>
      </w:pPr>
      <w:r>
        <w:rPr>
          <w:rFonts w:ascii="Times New Roman" w:hAnsi="Times New Roman" w:cs="Times New Roman" w:eastAsia="Times New Roman"/>
          <w:b w:val="0"/>
          <w:color w:val="52616E"/>
          <w:sz w:val="24"/>
        </w:rPr>
        <w:t>Project reference: DEMO-SERVICES-03</w:t>
      </w:r>
    </w:p>
    <w:p>
      <w:pPr>
        <w:pStyle w:val="Heading1"/>
        <w:pageBreakBefore/>
        <w:ind w:left="240" w:right="240"/>
        <w:shd w:fill="192D43"/>
        <w:pBdr>
          <w:top w:val="single" w:sz="8" w:space="8" w:color="192D43"/>
          <w:bottom w:val="single" w:sz="8" w:space="8" w:color="192D43"/>
          <w:left w:val="single" w:sz="32" w:space="8" w:color="147C83"/>
          <w:right w:val="single" w:sz="8" w:space="8" w:color="192D43"/>
        </w:pBdr>
      </w:pPr>
      <w:r>
        <w:rPr>
          <w:rFonts w:ascii="Times New Roman" w:hAnsi="Times New Roman" w:cs="Times New Roman" w:eastAsia="Times New Roman"/>
          <w:b/>
          <w:color w:val="FFFFFF"/>
          <w:sz w:val="24"/>
        </w:rPr>
        <w:t>04   Project references</w:t>
      </w:r>
    </w:p>
    <w:p>
      <w:pPr>
        <w:pStyle w:val="Heading2"/>
        <w:ind w:left="160"/>
        <w:pBdr>
          <w:left w:val="single" w:sz="16" w:space="4" w:color="147C83"/>
        </w:pBdr>
      </w:pPr>
      <w:r>
        <w:rPr>
          <w:rFonts w:ascii="Times New Roman" w:hAnsi="Times New Roman" w:cs="Times New Roman" w:eastAsia="Times New Roman"/>
          <w:b/>
          <w:color w:val="192D43"/>
          <w:sz w:val="24"/>
        </w:rPr>
        <w:t>DEMO-CMS-01   Publishing CMS feature review</w:t>
      </w:r>
    </w:p>
    <w:p>
      <w:pPr>
        <w:keepNext/>
        <w:spacing w:after="80" w:line="252" w:lineRule="auto"/>
      </w:pPr>
      <w:r>
        <w:rPr>
          <w:rFonts w:ascii="Times New Roman" w:hAnsi="Times New Roman" w:cs="Times New Roman" w:eastAsia="Times New Roman"/>
          <w:b w:val="0"/>
          <w:color w:val="000000"/>
          <w:sz w:val="24"/>
        </w:rPr>
        <w:t>Research Information Partnership</w:t>
      </w:r>
    </w:p>
    <w:p>
      <w:pPr>
        <w:keepNext/>
        <w:spacing w:after="80" w:line="252" w:lineRule="auto"/>
      </w:pPr>
      <w:r>
        <w:rPr>
          <w:rFonts w:ascii="Times New Roman" w:hAnsi="Times New Roman" w:cs="Times New Roman" w:eastAsia="Times New Roman"/>
          <w:b w:val="0"/>
          <w:color w:val="000000"/>
          <w:sz w:val="24"/>
        </w:rPr>
        <w:t>Apr 2022 to Dec 2024 | Direct service provider</w:t>
      </w:r>
    </w:p>
    <w:p>
      <w:pPr>
        <w:keepNext/>
        <w:spacing w:after="80" w:line="252" w:lineRule="auto"/>
      </w:pPr>
      <w:r>
        <w:rPr>
          <w:rFonts w:ascii="Times New Roman" w:hAnsi="Times New Roman" w:cs="Times New Roman" w:eastAsia="Times New Roman"/>
          <w:b/>
          <w:color w:val="000000"/>
          <w:sz w:val="24"/>
        </w:rPr>
        <w:t xml:space="preserve">Evidence: </w:t>
      </w:r>
      <w:r>
        <w:rPr>
          <w:rFonts w:ascii="Times New Roman" w:hAnsi="Times New Roman" w:cs="Times New Roman" w:eastAsia="Times New Roman"/>
          <w:b w:val="0"/>
          <w:color w:val="000000"/>
          <w:sz w:val="24"/>
        </w:rPr>
        <w:t>Feature inventory, disposition decisions and editor acceptance checks</w:t>
      </w:r>
    </w:p>
    <w:p>
      <w:pPr>
        <w:keepNext w:val="0"/>
        <w:spacing w:after="80" w:line="252" w:lineRule="auto"/>
      </w:pPr>
      <w:r>
        <w:rPr>
          <w:rFonts w:ascii="Times New Roman" w:hAnsi="Times New Roman" w:cs="Times New Roman" w:eastAsia="Times New Roman"/>
          <w:b/>
          <w:color w:val="000000"/>
          <w:sz w:val="24"/>
        </w:rPr>
        <w:t xml:space="preserve">Contact: </w:t>
      </w:r>
      <w:r>
        <w:rPr>
          <w:rFonts w:ascii="Times New Roman" w:hAnsi="Times New Roman" w:cs="Times New Roman" w:eastAsia="Times New Roman"/>
          <w:b w:val="0"/>
          <w:color w:val="000000"/>
          <w:sz w:val="24"/>
        </w:rPr>
        <w:t>Jordan Ellis, Program Director</w:t>
        <w:br/>
        <w:t>jordan.ellis@research-partnership.example</w:t>
      </w:r>
    </w:p>
    <w:p>
      <w:pPr>
        <w:pStyle w:val="Heading2"/>
        <w:ind w:left="160"/>
        <w:pBdr>
          <w:left w:val="single" w:sz="16" w:space="4" w:color="147C83"/>
        </w:pBdr>
      </w:pPr>
      <w:r>
        <w:rPr>
          <w:rFonts w:ascii="Times New Roman" w:hAnsi="Times New Roman" w:cs="Times New Roman" w:eastAsia="Times New Roman"/>
          <w:b/>
          <w:color w:val="192D43"/>
          <w:sz w:val="24"/>
        </w:rPr>
        <w:t>DEMO-CLOUD-02   Research portal cloud migration</w:t>
      </w:r>
    </w:p>
    <w:p>
      <w:pPr>
        <w:keepNext/>
        <w:spacing w:after="80" w:line="252" w:lineRule="auto"/>
      </w:pPr>
      <w:r>
        <w:rPr>
          <w:rFonts w:ascii="Times New Roman" w:hAnsi="Times New Roman" w:cs="Times New Roman" w:eastAsia="Times New Roman"/>
          <w:b w:val="0"/>
          <w:color w:val="000000"/>
          <w:sz w:val="24"/>
        </w:rPr>
        <w:t>Applied Research Data Consortium</w:t>
      </w:r>
    </w:p>
    <w:p>
      <w:pPr>
        <w:keepNext/>
        <w:spacing w:after="80" w:line="252" w:lineRule="auto"/>
      </w:pPr>
      <w:r>
        <w:rPr>
          <w:rFonts w:ascii="Times New Roman" w:hAnsi="Times New Roman" w:cs="Times New Roman" w:eastAsia="Times New Roman"/>
          <w:b w:val="0"/>
          <w:color w:val="000000"/>
          <w:sz w:val="24"/>
        </w:rPr>
        <w:t>Feb 2023 to Aug 2025 | Direct service provider</w:t>
      </w:r>
    </w:p>
    <w:p>
      <w:pPr>
        <w:keepNext/>
        <w:spacing w:after="80" w:line="252" w:lineRule="auto"/>
      </w:pPr>
      <w:r>
        <w:rPr>
          <w:rFonts w:ascii="Times New Roman" w:hAnsi="Times New Roman" w:cs="Times New Roman" w:eastAsia="Times New Roman"/>
          <w:b/>
          <w:color w:val="000000"/>
          <w:sz w:val="24"/>
        </w:rPr>
        <w:t xml:space="preserve">Evidence: </w:t>
      </w:r>
      <w:r>
        <w:rPr>
          <w:rFonts w:ascii="Times New Roman" w:hAnsi="Times New Roman" w:cs="Times New Roman" w:eastAsia="Times New Roman"/>
          <w:b w:val="0"/>
          <w:color w:val="000000"/>
          <w:sz w:val="24"/>
        </w:rPr>
        <w:t>Migration reconciliation, cutover rehearsal and operating runbook</w:t>
      </w:r>
    </w:p>
    <w:p>
      <w:pPr>
        <w:keepNext w:val="0"/>
        <w:spacing w:after="80" w:line="252" w:lineRule="auto"/>
      </w:pPr>
      <w:r>
        <w:rPr>
          <w:rFonts w:ascii="Times New Roman" w:hAnsi="Times New Roman" w:cs="Times New Roman" w:eastAsia="Times New Roman"/>
          <w:b/>
          <w:color w:val="000000"/>
          <w:sz w:val="24"/>
        </w:rPr>
        <w:t xml:space="preserve">Contact: </w:t>
      </w:r>
      <w:r>
        <w:rPr>
          <w:rFonts w:ascii="Times New Roman" w:hAnsi="Times New Roman" w:cs="Times New Roman" w:eastAsia="Times New Roman"/>
          <w:b w:val="0"/>
          <w:color w:val="000000"/>
          <w:sz w:val="24"/>
        </w:rPr>
        <w:t>Taylor Chen, Digital Services Lead</w:t>
        <w:br/>
        <w:t>taylor.chen@applied-research.example</w:t>
      </w:r>
    </w:p>
    <w:p>
      <w:pPr>
        <w:pStyle w:val="Heading2"/>
        <w:ind w:left="160"/>
        <w:pBdr>
          <w:left w:val="single" w:sz="16" w:space="4" w:color="147C83"/>
        </w:pBdr>
      </w:pPr>
      <w:r>
        <w:rPr>
          <w:rFonts w:ascii="Times New Roman" w:hAnsi="Times New Roman" w:cs="Times New Roman" w:eastAsia="Times New Roman"/>
          <w:b/>
          <w:color w:val="192D43"/>
          <w:sz w:val="24"/>
        </w:rPr>
        <w:t>DEMO-SERVICES-03   Publication services modernization</w:t>
      </w:r>
    </w:p>
    <w:p>
      <w:pPr>
        <w:keepNext/>
        <w:spacing w:after="80" w:line="252" w:lineRule="auto"/>
      </w:pPr>
      <w:r>
        <w:rPr>
          <w:rFonts w:ascii="Times New Roman" w:hAnsi="Times New Roman" w:cs="Times New Roman" w:eastAsia="Times New Roman"/>
          <w:b w:val="0"/>
          <w:color w:val="000000"/>
          <w:sz w:val="24"/>
        </w:rPr>
        <w:t>Regional Science Data Collaborative</w:t>
      </w:r>
    </w:p>
    <w:p>
      <w:pPr>
        <w:keepNext/>
        <w:spacing w:after="80" w:line="252" w:lineRule="auto"/>
      </w:pPr>
      <w:r>
        <w:rPr>
          <w:rFonts w:ascii="Times New Roman" w:hAnsi="Times New Roman" w:cs="Times New Roman" w:eastAsia="Times New Roman"/>
          <w:b w:val="0"/>
          <w:color w:val="000000"/>
          <w:sz w:val="24"/>
        </w:rPr>
        <w:t>Sep 2021 to Mar 2024 | Direct service provider</w:t>
      </w:r>
    </w:p>
    <w:p>
      <w:pPr>
        <w:keepNext/>
        <w:spacing w:after="80" w:line="252" w:lineRule="auto"/>
      </w:pPr>
      <w:r>
        <w:rPr>
          <w:rFonts w:ascii="Times New Roman" w:hAnsi="Times New Roman" w:cs="Times New Roman" w:eastAsia="Times New Roman"/>
          <w:b/>
          <w:color w:val="000000"/>
          <w:sz w:val="24"/>
        </w:rPr>
        <w:t xml:space="preserve">Evidence: </w:t>
      </w:r>
      <w:r>
        <w:rPr>
          <w:rFonts w:ascii="Times New Roman" w:hAnsi="Times New Roman" w:cs="Times New Roman" w:eastAsia="Times New Roman"/>
          <w:b w:val="0"/>
          <w:color w:val="000000"/>
          <w:sz w:val="24"/>
        </w:rPr>
        <w:t>Interface catalog, service acceptance tests and recovery procedures</w:t>
      </w:r>
    </w:p>
    <w:p>
      <w:pPr>
        <w:keepNext w:val="0"/>
        <w:spacing w:after="80" w:line="252" w:lineRule="auto"/>
      </w:pPr>
      <w:r>
        <w:rPr>
          <w:rFonts w:ascii="Times New Roman" w:hAnsi="Times New Roman" w:cs="Times New Roman" w:eastAsia="Times New Roman"/>
          <w:b/>
          <w:color w:val="000000"/>
          <w:sz w:val="24"/>
        </w:rPr>
        <w:t xml:space="preserve">Contact: </w:t>
      </w:r>
      <w:r>
        <w:rPr>
          <w:rFonts w:ascii="Times New Roman" w:hAnsi="Times New Roman" w:cs="Times New Roman" w:eastAsia="Times New Roman"/>
          <w:b w:val="0"/>
          <w:color w:val="000000"/>
          <w:sz w:val="24"/>
        </w:rPr>
        <w:t>Casey Reed, Technology Director</w:t>
        <w:br/>
        <w:t>casey.reed@regional-science.example</w:t>
      </w:r>
    </w:p>
    <w:sectPr w:rsidR="00FC693F" w:rsidRPr="0006063C" w:rsidSect="00034616">
      <w:headerReference w:type="first" r:id="rId9"/>
      <w:headerReference w:type="default" r:id="rId10"/>
      <w:footerReference w:type="default" r:id="rId11"/>
      <w:footerReference w:type="first" r:id="rId12"/>
      <w:pgSz w:w="12240" w:h="15840"/>
      <w:pgMar w:top="1440" w:right="1440" w:bottom="1440" w:left="1440"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s="Times New Roman" w:eastAsia="Times New Roman"/>
        <w:b w:val="0"/>
        <w:color w:val="52616E"/>
        <w:sz w:val="24"/>
      </w:rPr>
      <w:t xml:space="preserve">Page </w:t>
    </w:r>
    <w:r>
      <w:rPr>
        <w:rFonts w:ascii="Times New Roman" w:hAnsi="Times New Roman" w:cs="Times New Roman" w:eastAsia="Times New Roman"/>
        <w:b w:val="0"/>
        <w:color w:val="52616E"/>
        <w:sz w:val="24"/>
      </w:rPr>
      <w:fldChar w:fldCharType="begin"/>
      <w:instrText xml:space="preserve"> PAGE </w:instrText>
      <w:fldChar w:fldCharType="separate"/>
    </w:r>
    <w:r>
      <w:rPr>
        <w:rFonts w:ascii="Times New Roman" w:hAnsi="Times New Roman" w:cs="Times New Roman" w:eastAsia="Times New Roman"/>
        <w:b w:val="0"/>
        <w:color w:val="52616E"/>
        <w:sz w:val="24"/>
      </w:rPr>
      <w:t>1</w:t>
    </w:r>
    <w:r>
      <w:rPr>
        <w:rFonts w:ascii="Times New Roman" w:hAnsi="Times New Roman" w:cs="Times New Roman" w:eastAsia="Times New Roman"/>
        <w:b w:val="0"/>
        <w:color w:val="52616E"/>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s="Times New Roman" w:eastAsia="Times New Roman"/>
        <w:b w:val="0"/>
        <w:color w:val="52616E"/>
        <w:sz w:val="24"/>
      </w:rPr>
      <w:t xml:space="preserve">Page </w:t>
    </w:r>
    <w:r>
      <w:rPr>
        <w:rFonts w:ascii="Times New Roman" w:hAnsi="Times New Roman" w:cs="Times New Roman" w:eastAsia="Times New Roman"/>
        <w:b w:val="0"/>
        <w:color w:val="52616E"/>
        <w:sz w:val="24"/>
      </w:rPr>
      <w:fldChar w:fldCharType="begin"/>
      <w:instrText xml:space="preserve"> PAGE </w:instrText>
      <w:fldChar w:fldCharType="separate"/>
    </w:r>
    <w:r>
      <w:rPr>
        <w:rFonts w:ascii="Times New Roman" w:hAnsi="Times New Roman" w:cs="Times New Roman" w:eastAsia="Times New Roman"/>
        <w:b w:val="0"/>
        <w:color w:val="52616E"/>
        <w:sz w:val="24"/>
      </w:rPr>
      <w:t>1</w:t>
    </w:r>
    <w:r>
      <w:rPr>
        <w:rFonts w:ascii="Times New Roman" w:hAnsi="Times New Roman" w:cs="Times New Roman" w:eastAsia="Times New Roman"/>
        <w:b w:val="0"/>
        <w:color w:val="52616E"/>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line="240" w:lineRule="auto" w:after="0"/>
    </w:pPr>
    <w:r>
      <w:drawing>
        <wp:inline xmlns:a="http://schemas.openxmlformats.org/drawingml/2006/main" xmlns:pic="http://schemas.openxmlformats.org/drawingml/2006/picture">
          <wp:extent cx="1234440" cy="144532"/>
          <wp:docPr id="1" name="Picture 1" descr="Official GovTribe logo"/>
          <wp:cNvGraphicFramePr>
            <a:graphicFrameLocks noChangeAspect="1"/>
          </wp:cNvGraphicFramePr>
          <a:graphic>
            <a:graphicData uri="http://schemas.openxmlformats.org/drawingml/2006/picture">
              <pic:pic>
                <pic:nvPicPr>
                  <pic:cNvPr id="0" name="govtribe-light.png"/>
                  <pic:cNvPicPr/>
                </pic:nvPicPr>
                <pic:blipFill>
                  <a:blip r:embed="rId1"/>
                  <a:stretch>
                    <a:fillRect/>
                  </a:stretch>
                </pic:blipFill>
                <pic:spPr>
                  <a:xfrm>
                    <a:off x="0" y="0"/>
                    <a:ext cx="1234440" cy="144532"/>
                  </a:xfrm>
                  <a:prstGeom prst="rect"/>
                </pic:spPr>
              </pic:pic>
            </a:graphicData>
          </a:graphic>
        </wp:inline>
      </w:drawing>
    </w:r>
    <w:r>
      <w:rPr>
        <w:rFonts w:ascii="Arial" w:hAnsi="Arial"/>
        <w:color w:val="34465B"/>
        <w:sz w:val="18"/>
      </w:rPr>
      <w:t xml:space="preserve">    GovTribe, Inc.  ·  UEI EDJBUPNLCCL5</w:t>
    </w:r>
    <w:r>
      <w:drawing>
        <wp:anchor distT="0" distB="0" distL="0" distR="0" simplePos="0" relativeHeight="0" behindDoc="1" locked="0" layoutInCell="1" allowOverlap="1">
          <wp:simplePos x="0" y="0"/>
          <wp:positionH relativeFrom="page">
            <wp:posOffset>0</wp:posOffset>
          </wp:positionH>
          <wp:positionV relativeFrom="page">
            <wp:posOffset>5207000</wp:posOffset>
          </wp:positionV>
          <wp:extent cx="7772400" cy="4127500"/>
          <wp:effectExtent l="0" t="0" r="0" b="0"/>
          <wp:wrapNone/>
          <wp:docPr id="2" name="Agency image below diagonal cut" descr="Conceptual science publications becoming public digital content, integrated with a research setting and diagonal navy and teal cover accents."/>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ncses-integrated-cover.png"/>
                  <pic:cNvPicPr/>
                </pic:nvPicPr>
                <pic:blipFill>
                  <a:blip r:embed="rId2"/>
                  <a:srcRect l="0" r="0" t="43462" b="15462"/>
                  <a:stretch>
                    <a:fillRect/>
                  </a:stretch>
                </pic:blipFill>
                <pic:spPr>
                  <a:xfrm>
                    <a:off x="0" y="0"/>
                    <a:ext cx="7772400" cy="4127500"/>
                  </a:xfrm>
                  <a:prstGeom prst="rect"/>
                </pic:spPr>
              </pic:pic>
            </a:graphicData>
          </a:graphic>
        </wp:anchor>
      </w:drawing>
    </w:r>
    <w:r>
      <w:drawing xmlns:a="http://schemas.openxmlformats.org/drawingml/2006/main">
        <wp:anchor distT="0" distB="0" distL="0" distR="0" simplePos="0" relativeHeight="2" behindDoc="0" locked="0" layoutInCell="1" allowOverlap="1">
          <wp:simplePos x="0" y="0"/>
          <wp:positionH relativeFrom="page">
            <wp:posOffset>0</wp:posOffset>
          </wp:positionH>
          <wp:positionV relativeFrom="page">
            <wp:posOffset>0</wp:posOffset>
          </wp:positionV>
          <wp:extent cx="7772400" cy="10058400"/>
          <wp:effectExtent l="0" t="0" r="0" b="0"/>
          <wp:wrapNone/>
          <wp:docPr id="22" name="CoverShapeWhiteCut" descr="Editable boundary of the agency image area"/>
          <a:graphic>
            <a:graphicData uri="http://schemas.microsoft.com/office/word/2010/wordprocessingShape">
              <wps:wsp>
                <wps:cNvSpPr/>
                <wps:spPr>
                  <a:xfrm>
                    <a:off x="0" y="0"/>
                    <a:ext cx="7772400" cy="10058400"/>
                  </a:xfrm>
                  <a:custGeom>
                    <a:avLst/>
                    <a:gdLst/>
                    <a:ahLst/>
                    <a:cxnLst/>
                    <a:rect l="0" t="0" r="r" b="b"/>
                    <a:pathLst>
                      <a:path w="612" h="792">
                        <a:moveTo>
                          <a:pt x="0" y="409"/>
                        </a:moveTo>
                        <a:lnTo>
                          <a:pt x="612" y="409"/>
                        </a:lnTo>
                        <a:lnTo>
                          <a:pt x="612" y="410"/>
                        </a:lnTo>
                        <a:lnTo>
                          <a:pt x="0" y="475"/>
                        </a:lnTo>
                        <a:close/>
                      </a:path>
                    </a:pathLst>
                  </a:custGeom>
                  <a:solidFill>
                    <a:srgbClr val="FFFFFF"/>
                  </a:solidFill>
                  <a:ln>
                    <a:noFill/>
                  </a:ln>
                </wps:spPr>
                <wps:bodyPr/>
              </wps:wsp>
            </a:graphicData>
          </a:graphic>
        </wp:anchor>
      </w:drawing>
    </w:r>
    <w:r>
      <w:drawing xmlns:a="http://schemas.openxmlformats.org/drawingml/2006/main">
        <wp:anchor distT="0" distB="0" distL="0" distR="0" simplePos="0" relativeHeight="3" behindDoc="0" locked="0" layoutInCell="1" allowOverlap="1">
          <wp:simplePos x="0" y="0"/>
          <wp:positionH relativeFrom="page">
            <wp:posOffset>0</wp:posOffset>
          </wp:positionH>
          <wp:positionV relativeFrom="page">
            <wp:posOffset>0</wp:posOffset>
          </wp:positionV>
          <wp:extent cx="7772400" cy="10058400"/>
          <wp:effectExtent l="0" t="0" r="0" b="0"/>
          <wp:wrapNone/>
          <wp:docPr id="23" name="CoverShapeNavyCutLine" descr="Editable boundary of the agency image area"/>
          <a:graphic>
            <a:graphicData uri="http://schemas.microsoft.com/office/word/2010/wordprocessingShape">
              <wps:wsp>
                <wps:cNvSpPr/>
                <wps:spPr>
                  <a:xfrm>
                    <a:off x="0" y="0"/>
                    <a:ext cx="7772400" cy="10058400"/>
                  </a:xfrm>
                  <a:custGeom>
                    <a:avLst/>
                    <a:gdLst/>
                    <a:ahLst/>
                    <a:cxnLst/>
                    <a:rect l="0" t="0" r="r" b="b"/>
                    <a:pathLst>
                      <a:path w="612" h="792">
                        <a:moveTo>
                          <a:pt x="0" y="475"/>
                        </a:moveTo>
                        <a:lnTo>
                          <a:pt x="612" y="410"/>
                        </a:lnTo>
                        <a:lnTo>
                          <a:pt x="612" y="417"/>
                        </a:lnTo>
                        <a:lnTo>
                          <a:pt x="0" y="482"/>
                        </a:lnTo>
                        <a:close/>
                      </a:path>
                    </a:pathLst>
                  </a:custGeom>
                  <a:solidFill>
                    <a:srgbClr val="192D43"/>
                  </a:solidFill>
                  <a:ln>
                    <a:noFill/>
                  </a:ln>
                </wps:spPr>
                <wps:bodyPr/>
              </wps:wsp>
            </a:graphicData>
          </a:graphic>
        </wp:anchor>
      </w:drawing>
    </w:r>
    <w:r>
      <w:drawing xmlns:a="http://schemas.openxmlformats.org/drawingml/2006/main">
        <wp:anchor distT="0" distB="0" distL="0" distR="0" simplePos="0" relativeHeight="4" behindDoc="0" locked="0" layoutInCell="1" allowOverlap="1">
          <wp:simplePos x="0" y="0"/>
          <wp:positionH relativeFrom="page">
            <wp:posOffset>0</wp:posOffset>
          </wp:positionH>
          <wp:positionV relativeFrom="page">
            <wp:posOffset>0</wp:posOffset>
          </wp:positionV>
          <wp:extent cx="7772400" cy="10058400"/>
          <wp:effectExtent l="0" t="0" r="0" b="0"/>
          <wp:wrapNone/>
          <wp:docPr id="24" name="CoverShapeTealCutLine" descr="Editable boundary of the agency image area"/>
          <a:graphic>
            <a:graphicData uri="http://schemas.microsoft.com/office/word/2010/wordprocessingShape">
              <wps:wsp>
                <wps:cNvSpPr/>
                <wps:spPr>
                  <a:xfrm>
                    <a:off x="0" y="0"/>
                    <a:ext cx="7772400" cy="10058400"/>
                  </a:xfrm>
                  <a:custGeom>
                    <a:avLst/>
                    <a:gdLst/>
                    <a:ahLst/>
                    <a:cxnLst/>
                    <a:rect l="0" t="0" r="r" b="b"/>
                    <a:pathLst>
                      <a:path w="612" h="792">
                        <a:moveTo>
                          <a:pt x="0" y="482"/>
                        </a:moveTo>
                        <a:lnTo>
                          <a:pt x="612" y="417"/>
                        </a:lnTo>
                        <a:lnTo>
                          <a:pt x="612" y="421"/>
                        </a:lnTo>
                        <a:lnTo>
                          <a:pt x="0" y="486"/>
                        </a:lnTo>
                        <a:close/>
                      </a:path>
                    </a:pathLst>
                  </a:custGeom>
                  <a:solidFill>
                    <a:srgbClr val="147C83"/>
                  </a:solidFill>
                  <a:ln>
                    <a:noFill/>
                  </a:ln>
                </wps:spPr>
                <wps:bodyPr/>
              </wps:wsp>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cs="Times New Roman" w:eastAsia="Times New Roman"/>
        <w:b w:val="0"/>
        <w:color w:val="52616E"/>
        <w:sz w:val="24"/>
      </w:rPr>
      <w:t>NCSES Web Support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69" w:lineRule="auto"/>
    </w:pPr>
    <w:rPr>
      <w:rFonts w:ascii="Times New Roman" w:hAnsi="Times New Roman"/>
      <w:i w:val="0"/>
      <w:color w:val="000000"/>
      <w:sz w:val="24"/>
      <w:u w:val="none"/>
    </w:rPr>
  </w:style>
  <w:style w:type="paragraph" w:styleId="Header">
    <w:name w:val="header"/>
    <w:basedOn w:val="Normal"/>
    <w:link w:val="HeaderChar"/>
    <w:uiPriority w:val="99"/>
    <w:unhideWhenUsed/>
    <w:rsid w:val="00E618BF"/>
    <w:pPr>
      <w:widowControl/>
      <w:tabs>
        <w:tab w:val="center" w:pos="4680"/>
        <w:tab w:val="right" w:pos="9360"/>
      </w:tabs>
      <w:spacing w:after="100" w:line="240" w:lineRule="auto"/>
    </w:pPr>
    <w:rPr>
      <w:rFonts w:ascii="Times New Roman" w:hAnsi="Times New Roman"/>
      <w:i w:val="0"/>
      <w:color w:val="000000"/>
      <w:sz w:val="24"/>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40" w:lineRule="auto"/>
    </w:pPr>
    <w:rPr>
      <w:rFonts w:ascii="Times New Roman" w:hAnsi="Times New Roman"/>
      <w:i w:val="0"/>
      <w:color w:val="000000"/>
      <w:sz w:val="24"/>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300" w:line="240" w:lineRule="auto"/>
      <w:outlineLvl w:val="0"/>
    </w:pPr>
    <w:rPr>
      <w:rFonts w:asciiTheme="majorHAnsi" w:eastAsiaTheme="majorEastAsia" w:hAnsiTheme="majorHAnsi" w:cstheme="majorBidi" w:ascii="Times New Roman" w:hAnsi="Times New Roman"/>
      <w:b/>
      <w:bCs/>
      <w:i w:val="0"/>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Times New Roman" w:hAnsi="Times New Roman"/>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80" w:line="240" w:lineRule="auto"/>
      <w:contextualSpacing/>
    </w:pPr>
    <w:rPr>
      <w:rFonts w:asciiTheme="majorHAnsi" w:eastAsiaTheme="majorEastAsia" w:hAnsiTheme="majorHAnsi" w:cstheme="majorBidi" w:ascii="Arial" w:hAnsi="Arial"/>
      <w:b/>
      <w:i w:val="0"/>
      <w:color w:val="000000"/>
      <w:spacing w:val="5"/>
      <w:kern w:val="28"/>
      <w:sz w:val="6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line="240" w:lineRule="auto"/>
    </w:pPr>
    <w:rPr>
      <w:rFonts w:asciiTheme="majorHAnsi" w:eastAsiaTheme="majorEastAsia" w:hAnsiTheme="majorHAnsi" w:cstheme="majorBidi" w:ascii="Times New Roman" w:hAnsi="Times New Roman"/>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Times New Roman" w:hAnsi="Times New Roman"/>
      <w:b/>
      <w:bCs/>
      <w:i w:val="0"/>
      <w:color w:val="000000"/>
      <w:sz w:val="24"/>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ext">
    <w:name w:val="Cover Text"/>
    <w:basedOn w:val="Normal"/>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GovTribe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GovTribe</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NCSES Web Support Services - Sources sought response</dc:title>
  <dc:subject>Editable RFI response with agency-specific cover artwork and direct capability answers</dc:subject>
  <dc:creator>GovTribe</dc:creator>
  <cp:keywords/>
  <dc:description>Fictional illustrative response</dc:description>
  <cp:lastModifiedBy>GovTribe</cp:lastModifiedBy>
  <cp:revision>1</cp:revision>
  <dcterms:created xsi:type="dcterms:W3CDTF">2013-12-23T23:15:00Z</dcterms:created>
  <dcterms:modified xsi:type="dcterms:W3CDTF">2013-12-23T23:15:00Z</dcterms:modified>
  <cp:category/>
</cp:coreProperties>
</file>