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1C6F1B0" w:rsidR="007B58F0" w:rsidRPr="00735702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8A6BEF">
        <w:rPr>
          <w:b/>
          <w:color w:val="000000" w:themeColor="text1"/>
          <w:sz w:val="28"/>
          <w:szCs w:val="28"/>
        </w:rPr>
        <w:t>3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14A2A9D7" w:rsidR="007B58F0" w:rsidRPr="00735702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8A6BEF">
        <w:rPr>
          <w:rStyle w:val="a9"/>
          <w:sz w:val="28"/>
          <w:szCs w:val="28"/>
        </w:rPr>
        <w:t>Исследование алгоритмов классификации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3F5A6AF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99F9C1A" w:rsidR="00F5706D" w:rsidRP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Знакомство с задачей классификации, изучение методов </w:t>
      </w:r>
      <w:r>
        <w:rPr>
          <w:bCs/>
          <w:sz w:val="28"/>
          <w:szCs w:val="28"/>
          <w:lang w:val="en-US"/>
        </w:rPr>
        <w:t>k</w:t>
      </w:r>
      <w:r w:rsidRPr="008A6BE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ближайших соседей и дерева решений.</w:t>
      </w:r>
      <w:r w:rsidR="00735702" w:rsidRPr="00735702">
        <w:rPr>
          <w:color w:val="000000" w:themeColor="text1"/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662E20F2" w:rsidR="009D2215" w:rsidRPr="009D2215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атрибут, выступающий в роли целевого класса (метки</w:t>
      </w:r>
      <w:r w:rsidRPr="008A6BEF">
        <w:rPr>
          <w:color w:val="000000" w:themeColor="text1"/>
          <w:sz w:val="28"/>
          <w:szCs w:val="28"/>
        </w:rPr>
        <w:t>);</w:t>
      </w:r>
    </w:p>
    <w:p w14:paraId="103BC161" w14:textId="048718EE" w:rsidR="00735702" w:rsidRDefault="008A6BEF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Оценить сбалансированность классов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41D8CBB5" w14:textId="52D00A89" w:rsidR="00735702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Применить методы классификации алгоритмами </w:t>
      </w:r>
      <w:proofErr w:type="spellStart"/>
      <w:r>
        <w:rPr>
          <w:color w:val="000000" w:themeColor="text1"/>
          <w:sz w:val="28"/>
          <w:szCs w:val="28"/>
          <w:lang w:val="en-US"/>
        </w:rPr>
        <w:t>kNN</w:t>
      </w:r>
      <w:proofErr w:type="spellEnd"/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Дерево решений</w:t>
      </w:r>
      <w:r w:rsidRPr="008A6BEF">
        <w:rPr>
          <w:color w:val="000000" w:themeColor="text1"/>
          <w:sz w:val="28"/>
          <w:szCs w:val="28"/>
        </w:rPr>
        <w:t>;</w:t>
      </w:r>
    </w:p>
    <w:p w14:paraId="1230F959" w14:textId="2A72A48D" w:rsidR="008A6BEF" w:rsidRDefault="008A6BEF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Оценить и сравнить результаты метриками оценки качества </w:t>
      </w:r>
      <w:r>
        <w:rPr>
          <w:color w:val="000000" w:themeColor="text1"/>
          <w:sz w:val="28"/>
          <w:szCs w:val="28"/>
          <w:lang w:val="en-US"/>
        </w:rPr>
        <w:t>accuracy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precision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recall</w:t>
      </w:r>
      <w:r w:rsidRPr="008A6BE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</w:t>
      </w:r>
      <w:r w:rsidRPr="008A6BEF"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ROC</w:t>
      </w:r>
      <w:r w:rsidRPr="008A6BEF">
        <w:rPr>
          <w:color w:val="000000" w:themeColor="text1"/>
          <w:sz w:val="28"/>
          <w:szCs w:val="28"/>
        </w:rPr>
        <w:t>;</w:t>
      </w:r>
    </w:p>
    <w:p w14:paraId="0B8FBB64" w14:textId="0017FC81" w:rsidR="009D2215" w:rsidRPr="00735702" w:rsidRDefault="00735702" w:rsidP="00735702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B3AB3DB" w14:textId="232D6148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382B723" w14:textId="7FDD5971" w:rsidR="00735702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Для данной работы был выбран набор данных оценки кредитных рисков, прошедших предварительную обработку и изучение в первой лабораторной работе.</w:t>
      </w:r>
    </w:p>
    <w:p w14:paraId="69BD363D" w14:textId="5AAFF458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Набор данных предназначен для изучения классификации и регрессии. Целевым классом для классификации является </w:t>
      </w:r>
      <w:proofErr w:type="spellStart"/>
      <w:r>
        <w:rPr>
          <w:color w:val="000000" w:themeColor="text1"/>
          <w:sz w:val="28"/>
          <w:szCs w:val="28"/>
          <w:lang w:val="en-US"/>
        </w:rPr>
        <w:t>LoanApproved</w:t>
      </w:r>
      <w:proofErr w:type="spellEnd"/>
      <w:r w:rsidRPr="008A6BEF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бинарный атрибут, отвечающий на вопрос «одобрен ли кредит?».</w:t>
      </w:r>
    </w:p>
    <w:p w14:paraId="2B3DBC32" w14:textId="155F4C4B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оценке сбалансированности этого класса оказалось, что соотношение неодобренных кредитов к одобренным составляет 15220 к 4780, соответственно. Было принято решение провести балансировку методами </w:t>
      </w:r>
      <w:r>
        <w:rPr>
          <w:color w:val="000000" w:themeColor="text1"/>
          <w:sz w:val="28"/>
          <w:szCs w:val="28"/>
          <w:lang w:val="en-US"/>
        </w:rPr>
        <w:t>under</w:t>
      </w:r>
      <w:r w:rsidRPr="008A6BEF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over</w:t>
      </w:r>
      <w:r w:rsidRPr="008A6BE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sampling</w:t>
      </w:r>
      <w:r>
        <w:rPr>
          <w:color w:val="000000" w:themeColor="text1"/>
          <w:sz w:val="28"/>
          <w:szCs w:val="28"/>
        </w:rPr>
        <w:t>, а также проверить результаты для несбалансированного набора данных.</w:t>
      </w:r>
    </w:p>
    <w:p w14:paraId="03FE830F" w14:textId="5592992E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трёх полученных наборов данных был применён алгоритм </w:t>
      </w:r>
      <w:r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</w:rPr>
        <w:t xml:space="preserve">-ближайших соседей с выбором </w:t>
      </w:r>
      <w:r>
        <w:rPr>
          <w:color w:val="000000" w:themeColor="text1"/>
          <w:sz w:val="28"/>
          <w:szCs w:val="28"/>
          <w:lang w:val="en-US"/>
        </w:rPr>
        <w:t>k</w:t>
      </w:r>
      <w:r w:rsidRPr="008A6B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методом плеча. Аналогично была обучена модель дерева решений.</w:t>
      </w:r>
    </w:p>
    <w:p w14:paraId="740B4C94" w14:textId="3D52FD0A" w:rsidR="008A6BEF" w:rsidRDefault="008A6BEF" w:rsidP="008A6B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обучения отображены в таблице 1.</w:t>
      </w:r>
    </w:p>
    <w:p w14:paraId="7248AD80" w14:textId="435F9956" w:rsidR="008A6BEF" w:rsidRDefault="008A6BEF" w:rsidP="008A6BEF">
      <w:pPr>
        <w:pStyle w:val="a8"/>
        <w:keepNext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Результаты классификации.</w:t>
      </w:r>
    </w:p>
    <w:p w14:paraId="33C240E6" w14:textId="2CA447FC" w:rsidR="008A6BEF" w:rsidRPr="008A6BEF" w:rsidRDefault="008A6BEF" w:rsidP="008A6BEF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8A6BEF">
        <w:rPr>
          <w:color w:val="000000" w:themeColor="text1"/>
          <w:sz w:val="28"/>
          <w:szCs w:val="28"/>
        </w:rPr>
        <w:drawing>
          <wp:inline distT="0" distB="0" distL="0" distR="0" wp14:anchorId="356A4E03" wp14:editId="09AF417E">
            <wp:extent cx="5004262" cy="202582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166" cy="20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91B5" w14:textId="77777777" w:rsidR="00E96D42" w:rsidRDefault="00E96D42" w:rsidP="00E96D4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96D42">
        <w:rPr>
          <w:bCs/>
          <w:sz w:val="28"/>
          <w:szCs w:val="28"/>
        </w:rPr>
        <w:t>На основе полученных результатов можно сделать выводы:</w:t>
      </w:r>
    </w:p>
    <w:p w14:paraId="1812975A" w14:textId="77777777" w:rsidR="00E96D42" w:rsidRDefault="00E96D42" w:rsidP="00E96D42">
      <w:pPr>
        <w:pStyle w:val="aa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E96D42">
        <w:rPr>
          <w:bCs/>
          <w:sz w:val="28"/>
          <w:szCs w:val="28"/>
        </w:rPr>
        <w:t>Для данного набора данных классификация деревом решений показывает лучший результат как по сравнению с KNN, так и в общем. Итог ожидаемый, ведь деревья решений хорошо справляются с бинарными метками и являются классическим примером для решения задач одобрения кредитов.</w:t>
      </w:r>
    </w:p>
    <w:p w14:paraId="3C6AD2C9" w14:textId="77777777" w:rsidR="00E96D42" w:rsidRDefault="00E96D42" w:rsidP="00E96D42">
      <w:pPr>
        <w:pStyle w:val="aa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E96D42">
        <w:rPr>
          <w:bCs/>
          <w:sz w:val="28"/>
          <w:szCs w:val="28"/>
        </w:rPr>
        <w:t>Результаты a</w:t>
      </w:r>
      <w:proofErr w:type="spellStart"/>
      <w:r w:rsidRPr="00E96D42">
        <w:rPr>
          <w:bCs/>
          <w:sz w:val="28"/>
          <w:szCs w:val="28"/>
        </w:rPr>
        <w:t>ccuracy</w:t>
      </w:r>
      <w:proofErr w:type="spellEnd"/>
      <w:r w:rsidRPr="00E96D42">
        <w:rPr>
          <w:bCs/>
          <w:sz w:val="28"/>
          <w:szCs w:val="28"/>
        </w:rPr>
        <w:t xml:space="preserve"> для несбалансированных данных хорошо отражают причину недостаточности этой метрики. Для NB KNN </w:t>
      </w:r>
      <w:proofErr w:type="spellStart"/>
      <w:r w:rsidRPr="00E96D42">
        <w:rPr>
          <w:bCs/>
          <w:sz w:val="28"/>
          <w:szCs w:val="28"/>
        </w:rPr>
        <w:t>accuracy</w:t>
      </w:r>
      <w:proofErr w:type="spellEnd"/>
      <w:r w:rsidRPr="00E96D42">
        <w:rPr>
          <w:bCs/>
          <w:sz w:val="28"/>
          <w:szCs w:val="28"/>
        </w:rPr>
        <w:t xml:space="preserve"> = 0.871, хотя более точные метрики показывают результат на 10-20% ниже. Это подчеркивает важность использования разных метрик для качественного анализа результатов модели.</w:t>
      </w:r>
    </w:p>
    <w:p w14:paraId="1DABA74D" w14:textId="77777777" w:rsidR="00E96D42" w:rsidRDefault="00E96D42" w:rsidP="00E96D42">
      <w:pPr>
        <w:pStyle w:val="aa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E96D42">
        <w:rPr>
          <w:bCs/>
          <w:sz w:val="28"/>
          <w:szCs w:val="28"/>
        </w:rPr>
        <w:t>Over-sampling</w:t>
      </w:r>
      <w:proofErr w:type="spellEnd"/>
      <w:r w:rsidRPr="00E96D42">
        <w:rPr>
          <w:bCs/>
          <w:sz w:val="28"/>
          <w:szCs w:val="28"/>
        </w:rPr>
        <w:t xml:space="preserve"> методом SMOTE показало наилучшие результаты, ведь изначальный объем данных не слишком велик.</w:t>
      </w:r>
    </w:p>
    <w:p w14:paraId="0F3FF350" w14:textId="7181DA96" w:rsidR="00E96D42" w:rsidRPr="00E96D42" w:rsidRDefault="00E96D42" w:rsidP="00E96D42">
      <w:pPr>
        <w:pStyle w:val="aa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E96D42">
        <w:rPr>
          <w:bCs/>
          <w:sz w:val="28"/>
          <w:szCs w:val="28"/>
        </w:rPr>
        <w:t xml:space="preserve">Для KNN и DT, как для зависимых от балансировки методов, любая балансировка, даже простой </w:t>
      </w:r>
      <w:proofErr w:type="spellStart"/>
      <w:r w:rsidRPr="00E96D42">
        <w:rPr>
          <w:bCs/>
          <w:sz w:val="28"/>
          <w:szCs w:val="28"/>
        </w:rPr>
        <w:t>under-sampling</w:t>
      </w:r>
      <w:proofErr w:type="spellEnd"/>
      <w:r w:rsidRPr="00E96D42">
        <w:rPr>
          <w:bCs/>
          <w:sz w:val="28"/>
          <w:szCs w:val="28"/>
        </w:rPr>
        <w:t>, улучшает результаты.</w:t>
      </w:r>
    </w:p>
    <w:p w14:paraId="2FD9E038" w14:textId="39A52317" w:rsidR="00C354C1" w:rsidRDefault="007B58F0" w:rsidP="00C354C1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636EAF9" w14:textId="3A5A6A19" w:rsidR="008A6BEF" w:rsidRPr="00483744" w:rsidRDefault="00483744" w:rsidP="008A6BEF">
      <w:pPr>
        <w:pStyle w:val="Times142"/>
        <w:tabs>
          <w:tab w:val="clear" w:pos="709"/>
          <w:tab w:val="left" w:pos="567"/>
        </w:tabs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В ходе работы</w:t>
      </w:r>
      <w:r w:rsidR="008A6BEF">
        <w:rPr>
          <w:bCs/>
          <w:szCs w:val="28"/>
        </w:rPr>
        <w:t xml:space="preserve"> были изучены алгоритмы классификации </w:t>
      </w:r>
      <w:r w:rsidR="008A6BEF">
        <w:rPr>
          <w:bCs/>
          <w:szCs w:val="28"/>
          <w:lang w:val="en-US"/>
        </w:rPr>
        <w:t>KNN</w:t>
      </w:r>
      <w:r w:rsidR="008A6BEF" w:rsidRPr="008A6BEF">
        <w:rPr>
          <w:bCs/>
          <w:szCs w:val="28"/>
        </w:rPr>
        <w:t xml:space="preserve"> </w:t>
      </w:r>
      <w:r w:rsidR="008A6BEF">
        <w:rPr>
          <w:bCs/>
          <w:szCs w:val="28"/>
        </w:rPr>
        <w:t>и дерево решений. Проведено обучение моделей, оценка и сравнение результатов.</w:t>
      </w:r>
      <w:r w:rsidR="00E96D42">
        <w:rPr>
          <w:bCs/>
          <w:szCs w:val="28"/>
        </w:rPr>
        <w:t xml:space="preserve"> </w:t>
      </w:r>
    </w:p>
    <w:sectPr w:rsidR="008A6BEF" w:rsidRPr="00483744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1883F" w14:textId="77777777" w:rsidR="009D3D95" w:rsidRDefault="009D3D95">
      <w:r>
        <w:separator/>
      </w:r>
    </w:p>
  </w:endnote>
  <w:endnote w:type="continuationSeparator" w:id="0">
    <w:p w14:paraId="07CE38EF" w14:textId="77777777" w:rsidR="009D3D95" w:rsidRDefault="009D3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9D3D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6B7E" w14:textId="77777777" w:rsidR="009D3D95" w:rsidRDefault="009D3D95">
      <w:r>
        <w:separator/>
      </w:r>
    </w:p>
  </w:footnote>
  <w:footnote w:type="continuationSeparator" w:id="0">
    <w:p w14:paraId="5ABC752E" w14:textId="77777777" w:rsidR="009D3D95" w:rsidRDefault="009D3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6827284"/>
    <w:multiLevelType w:val="hybridMultilevel"/>
    <w:tmpl w:val="A43633CE"/>
    <w:lvl w:ilvl="0" w:tplc="D8140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F45C94"/>
    <w:multiLevelType w:val="hybridMultilevel"/>
    <w:tmpl w:val="220EEB66"/>
    <w:lvl w:ilvl="0" w:tplc="10028468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90"/>
    <w:rsid w:val="00036D41"/>
    <w:rsid w:val="000C449E"/>
    <w:rsid w:val="001D27CF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483744"/>
    <w:rsid w:val="004F1421"/>
    <w:rsid w:val="005260CA"/>
    <w:rsid w:val="00552694"/>
    <w:rsid w:val="00650A5A"/>
    <w:rsid w:val="00692C68"/>
    <w:rsid w:val="006D6C04"/>
    <w:rsid w:val="00700CA3"/>
    <w:rsid w:val="00735702"/>
    <w:rsid w:val="00771ACD"/>
    <w:rsid w:val="00782251"/>
    <w:rsid w:val="007A5D69"/>
    <w:rsid w:val="007B58F0"/>
    <w:rsid w:val="00835012"/>
    <w:rsid w:val="008364AD"/>
    <w:rsid w:val="008A6BEF"/>
    <w:rsid w:val="009036F9"/>
    <w:rsid w:val="00941EFF"/>
    <w:rsid w:val="009A0621"/>
    <w:rsid w:val="009D2215"/>
    <w:rsid w:val="009D3D95"/>
    <w:rsid w:val="00A24E7E"/>
    <w:rsid w:val="00A7730A"/>
    <w:rsid w:val="00A86962"/>
    <w:rsid w:val="00A873BC"/>
    <w:rsid w:val="00AA4EAC"/>
    <w:rsid w:val="00AA5A0E"/>
    <w:rsid w:val="00AF5B2C"/>
    <w:rsid w:val="00B03A36"/>
    <w:rsid w:val="00B1235B"/>
    <w:rsid w:val="00B131A4"/>
    <w:rsid w:val="00B370F3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268AF"/>
    <w:rsid w:val="00E33DA5"/>
    <w:rsid w:val="00E4005E"/>
    <w:rsid w:val="00E96D42"/>
    <w:rsid w:val="00EA59EE"/>
    <w:rsid w:val="00ED5B47"/>
    <w:rsid w:val="00F50A17"/>
    <w:rsid w:val="00F5706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18</cp:revision>
  <dcterms:created xsi:type="dcterms:W3CDTF">2022-10-04T19:48:00Z</dcterms:created>
  <dcterms:modified xsi:type="dcterms:W3CDTF">2024-11-20T14:40:00Z</dcterms:modified>
</cp:coreProperties>
</file>