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E5642" w14:textId="37B961FD" w:rsidR="005036A1" w:rsidRDefault="413732B5" w:rsidP="6BCA85EC">
      <w:pPr>
        <w:pStyle w:val="Heading2"/>
        <w:spacing w:before="299" w:after="299"/>
        <w:ind w:left="720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</w:t>
      </w:r>
      <w:r w:rsidR="10A8D821" w:rsidRPr="6BCA85EC">
        <w:rPr>
          <w:rFonts w:ascii="Times New Roman" w:eastAsia="Times New Roman" w:hAnsi="Times New Roman" w:cs="Times New Roman"/>
          <w:b/>
          <w:bCs/>
          <w:color w:val="0070C0"/>
        </w:rPr>
        <w:t>J</w:t>
      </w:r>
      <w:r w:rsidR="10A8D821"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ay Ngin | 1001 Sawgrass Dr, Tarpon Springs FL </w:t>
      </w:r>
      <w:r w:rsidR="2DC4C0C1"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34689</w:t>
      </w:r>
    </w:p>
    <w:p w14:paraId="4DC297DD" w14:textId="2238F575" w:rsidR="005036A1" w:rsidRDefault="4B5123B3" w:rsidP="4138E095">
      <w:pPr>
        <w:pStyle w:val="Heading2"/>
        <w:spacing w:before="299" w:after="299"/>
        <w:ind w:left="720" w:firstLine="720"/>
        <w:rPr>
          <w:rFonts w:ascii="Times New Roman" w:eastAsia="Times New Roman" w:hAnsi="Times New Roman" w:cs="Times New Roman"/>
          <w:b/>
          <w:bCs/>
          <w:color w:val="00B0F0"/>
          <w:sz w:val="28"/>
          <w:szCs w:val="28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727-238-1634</w:t>
      </w:r>
      <w:r w:rsidR="7DEA439C"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hyperlink r:id="rId5">
        <w:r w:rsidR="7DEA439C" w:rsidRPr="6BCA85EC">
          <w:rPr>
            <w:rStyle w:val="Hyperlink"/>
            <w:color w:val="0070C0"/>
          </w:rPr>
          <w:t>LinkedIn</w:t>
        </w:r>
      </w:hyperlink>
      <w:r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r w:rsidR="33EB4F8B"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r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| </w:t>
      </w:r>
      <w:hyperlink r:id="rId6">
        <w:r w:rsidRPr="6BCA85EC">
          <w:rPr>
            <w:rStyle w:val="Hyperlink"/>
            <w:rFonts w:ascii="Times New Roman" w:eastAsia="Times New Roman" w:hAnsi="Times New Roman" w:cs="Times New Roman"/>
            <w:b/>
            <w:bCs/>
            <w:color w:val="0070C0"/>
            <w:sz w:val="28"/>
            <w:szCs w:val="28"/>
          </w:rPr>
          <w:t>jay_ngin@hotmail.com</w:t>
        </w:r>
      </w:hyperlink>
      <w:r w:rsidR="2549F7A3"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</w:t>
      </w:r>
    </w:p>
    <w:p w14:paraId="6A6D654F" w14:textId="6376272B" w:rsidR="005036A1" w:rsidRDefault="2549F7A3" w:rsidP="6BCA85EC">
      <w:pPr>
        <w:pStyle w:val="Heading2"/>
        <w:spacing w:before="299" w:after="299"/>
        <w:ind w:left="720" w:firstLine="720"/>
        <w:rPr>
          <w:rFonts w:ascii="Times New Roman" w:eastAsia="Times New Roman" w:hAnsi="Times New Roman" w:cs="Times New Roman"/>
          <w:b/>
          <w:bCs/>
          <w:color w:val="0070C0"/>
        </w:rPr>
      </w:pPr>
      <w:r w:rsidRPr="6BCA85EC">
        <w:rPr>
          <w:rFonts w:ascii="Times New Roman" w:eastAsia="Times New Roman" w:hAnsi="Times New Roman" w:cs="Times New Roman"/>
          <w:b/>
          <w:bCs/>
        </w:rPr>
        <w:t xml:space="preserve"> </w:t>
      </w:r>
    </w:p>
    <w:p w14:paraId="1A26D3B9" w14:textId="28C129A4" w:rsidR="005036A1" w:rsidRDefault="4DAA7D6A" w:rsidP="4138E095">
      <w:pPr>
        <w:pStyle w:val="Heading2"/>
        <w:spacing w:before="299" w:after="299"/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</w:pPr>
      <w:r w:rsidRPr="4138E09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Jay Ngin – Senior </w:t>
      </w:r>
      <w:r w:rsidR="5A7E808A" w:rsidRPr="4138E09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Site Reliability /</w:t>
      </w:r>
      <w:r w:rsidR="2A6A45BE" w:rsidRPr="4138E09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Observability</w:t>
      </w:r>
      <w:r w:rsidR="5A7E808A" w:rsidRPr="4138E09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AI Engineer</w:t>
      </w:r>
      <w:r w:rsidR="2175993E" w:rsidRPr="4138E095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/ Architect</w:t>
      </w:r>
    </w:p>
    <w:p w14:paraId="7E3C18D5" w14:textId="5ECBBADA" w:rsidR="005036A1" w:rsidRDefault="65F1FF14" w:rsidP="3A6F37E3">
      <w:pPr>
        <w:spacing w:before="240" w:after="240"/>
      </w:pPr>
      <w:r w:rsidRPr="3A6F37E3">
        <w:rPr>
          <w:rFonts w:ascii="Times New Roman" w:eastAsia="Times New Roman" w:hAnsi="Times New Roman" w:cs="Times New Roman"/>
          <w:b/>
          <w:bCs/>
          <w:color w:val="0070C0"/>
        </w:rPr>
        <w:t>Senior Site Reliability Engineer</w:t>
      </w:r>
      <w:r w:rsidRPr="3A6F37E3">
        <w:rPr>
          <w:rFonts w:ascii="Times New Roman" w:eastAsia="Times New Roman" w:hAnsi="Times New Roman" w:cs="Times New Roman"/>
          <w:color w:val="0070C0"/>
        </w:rPr>
        <w:t xml:space="preserve"> </w:t>
      </w:r>
      <w:r w:rsidRPr="3A6F37E3">
        <w:rPr>
          <w:rFonts w:ascii="Times New Roman" w:eastAsia="Times New Roman" w:hAnsi="Times New Roman" w:cs="Times New Roman"/>
        </w:rPr>
        <w:t xml:space="preserve">– Kemper Corporation, Jacksonville, FL </w:t>
      </w:r>
      <w:r w:rsidRPr="3A6F37E3">
        <w:rPr>
          <w:rFonts w:ascii="Times New Roman" w:eastAsia="Times New Roman" w:hAnsi="Times New Roman" w:cs="Times New Roman"/>
          <w:i/>
          <w:iCs/>
        </w:rPr>
        <w:t>(Oct 2019 – Jan 2025)</w:t>
      </w:r>
    </w:p>
    <w:p w14:paraId="1F2D9BC0" w14:textId="4B622B0E" w:rsidR="005036A1" w:rsidRDefault="65F1FF14" w:rsidP="3A6F37E3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3A6F37E3">
        <w:rPr>
          <w:rFonts w:ascii="Times New Roman" w:eastAsia="Times New Roman" w:hAnsi="Times New Roman" w:cs="Times New Roman"/>
        </w:rPr>
        <w:t>Architected and operated AWS/EKS production environments (EKS, EC2, IAM, VPC, S3), migrating 90+ applications (~10,000 nodes) to a highly available, autoscaling Kubernetes platform.</w:t>
      </w:r>
    </w:p>
    <w:p w14:paraId="0B9F6DB6" w14:textId="69A187DA" w:rsidR="005036A1" w:rsidRDefault="7FFF0156" w:rsidP="3A6F37E3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73451A4E">
        <w:rPr>
          <w:rFonts w:ascii="Times New Roman" w:eastAsia="Times New Roman" w:hAnsi="Times New Roman" w:cs="Times New Roman"/>
        </w:rPr>
        <w:t xml:space="preserve">Built and optimized CI/CD pipelines using Jenkins, Ansible and GitOps (GitLab/GitHub Actions) for zero-downtime deployments and rapid </w:t>
      </w:r>
      <w:r w:rsidR="021473A0" w:rsidRPr="73451A4E">
        <w:rPr>
          <w:rFonts w:ascii="Times New Roman" w:eastAsia="Times New Roman" w:hAnsi="Times New Roman" w:cs="Times New Roman"/>
        </w:rPr>
        <w:t>release of</w:t>
      </w:r>
      <w:r w:rsidRPr="73451A4E">
        <w:rPr>
          <w:rFonts w:ascii="Times New Roman" w:eastAsia="Times New Roman" w:hAnsi="Times New Roman" w:cs="Times New Roman"/>
        </w:rPr>
        <w:t xml:space="preserve"> velocity</w:t>
      </w:r>
      <w:r w:rsidR="5AC133ED" w:rsidRPr="73451A4E">
        <w:rPr>
          <w:rFonts w:ascii="Times New Roman" w:eastAsia="Times New Roman" w:hAnsi="Times New Roman" w:cs="Times New Roman"/>
        </w:rPr>
        <w:t xml:space="preserve"> packages</w:t>
      </w:r>
      <w:r w:rsidRPr="73451A4E">
        <w:rPr>
          <w:rFonts w:ascii="Times New Roman" w:eastAsia="Times New Roman" w:hAnsi="Times New Roman" w:cs="Times New Roman"/>
        </w:rPr>
        <w:t>. Deployed .NET services (via Visual Studio) and microservices with container workflows.</w:t>
      </w:r>
    </w:p>
    <w:p w14:paraId="722D4CC8" w14:textId="17C0CFA3" w:rsidR="005036A1" w:rsidRDefault="4062981F" w:rsidP="3A6F37E3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58B23142">
        <w:rPr>
          <w:rFonts w:ascii="Times New Roman" w:eastAsia="Times New Roman" w:hAnsi="Times New Roman" w:cs="Times New Roman"/>
        </w:rPr>
        <w:t xml:space="preserve">Implemented full-stack observability: deployed Prometheus/Grafana metrics, ELK/CloudWatch logs, and </w:t>
      </w:r>
      <w:r w:rsidR="5678CE15" w:rsidRPr="58B23142">
        <w:rPr>
          <w:rFonts w:ascii="Times New Roman" w:eastAsia="Times New Roman" w:hAnsi="Times New Roman" w:cs="Times New Roman"/>
        </w:rPr>
        <w:t xml:space="preserve">integrated Splunk ITSI with ServiceNow.  Created multiple Business Analytic </w:t>
      </w:r>
      <w:r w:rsidRPr="58B23142">
        <w:rPr>
          <w:rFonts w:ascii="Times New Roman" w:eastAsia="Times New Roman" w:hAnsi="Times New Roman" w:cs="Times New Roman"/>
        </w:rPr>
        <w:t>dashboards to achieve proactive monitoring. Defined SLOs/SLIs (99.99% uptime targets) and error budgets to drive reliability engineering.</w:t>
      </w:r>
    </w:p>
    <w:p w14:paraId="7BA1098B" w14:textId="3D427247" w:rsidR="005036A1" w:rsidRDefault="4062981F" w:rsidP="3A6F37E3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58B23142">
        <w:rPr>
          <w:rFonts w:ascii="Times New Roman" w:eastAsia="Times New Roman" w:hAnsi="Times New Roman" w:cs="Times New Roman"/>
        </w:rPr>
        <w:t>Leveraged AI/AIOps for incidents: introduced predictive alerting and GenAI-assisted RCA (using tools like Dynatrace Davis and custom LLM agents</w:t>
      </w:r>
      <w:r w:rsidR="4C7658AD" w:rsidRPr="58B23142">
        <w:rPr>
          <w:rFonts w:ascii="Times New Roman" w:eastAsia="Times New Roman" w:hAnsi="Times New Roman" w:cs="Times New Roman"/>
        </w:rPr>
        <w:t>, and Appdynamics Agents</w:t>
      </w:r>
      <w:r w:rsidRPr="58B23142">
        <w:rPr>
          <w:rFonts w:ascii="Times New Roman" w:eastAsia="Times New Roman" w:hAnsi="Times New Roman" w:cs="Times New Roman"/>
        </w:rPr>
        <w:t>) that cut MTTR by 30–60%. Automated alert correlation and runbook generation with machine learning.</w:t>
      </w:r>
    </w:p>
    <w:p w14:paraId="1DB703E9" w14:textId="36A5D463" w:rsidR="005036A1" w:rsidRDefault="65F1FF14" w:rsidP="3A6F37E3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3A6F37E3">
        <w:rPr>
          <w:rFonts w:ascii="Times New Roman" w:eastAsia="Times New Roman" w:hAnsi="Times New Roman" w:cs="Times New Roman"/>
        </w:rPr>
        <w:t>Managed databases and performance tuning: administered PostgreSQL and Redis data stores, diagnosing and resolving production issues (OOM kills, deadlock resolution, latency bottlenecks) to improve service stability.</w:t>
      </w:r>
    </w:p>
    <w:p w14:paraId="3D35651E" w14:textId="7C920654" w:rsidR="005036A1" w:rsidRDefault="4062981F" w:rsidP="3A6F37E3">
      <w:pPr>
        <w:pStyle w:val="ListParagraph"/>
        <w:numPr>
          <w:ilvl w:val="0"/>
          <w:numId w:val="12"/>
        </w:numPr>
        <w:spacing w:before="240" w:after="240"/>
        <w:rPr>
          <w:rFonts w:ascii="Times New Roman" w:eastAsia="Times New Roman" w:hAnsi="Times New Roman" w:cs="Times New Roman"/>
        </w:rPr>
      </w:pPr>
      <w:r w:rsidRPr="58B23142">
        <w:rPr>
          <w:rFonts w:ascii="Times New Roman" w:eastAsia="Times New Roman" w:hAnsi="Times New Roman" w:cs="Times New Roman"/>
        </w:rPr>
        <w:t>Enforced compliance and governance</w:t>
      </w:r>
      <w:r w:rsidR="37AA69C0" w:rsidRPr="58B23142">
        <w:rPr>
          <w:rFonts w:ascii="Times New Roman" w:eastAsia="Times New Roman" w:hAnsi="Times New Roman" w:cs="Times New Roman"/>
        </w:rPr>
        <w:t xml:space="preserve"> using IAM and CyberArck tools</w:t>
      </w:r>
      <w:r w:rsidRPr="58B23142">
        <w:rPr>
          <w:rFonts w:ascii="Times New Roman" w:eastAsia="Times New Roman" w:hAnsi="Times New Roman" w:cs="Times New Roman"/>
        </w:rPr>
        <w:t>: collaborated with security and compliance teams to meet SOC2, PCI-DSS and HIPAA requirements. Implemented policy-as-code (OPA) and automated pipeline security checks for audit-ready deployments.</w:t>
      </w:r>
    </w:p>
    <w:p w14:paraId="4E242664" w14:textId="11A12AF7" w:rsidR="005036A1" w:rsidRDefault="62439ECF" w:rsidP="6BCA85EC">
      <w:pPr>
        <w:spacing w:before="240" w:after="240"/>
        <w:rPr>
          <w:rFonts w:ascii="Aptos" w:eastAsia="Aptos" w:hAnsi="Aptos" w:cs="Aptos"/>
          <w:b/>
          <w:bCs/>
          <w:color w:val="00B0F0"/>
          <w:sz w:val="28"/>
          <w:szCs w:val="28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Leadership &amp; Collaboration: </w:t>
      </w:r>
      <w:r w:rsidRPr="6BCA85EC">
        <w:rPr>
          <w:rFonts w:ascii="Times New Roman" w:eastAsia="Times New Roman" w:hAnsi="Times New Roman" w:cs="Times New Roman"/>
        </w:rPr>
        <w:t>Led cross-functional SRE and DevOps teams (remote and on-site), mentoring engineers in best practices. Coordinated global on-call rotations and conducted blameless postmortems to foster continuous improvement and knowledge sharing.</w:t>
      </w:r>
    </w:p>
    <w:p w14:paraId="4A09789F" w14:textId="3D46DC0D" w:rsidR="6BCA85EC" w:rsidRDefault="6BCA85EC" w:rsidP="6BCA85EC">
      <w:pPr>
        <w:spacing w:before="240" w:after="240"/>
        <w:rPr>
          <w:rFonts w:ascii="Aptos" w:eastAsia="Aptos" w:hAnsi="Aptos" w:cs="Aptos"/>
          <w:b/>
          <w:bCs/>
          <w:color w:val="00B0F0"/>
          <w:sz w:val="28"/>
          <w:szCs w:val="28"/>
        </w:rPr>
      </w:pPr>
    </w:p>
    <w:p w14:paraId="10C1B5CF" w14:textId="4194B9E5" w:rsidR="005036A1" w:rsidRDefault="73392F92" w:rsidP="58B23142">
      <w:pPr>
        <w:spacing w:before="240" w:after="240"/>
        <w:rPr>
          <w:rFonts w:ascii="Aptos" w:eastAsia="Aptos" w:hAnsi="Aptos" w:cs="Aptos"/>
          <w:b/>
          <w:bCs/>
          <w:color w:val="00B0F0"/>
          <w:sz w:val="28"/>
          <w:szCs w:val="28"/>
        </w:rPr>
      </w:pPr>
      <w:r w:rsidRPr="58B23142">
        <w:rPr>
          <w:rFonts w:ascii="Aptos" w:eastAsia="Aptos" w:hAnsi="Aptos" w:cs="Aptos"/>
          <w:b/>
          <w:bCs/>
          <w:color w:val="00B0F0"/>
          <w:sz w:val="28"/>
          <w:szCs w:val="28"/>
        </w:rPr>
        <w:lastRenderedPageBreak/>
        <w:t>Platform Engineering / GitOps</w:t>
      </w:r>
    </w:p>
    <w:p w14:paraId="368C014F" w14:textId="7D653687" w:rsidR="005036A1" w:rsidRDefault="73392F92" w:rsidP="58B23142">
      <w:pPr>
        <w:pStyle w:val="ListParagraph"/>
        <w:numPr>
          <w:ilvl w:val="0"/>
          <w:numId w:val="12"/>
        </w:numPr>
        <w:spacing w:before="240" w:after="240"/>
        <w:rPr>
          <w:rFonts w:ascii="Aptos" w:eastAsia="Aptos" w:hAnsi="Aptos" w:cs="Aptos"/>
        </w:rPr>
      </w:pPr>
      <w:r w:rsidRPr="58B23142">
        <w:rPr>
          <w:rFonts w:ascii="Aptos" w:eastAsia="Aptos" w:hAnsi="Aptos" w:cs="Aptos"/>
        </w:rPr>
        <w:t xml:space="preserve">• Implemented GitOps architecture using </w:t>
      </w:r>
      <w:r w:rsidRPr="58B23142">
        <w:rPr>
          <w:rFonts w:ascii="Aptos" w:eastAsia="Aptos" w:hAnsi="Aptos" w:cs="Aptos"/>
          <w:b/>
          <w:bCs/>
        </w:rPr>
        <w:t>ArgoCD</w:t>
      </w:r>
      <w:r w:rsidRPr="58B23142">
        <w:rPr>
          <w:rFonts w:ascii="Aptos" w:eastAsia="Aptos" w:hAnsi="Aptos" w:cs="Aptos"/>
        </w:rPr>
        <w:t xml:space="preserve"> to manage Kubernetes cluster deployments across multiple environments</w:t>
      </w:r>
      <w:r w:rsidR="00000000">
        <w:br/>
      </w:r>
      <w:r w:rsidRPr="58B23142">
        <w:rPr>
          <w:rFonts w:ascii="Aptos" w:eastAsia="Aptos" w:hAnsi="Aptos" w:cs="Aptos"/>
        </w:rPr>
        <w:t xml:space="preserve"> • Developed platform automation using </w:t>
      </w:r>
      <w:r w:rsidRPr="58B23142">
        <w:rPr>
          <w:rFonts w:ascii="Aptos" w:eastAsia="Aptos" w:hAnsi="Aptos" w:cs="Aptos"/>
          <w:b/>
          <w:bCs/>
        </w:rPr>
        <w:t>Ansible playbooks</w:t>
      </w:r>
      <w:r w:rsidRPr="58B23142">
        <w:rPr>
          <w:rFonts w:ascii="Aptos" w:eastAsia="Aptos" w:hAnsi="Aptos" w:cs="Aptos"/>
        </w:rPr>
        <w:t xml:space="preserve"> for cluster provisioning and application deployments</w:t>
      </w:r>
      <w:r w:rsidR="00000000">
        <w:br/>
      </w:r>
      <w:r w:rsidRPr="58B23142">
        <w:rPr>
          <w:rFonts w:ascii="Aptos" w:eastAsia="Aptos" w:hAnsi="Aptos" w:cs="Aptos"/>
        </w:rPr>
        <w:t xml:space="preserve"> • Built </w:t>
      </w:r>
      <w:r w:rsidRPr="58B23142">
        <w:rPr>
          <w:rFonts w:ascii="Aptos" w:eastAsia="Aptos" w:hAnsi="Aptos" w:cs="Aptos"/>
          <w:b/>
          <w:bCs/>
        </w:rPr>
        <w:t>event-driven remediation systems</w:t>
      </w:r>
      <w:r w:rsidRPr="58B23142">
        <w:rPr>
          <w:rFonts w:ascii="Aptos" w:eastAsia="Aptos" w:hAnsi="Aptos" w:cs="Aptos"/>
        </w:rPr>
        <w:t xml:space="preserve"> where monitoring alerts triggered automated infrastructure recovery</w:t>
      </w:r>
      <w:r w:rsidR="00000000">
        <w:br/>
      </w:r>
      <w:r w:rsidRPr="58B23142">
        <w:rPr>
          <w:rFonts w:ascii="Aptos" w:eastAsia="Aptos" w:hAnsi="Aptos" w:cs="Aptos"/>
        </w:rPr>
        <w:t xml:space="preserve"> • Standardized cluster configurations ensuring </w:t>
      </w:r>
      <w:r w:rsidRPr="58B23142">
        <w:rPr>
          <w:rFonts w:ascii="Aptos" w:eastAsia="Aptos" w:hAnsi="Aptos" w:cs="Aptos"/>
          <w:b/>
          <w:bCs/>
        </w:rPr>
        <w:t>95% configuration parity across environments</w:t>
      </w:r>
      <w:r w:rsidR="00000000">
        <w:br/>
      </w:r>
      <w:r w:rsidRPr="58B23142">
        <w:rPr>
          <w:rFonts w:ascii="Aptos" w:eastAsia="Aptos" w:hAnsi="Aptos" w:cs="Aptos"/>
        </w:rPr>
        <w:t xml:space="preserve"> • Integrated </w:t>
      </w:r>
      <w:r w:rsidRPr="58B23142">
        <w:rPr>
          <w:rFonts w:ascii="Aptos" w:eastAsia="Aptos" w:hAnsi="Aptos" w:cs="Aptos"/>
          <w:b/>
          <w:bCs/>
        </w:rPr>
        <w:t>AI-driven predictive monitoring</w:t>
      </w:r>
      <w:r w:rsidRPr="58B23142">
        <w:rPr>
          <w:rFonts w:ascii="Aptos" w:eastAsia="Aptos" w:hAnsi="Aptos" w:cs="Aptos"/>
        </w:rPr>
        <w:t xml:space="preserve"> to detect anomalies and reduce MTTR</w:t>
      </w:r>
    </w:p>
    <w:p w14:paraId="4307EFEC" w14:textId="2464EC2B" w:rsidR="005036A1" w:rsidRDefault="7E37CE0A" w:rsidP="3A6F37E3">
      <w:pPr>
        <w:pStyle w:val="Heading3"/>
        <w:spacing w:before="281" w:after="281"/>
        <w:rPr>
          <w:rFonts w:ascii="Times New Roman" w:eastAsia="Times New Roman" w:hAnsi="Times New Roman" w:cs="Times New Roman"/>
          <w:color w:val="0070C0"/>
        </w:rPr>
      </w:pPr>
      <w:r w:rsidRPr="3A6F37E3">
        <w:rPr>
          <w:rFonts w:ascii="Times New Roman" w:eastAsia="Times New Roman" w:hAnsi="Times New Roman" w:cs="Times New Roman"/>
          <w:b/>
          <w:bCs/>
          <w:color w:val="0070C0"/>
        </w:rPr>
        <w:t>Cloud Infrastructure &amp; Kubernetes</w:t>
      </w:r>
    </w:p>
    <w:p w14:paraId="159C263D" w14:textId="35D1D663" w:rsidR="005036A1" w:rsidRDefault="7E37CE0A" w:rsidP="3A6F37E3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Operated AWS production environments using EKS, EC2, IAM, VPC, S3, and CloudWatch.</w:t>
      </w:r>
    </w:p>
    <w:p w14:paraId="254C783D" w14:textId="430D692C" w:rsidR="005036A1" w:rsidRDefault="7E37CE0A" w:rsidP="3A6F37E3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Managed Kubernetes workloads supporting microservice deployments and autoscaling architectures.</w:t>
      </w:r>
    </w:p>
    <w:p w14:paraId="5A62CECC" w14:textId="16D3F726" w:rsidR="005036A1" w:rsidRDefault="7E37CE0A" w:rsidP="3A6F37E3">
      <w:pPr>
        <w:pStyle w:val="ListParagraph"/>
        <w:numPr>
          <w:ilvl w:val="0"/>
          <w:numId w:val="10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Worked closely with DevOps teams to ensure reliable CI/CD deployment workflows.</w:t>
      </w:r>
    </w:p>
    <w:p w14:paraId="7418329B" w14:textId="1A8F1098" w:rsidR="005036A1" w:rsidRDefault="7E37CE0A" w:rsidP="3A6F37E3">
      <w:pPr>
        <w:pStyle w:val="Heading3"/>
        <w:spacing w:before="281" w:after="281"/>
        <w:rPr>
          <w:rFonts w:ascii="Times New Roman" w:eastAsia="Times New Roman" w:hAnsi="Times New Roman" w:cs="Times New Roman"/>
          <w:color w:val="0070C0"/>
        </w:rPr>
      </w:pPr>
      <w:r w:rsidRPr="3A6F37E3">
        <w:rPr>
          <w:rFonts w:ascii="Times New Roman" w:eastAsia="Times New Roman" w:hAnsi="Times New Roman" w:cs="Times New Roman"/>
          <w:b/>
          <w:bCs/>
          <w:color w:val="0070C0"/>
        </w:rPr>
        <w:t>DevOps &amp; CI/CD Pipelines</w:t>
      </w:r>
    </w:p>
    <w:p w14:paraId="4616B930" w14:textId="5CE345C5" w:rsidR="005036A1" w:rsidRDefault="7E37CE0A" w:rsidP="3A6F37E3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Implemented CI/CD pipelines using Jenkins integrated with Ansible automation.</w:t>
      </w:r>
    </w:p>
    <w:p w14:paraId="0F66A3CB" w14:textId="48405068" w:rsidR="005036A1" w:rsidRDefault="7E37CE0A" w:rsidP="3A6F37E3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Supported build and deployment workflows from development environments using Visual Studio and version-controlled repositories.</w:t>
      </w:r>
    </w:p>
    <w:p w14:paraId="1AE13DB7" w14:textId="68822B84" w:rsidR="005036A1" w:rsidRDefault="7E37CE0A" w:rsidP="3A6F37E3">
      <w:pPr>
        <w:pStyle w:val="ListParagraph"/>
        <w:numPr>
          <w:ilvl w:val="0"/>
          <w:numId w:val="9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Enabled automated deployment and scaling of containerized workloads in Kubernetes.</w:t>
      </w:r>
    </w:p>
    <w:p w14:paraId="3BC8D041" w14:textId="162D575E" w:rsidR="005036A1" w:rsidRDefault="7E37CE0A" w:rsidP="3A6F37E3">
      <w:pPr>
        <w:pStyle w:val="Heading3"/>
        <w:spacing w:before="281" w:after="281"/>
        <w:rPr>
          <w:rFonts w:ascii="Aptos" w:eastAsia="Aptos" w:hAnsi="Aptos" w:cs="Aptos"/>
          <w:color w:val="0070C0"/>
        </w:rPr>
      </w:pPr>
      <w:r w:rsidRPr="3A6F37E3">
        <w:rPr>
          <w:rFonts w:ascii="Times New Roman" w:eastAsia="Times New Roman" w:hAnsi="Times New Roman" w:cs="Times New Roman"/>
          <w:b/>
          <w:bCs/>
          <w:color w:val="0070C0"/>
        </w:rPr>
        <w:t>Database &amp; System Performance Optimization</w:t>
      </w:r>
    </w:p>
    <w:p w14:paraId="12244E98" w14:textId="398F0138" w:rsidR="005036A1" w:rsidRDefault="7E37CE0A" w:rsidP="3A6F37E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Supported PostgreSQL and Redis workloads used by production services.</w:t>
      </w:r>
    </w:p>
    <w:p w14:paraId="7A977184" w14:textId="48F2F733" w:rsidR="005036A1" w:rsidRDefault="7E37CE0A" w:rsidP="3A6F37E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Investigated and resolved production issues including:</w:t>
      </w:r>
    </w:p>
    <w:p w14:paraId="27F7B8CD" w14:textId="69580013" w:rsidR="005036A1" w:rsidRDefault="7E37CE0A" w:rsidP="3A6F37E3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Out-of-memory (OOM) events</w:t>
      </w:r>
    </w:p>
    <w:p w14:paraId="44DC754A" w14:textId="5C38A4FE" w:rsidR="005036A1" w:rsidRDefault="7E37CE0A" w:rsidP="3A6F37E3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Database deadlocks</w:t>
      </w:r>
    </w:p>
    <w:p w14:paraId="7928DEDB" w14:textId="17D064B4" w:rsidR="005036A1" w:rsidRDefault="7E37CE0A" w:rsidP="3A6F37E3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Resource saturation</w:t>
      </w:r>
    </w:p>
    <w:p w14:paraId="25D07AE9" w14:textId="614BBE30" w:rsidR="005036A1" w:rsidRDefault="7E37CE0A" w:rsidP="3A6F37E3">
      <w:pPr>
        <w:pStyle w:val="ListParagraph"/>
        <w:numPr>
          <w:ilvl w:val="1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Application latency bottlenecks</w:t>
      </w:r>
    </w:p>
    <w:p w14:paraId="4B263F90" w14:textId="3164E126" w:rsidR="005036A1" w:rsidRDefault="7E37CE0A" w:rsidP="3A6F37E3">
      <w:pPr>
        <w:pStyle w:val="ListParagraph"/>
        <w:numPr>
          <w:ilvl w:val="0"/>
          <w:numId w:val="8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lastRenderedPageBreak/>
        <w:t>Collaborated with developers to improve application packages and optimize resource utilization.</w:t>
      </w:r>
    </w:p>
    <w:p w14:paraId="2EBFEC1F" w14:textId="3C76B3CC" w:rsidR="005036A1" w:rsidRDefault="7E37CE0A" w:rsidP="3A6F37E3">
      <w:pPr>
        <w:pStyle w:val="Heading3"/>
        <w:spacing w:before="281" w:after="281"/>
        <w:rPr>
          <w:rFonts w:ascii="Times New Roman" w:eastAsia="Times New Roman" w:hAnsi="Times New Roman" w:cs="Times New Roman"/>
          <w:sz w:val="24"/>
          <w:szCs w:val="24"/>
        </w:rPr>
      </w:pPr>
      <w:r w:rsidRPr="3A6F37E3">
        <w:rPr>
          <w:rFonts w:ascii="Times New Roman" w:eastAsia="Times New Roman" w:hAnsi="Times New Roman" w:cs="Times New Roman"/>
          <w:b/>
          <w:bCs/>
          <w:color w:val="0070C0"/>
          <w:sz w:val="24"/>
          <w:szCs w:val="24"/>
        </w:rPr>
        <w:t>Observability &amp; Monitoring</w:t>
      </w:r>
    </w:p>
    <w:p w14:paraId="6896BA17" w14:textId="10AEDFEE" w:rsidR="005036A1" w:rsidRDefault="7E37CE0A" w:rsidP="3A6F37E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Built full-stack observability platform integrating Prometheus, CloudWatch, AppDynamics, and Splunk ITSI.</w:t>
      </w:r>
    </w:p>
    <w:p w14:paraId="44FCDA5A" w14:textId="2476A654" w:rsidR="005036A1" w:rsidRDefault="7E37CE0A" w:rsidP="3A6F37E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Designed alerting strategies to balance signal coverage with noise reduction to prevent alert fatigue.</w:t>
      </w:r>
    </w:p>
    <w:p w14:paraId="1D8DD7E9" w14:textId="2E91A503" w:rsidR="005036A1" w:rsidRDefault="7E37CE0A" w:rsidP="3A6F37E3">
      <w:pPr>
        <w:pStyle w:val="ListParagraph"/>
        <w:numPr>
          <w:ilvl w:val="0"/>
          <w:numId w:val="7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Implemented telemetry dashboards for service reliability, latency tracking, and system health.</w:t>
      </w:r>
    </w:p>
    <w:p w14:paraId="111FC1DF" w14:textId="0CF6080B" w:rsidR="005036A1" w:rsidRDefault="7E37CE0A" w:rsidP="3A6F37E3">
      <w:pPr>
        <w:pStyle w:val="Heading3"/>
        <w:spacing w:before="281" w:after="281"/>
        <w:rPr>
          <w:rFonts w:ascii="Times New Roman" w:eastAsia="Times New Roman" w:hAnsi="Times New Roman" w:cs="Times New Roman"/>
          <w:color w:val="0070C0"/>
        </w:rPr>
      </w:pPr>
      <w:r w:rsidRPr="3A6F37E3">
        <w:rPr>
          <w:rFonts w:ascii="Times New Roman" w:eastAsia="Times New Roman" w:hAnsi="Times New Roman" w:cs="Times New Roman"/>
          <w:b/>
          <w:bCs/>
          <w:color w:val="0070C0"/>
        </w:rPr>
        <w:t>Incident Response &amp; Reliability Engineering</w:t>
      </w:r>
    </w:p>
    <w:p w14:paraId="203D99EF" w14:textId="09553E60" w:rsidR="005036A1" w:rsidRDefault="7E37CE0A" w:rsidP="3A6F37E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Led incident response during production outages and high-severity incidents.</w:t>
      </w:r>
      <w:r w:rsidR="4718167E" w:rsidRPr="3A6F37E3">
        <w:rPr>
          <w:rFonts w:ascii="Aptos" w:eastAsia="Aptos" w:hAnsi="Aptos" w:cs="Aptos"/>
          <w:color w:val="000000" w:themeColor="text1"/>
        </w:rPr>
        <w:t xml:space="preserve"> Support Sev 1 to 4 for outages across production ecosystems</w:t>
      </w:r>
    </w:p>
    <w:p w14:paraId="66A0D62B" w14:textId="5BDC4E93" w:rsidR="005036A1" w:rsidRDefault="7E37CE0A" w:rsidP="3A6F37E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Conducted root cause analysis and produced detailed post-incident reports.</w:t>
      </w:r>
    </w:p>
    <w:p w14:paraId="6EA92DEF" w14:textId="3C7F63F6" w:rsidR="005036A1" w:rsidRDefault="7E37CE0A" w:rsidP="3A6F37E3">
      <w:pPr>
        <w:pStyle w:val="ListParagraph"/>
        <w:numPr>
          <w:ilvl w:val="0"/>
          <w:numId w:val="6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Developed runbooks and escalation procedures to improve on-call efficiency.</w:t>
      </w:r>
    </w:p>
    <w:p w14:paraId="7B5DB079" w14:textId="72203B61" w:rsidR="005036A1" w:rsidRDefault="7E37CE0A" w:rsidP="3A6F37E3">
      <w:pPr>
        <w:pStyle w:val="Heading3"/>
        <w:spacing w:before="281" w:after="281"/>
        <w:rPr>
          <w:rFonts w:ascii="Times New Roman" w:eastAsia="Times New Roman" w:hAnsi="Times New Roman" w:cs="Times New Roman"/>
        </w:rPr>
      </w:pPr>
      <w:r w:rsidRPr="3A6F37E3">
        <w:rPr>
          <w:rFonts w:ascii="Times New Roman" w:eastAsia="Times New Roman" w:hAnsi="Times New Roman" w:cs="Times New Roman"/>
          <w:b/>
          <w:bCs/>
          <w:color w:val="0070C0"/>
        </w:rPr>
        <w:t>Cross-Team Collaboration</w:t>
      </w:r>
    </w:p>
    <w:p w14:paraId="69ABDBD0" w14:textId="680A8104" w:rsidR="005036A1" w:rsidRDefault="7E37CE0A" w:rsidP="3A6F37E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Partnered with development, DevOps, security, and infrastructure teams to improve production reliability.</w:t>
      </w:r>
    </w:p>
    <w:p w14:paraId="62E5982C" w14:textId="6D101DDD" w:rsidR="005036A1" w:rsidRDefault="313868B6" w:rsidP="3A6F37E3">
      <w:pPr>
        <w:pStyle w:val="ListParagraph"/>
        <w:numPr>
          <w:ilvl w:val="0"/>
          <w:numId w:val="5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58B23142">
        <w:rPr>
          <w:rFonts w:ascii="Aptos" w:eastAsia="Aptos" w:hAnsi="Aptos" w:cs="Aptos"/>
          <w:color w:val="000000" w:themeColor="text1"/>
        </w:rPr>
        <w:t>Influenced reliability standards and monitoring practices across engineering teams.</w:t>
      </w:r>
    </w:p>
    <w:p w14:paraId="6ED4B157" w14:textId="2D4D2E70" w:rsidR="1AB6D586" w:rsidRDefault="1AB6D586" w:rsidP="58B23142">
      <w:pPr>
        <w:spacing w:before="240" w:after="240"/>
      </w:pPr>
      <w:r w:rsidRPr="58B23142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Senior Enterprise NOC Manager – Technical Lead</w:t>
      </w:r>
      <w:r w:rsidRPr="58B2314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58B23142">
        <w:rPr>
          <w:rFonts w:ascii="Times New Roman" w:eastAsia="Times New Roman" w:hAnsi="Times New Roman" w:cs="Times New Roman"/>
        </w:rPr>
        <w:t xml:space="preserve">– Yash Technologies, Carmel, IN </w:t>
      </w:r>
      <w:r w:rsidRPr="58B23142">
        <w:rPr>
          <w:rFonts w:ascii="Times New Roman" w:eastAsia="Times New Roman" w:hAnsi="Times New Roman" w:cs="Times New Roman"/>
          <w:i/>
          <w:iCs/>
        </w:rPr>
        <w:t>(Jan 2019 – May 2020)</w:t>
      </w:r>
    </w:p>
    <w:p w14:paraId="040AFD8F" w14:textId="7FD42F92" w:rsidR="1AB6D586" w:rsidRDefault="1AB6D586" w:rsidP="58B23142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58B23142">
        <w:rPr>
          <w:rFonts w:ascii="Times New Roman" w:eastAsia="Times New Roman" w:hAnsi="Times New Roman" w:cs="Times New Roman"/>
        </w:rPr>
        <w:t>Oversaw Level 2 NOC operations for a major logistics client (Kar Auction Services), introducing enhanced monitoring tools and dashboards (Nagios/ELK) to cover critical infrastructure.</w:t>
      </w:r>
    </w:p>
    <w:p w14:paraId="4D59E694" w14:textId="417D155E" w:rsidR="1AB6D586" w:rsidRDefault="1AB6D586" w:rsidP="58B23142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58B23142">
        <w:rPr>
          <w:rFonts w:ascii="Times New Roman" w:eastAsia="Times New Roman" w:hAnsi="Times New Roman" w:cs="Times New Roman"/>
        </w:rPr>
        <w:t>Coordinated onshore/offshore (US/Bangalore) teams to standardize incident and problem management (ITIL-based), improving SLA adherence.</w:t>
      </w:r>
    </w:p>
    <w:p w14:paraId="12945870" w14:textId="7DE9CEA2" w:rsidR="1AB6D586" w:rsidRDefault="1AB6D586" w:rsidP="58B23142">
      <w:pPr>
        <w:pStyle w:val="ListParagraph"/>
        <w:numPr>
          <w:ilvl w:val="0"/>
          <w:numId w:val="11"/>
        </w:numPr>
        <w:spacing w:before="240" w:after="240"/>
        <w:rPr>
          <w:rFonts w:ascii="Times New Roman" w:eastAsia="Times New Roman" w:hAnsi="Times New Roman" w:cs="Times New Roman"/>
        </w:rPr>
      </w:pPr>
      <w:r w:rsidRPr="58B23142">
        <w:rPr>
          <w:rFonts w:ascii="Times New Roman" w:eastAsia="Times New Roman" w:hAnsi="Times New Roman" w:cs="Times New Roman"/>
        </w:rPr>
        <w:t>Developed and documented RCA processes and knowledge base; led incident bridge calls and escalations to ensure rapid service restoration.</w:t>
      </w:r>
    </w:p>
    <w:p w14:paraId="7DD1BE72" w14:textId="1B8EEBAE" w:rsidR="58B23142" w:rsidRDefault="58B23142" w:rsidP="6BCA85EC">
      <w:pPr>
        <w:spacing w:before="240" w:after="240"/>
        <w:rPr>
          <w:rFonts w:ascii="Aptos" w:eastAsia="Aptos" w:hAnsi="Aptos" w:cs="Aptos"/>
          <w:color w:val="000000" w:themeColor="text1"/>
        </w:rPr>
      </w:pPr>
    </w:p>
    <w:p w14:paraId="2DD94C39" w14:textId="301C410F" w:rsidR="6BCA85EC" w:rsidRDefault="6BCA85EC" w:rsidP="6BCA85EC">
      <w:pPr>
        <w:spacing w:before="240" w:after="240"/>
        <w:rPr>
          <w:rFonts w:ascii="Aptos" w:eastAsia="Aptos" w:hAnsi="Aptos" w:cs="Aptos"/>
          <w:color w:val="000000" w:themeColor="text1"/>
        </w:rPr>
      </w:pPr>
    </w:p>
    <w:p w14:paraId="280C7E93" w14:textId="122BF31B" w:rsidR="6BCA85EC" w:rsidRDefault="6BCA85EC" w:rsidP="6BCA85EC">
      <w:pPr>
        <w:spacing w:before="240" w:after="240"/>
        <w:rPr>
          <w:rFonts w:ascii="Aptos" w:eastAsia="Aptos" w:hAnsi="Aptos" w:cs="Aptos"/>
          <w:color w:val="000000" w:themeColor="text1"/>
        </w:rPr>
      </w:pPr>
    </w:p>
    <w:p w14:paraId="6D562412" w14:textId="1B9B5EBA" w:rsidR="005036A1" w:rsidRDefault="2C8CBBC7" w:rsidP="6BCA85EC">
      <w:pPr>
        <w:pStyle w:val="Heading2"/>
        <w:spacing w:before="299" w:after="299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Principal Monitoring Architect</w:t>
      </w:r>
    </w:p>
    <w:p w14:paraId="027115CC" w14:textId="75B98070" w:rsidR="005036A1" w:rsidRDefault="313868B6" w:rsidP="58B23142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58B23142">
        <w:rPr>
          <w:rFonts w:ascii="Aptos" w:eastAsia="Aptos" w:hAnsi="Aptos" w:cs="Aptos"/>
          <w:b/>
          <w:bCs/>
          <w:color w:val="000000" w:themeColor="text1"/>
        </w:rPr>
        <w:t>Wolters Kluwer |</w:t>
      </w:r>
      <w:r w:rsidRPr="58B23142">
        <w:rPr>
          <w:rFonts w:ascii="Aptos" w:eastAsia="Aptos" w:hAnsi="Aptos" w:cs="Aptos"/>
          <w:color w:val="000000" w:themeColor="text1"/>
        </w:rPr>
        <w:t xml:space="preserve"> </w:t>
      </w:r>
      <w:r w:rsidR="06CDE92E" w:rsidRPr="58B23142">
        <w:rPr>
          <w:rFonts w:ascii="Aptos" w:eastAsia="Aptos" w:hAnsi="Aptos" w:cs="Aptos"/>
          <w:color w:val="000000" w:themeColor="text1"/>
        </w:rPr>
        <w:t xml:space="preserve">NYC | </w:t>
      </w:r>
      <w:r w:rsidRPr="58B23142">
        <w:rPr>
          <w:rFonts w:ascii="Aptos" w:eastAsia="Aptos" w:hAnsi="Aptos" w:cs="Aptos"/>
          <w:color w:val="000000" w:themeColor="text1"/>
        </w:rPr>
        <w:t>June 2016– March 2018</w:t>
      </w:r>
    </w:p>
    <w:p w14:paraId="06A6422B" w14:textId="701E8D84" w:rsidR="005036A1" w:rsidRDefault="7E37CE0A" w:rsidP="3A6F37E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 xml:space="preserve">Designed global observability platform supporting over </w:t>
      </w:r>
      <w:r w:rsidR="5A082525" w:rsidRPr="3A6F37E3">
        <w:rPr>
          <w:rFonts w:ascii="Aptos" w:eastAsia="Aptos" w:hAnsi="Aptos" w:cs="Aptos"/>
          <w:color w:val="000000" w:themeColor="text1"/>
        </w:rPr>
        <w:t>2 million users (about the population of Nebraska)</w:t>
      </w:r>
      <w:r w:rsidRPr="3A6F37E3">
        <w:rPr>
          <w:rFonts w:ascii="Aptos" w:eastAsia="Aptos" w:hAnsi="Aptos" w:cs="Aptos"/>
          <w:color w:val="000000" w:themeColor="text1"/>
        </w:rPr>
        <w:t>.</w:t>
      </w:r>
    </w:p>
    <w:p w14:paraId="3403CF86" w14:textId="2AA0A2A1" w:rsidR="005036A1" w:rsidRDefault="7E37CE0A" w:rsidP="3A6F37E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Instrumented monitoring for 10,000+ infrastructure components.</w:t>
      </w:r>
    </w:p>
    <w:p w14:paraId="4D0D0130" w14:textId="5005EA1C" w:rsidR="005036A1" w:rsidRDefault="4B163BB2" w:rsidP="3A6F37E3">
      <w:pPr>
        <w:pStyle w:val="ListParagraph"/>
        <w:numPr>
          <w:ilvl w:val="0"/>
          <w:numId w:val="4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669B4700">
        <w:rPr>
          <w:rFonts w:ascii="Aptos" w:eastAsia="Aptos" w:hAnsi="Aptos" w:cs="Aptos"/>
          <w:color w:val="000000" w:themeColor="text1"/>
        </w:rPr>
        <w:t>Implemented reliability dashboards and service health KPIs.</w:t>
      </w:r>
    </w:p>
    <w:p w14:paraId="5B73D689" w14:textId="3A878049" w:rsidR="1FAAD50A" w:rsidRDefault="1FAAD50A" w:rsidP="669B4700">
      <w:pPr>
        <w:pStyle w:val="ListParagraph"/>
        <w:numPr>
          <w:ilvl w:val="0"/>
          <w:numId w:val="4"/>
        </w:numPr>
        <w:spacing w:before="240" w:after="240"/>
      </w:pPr>
      <w:r w:rsidRPr="669B4700">
        <w:rPr>
          <w:rFonts w:ascii="Calibri" w:eastAsia="Calibri" w:hAnsi="Calibri" w:cs="Calibri"/>
          <w:color w:val="000000" w:themeColor="text1"/>
        </w:rPr>
        <w:t xml:space="preserve">Architected global Enterprise Service Monitoring (ESM) platform supporting Health, Tax, Legal, and Compliance divisions. </w:t>
      </w:r>
    </w:p>
    <w:p w14:paraId="6D52FDEC" w14:textId="7EF0F257" w:rsidR="1FAAD50A" w:rsidRDefault="1FAAD50A" w:rsidP="669B4700">
      <w:pPr>
        <w:pStyle w:val="ListParagraph"/>
        <w:numPr>
          <w:ilvl w:val="0"/>
          <w:numId w:val="4"/>
        </w:numPr>
        <w:spacing w:before="240" w:after="240"/>
      </w:pPr>
      <w:r w:rsidRPr="669B4700">
        <w:rPr>
          <w:rFonts w:ascii="Calibri" w:eastAsia="Calibri" w:hAnsi="Calibri" w:cs="Calibri"/>
          <w:color w:val="000000" w:themeColor="text1"/>
        </w:rPr>
        <w:t xml:space="preserve">Designed system‑level models for 100+ critical applications serving 2M+ customers. </w:t>
      </w:r>
    </w:p>
    <w:p w14:paraId="6E55A96B" w14:textId="151D734E" w:rsidR="1FAAD50A" w:rsidRDefault="1FAAD50A" w:rsidP="669B4700">
      <w:pPr>
        <w:pStyle w:val="ListParagraph"/>
        <w:numPr>
          <w:ilvl w:val="0"/>
          <w:numId w:val="4"/>
        </w:numPr>
        <w:spacing w:before="240" w:after="240"/>
      </w:pPr>
      <w:r w:rsidRPr="669B4700">
        <w:rPr>
          <w:rFonts w:ascii="Calibri" w:eastAsia="Calibri" w:hAnsi="Calibri" w:cs="Calibri"/>
          <w:color w:val="000000" w:themeColor="text1"/>
        </w:rPr>
        <w:t xml:space="preserve"> Led integration and test of Dynatrace, AppDynamics, Splunk, Elastic, and synthetic monitoring across APAC, EU, and U.S. data centers. </w:t>
      </w:r>
    </w:p>
    <w:p w14:paraId="258C5FE2" w14:textId="68099407" w:rsidR="1FAAD50A" w:rsidRDefault="1FAAD50A" w:rsidP="669B4700">
      <w:pPr>
        <w:pStyle w:val="ListParagraph"/>
        <w:numPr>
          <w:ilvl w:val="0"/>
          <w:numId w:val="4"/>
        </w:numPr>
        <w:spacing w:before="240" w:after="240"/>
      </w:pPr>
      <w:r w:rsidRPr="669B4700">
        <w:rPr>
          <w:rFonts w:ascii="Calibri" w:eastAsia="Calibri" w:hAnsi="Calibri" w:cs="Calibri"/>
          <w:color w:val="000000" w:themeColor="text1"/>
        </w:rPr>
        <w:t xml:space="preserve">Developed requirements, architecture, roadmaps, and verification strategies. </w:t>
      </w:r>
    </w:p>
    <w:p w14:paraId="7C176DB3" w14:textId="1C827E11" w:rsidR="1FAAD50A" w:rsidRDefault="1FAAD50A" w:rsidP="669B4700">
      <w:pPr>
        <w:pStyle w:val="ListParagraph"/>
        <w:numPr>
          <w:ilvl w:val="0"/>
          <w:numId w:val="4"/>
        </w:numPr>
        <w:spacing w:before="240" w:after="240"/>
      </w:pPr>
      <w:r w:rsidRPr="669B4700">
        <w:rPr>
          <w:rFonts w:ascii="Calibri" w:eastAsia="Calibri" w:hAnsi="Calibri" w:cs="Calibri"/>
          <w:color w:val="000000" w:themeColor="text1"/>
        </w:rPr>
        <w:t xml:space="preserve"> Managed fiscal budgets, vendor negotiations, and compliance alignment.</w:t>
      </w:r>
    </w:p>
    <w:p w14:paraId="3D9DDB51" w14:textId="2D23B3DD" w:rsidR="669B4700" w:rsidRDefault="669B4700" w:rsidP="669B4700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</w:p>
    <w:p w14:paraId="636CD096" w14:textId="7830BDE8" w:rsidR="005036A1" w:rsidRDefault="057724AD" w:rsidP="6BCA85EC">
      <w:pPr>
        <w:pStyle w:val="Heading2"/>
        <w:spacing w:before="299" w:after="299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T</w:t>
      </w:r>
      <w:r w:rsidR="2C8CBBC7"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echnical Lead / Domain Architect</w:t>
      </w:r>
    </w:p>
    <w:p w14:paraId="71121BA5" w14:textId="2D99002E" w:rsidR="005036A1" w:rsidRDefault="313868B6" w:rsidP="58B23142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58B23142">
        <w:rPr>
          <w:rFonts w:ascii="Aptos" w:eastAsia="Aptos" w:hAnsi="Aptos" w:cs="Aptos"/>
          <w:b/>
          <w:bCs/>
          <w:color w:val="000000" w:themeColor="text1"/>
        </w:rPr>
        <w:t xml:space="preserve">First Citizens Bank </w:t>
      </w:r>
      <w:r w:rsidR="42EB9902" w:rsidRPr="58B23142">
        <w:rPr>
          <w:rFonts w:ascii="Aptos" w:eastAsia="Aptos" w:hAnsi="Aptos" w:cs="Aptos"/>
          <w:b/>
          <w:bCs/>
          <w:color w:val="000000" w:themeColor="text1"/>
        </w:rPr>
        <w:t>| Raleigh</w:t>
      </w:r>
      <w:r w:rsidR="42EB9902" w:rsidRPr="58B23142">
        <w:rPr>
          <w:rFonts w:ascii="Aptos" w:eastAsia="Aptos" w:hAnsi="Aptos" w:cs="Aptos"/>
          <w:color w:val="000000" w:themeColor="text1"/>
        </w:rPr>
        <w:t xml:space="preserve">, NC | </w:t>
      </w:r>
      <w:r w:rsidRPr="58B23142">
        <w:rPr>
          <w:rFonts w:ascii="Aptos" w:eastAsia="Aptos" w:hAnsi="Aptos" w:cs="Aptos"/>
          <w:color w:val="000000" w:themeColor="text1"/>
        </w:rPr>
        <w:t>May 2015– November 2016</w:t>
      </w:r>
    </w:p>
    <w:p w14:paraId="29B0D990" w14:textId="383ED9C2" w:rsidR="005036A1" w:rsidRDefault="7E37CE0A" w:rsidP="3A6F37E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Led monitoring strategy for 40,000+ interfaces and 2,000+ servers.</w:t>
      </w:r>
    </w:p>
    <w:p w14:paraId="795D30B8" w14:textId="0F5D311E" w:rsidR="005036A1" w:rsidRDefault="7E37CE0A" w:rsidP="3A6F37E3">
      <w:pPr>
        <w:pStyle w:val="ListParagraph"/>
        <w:numPr>
          <w:ilvl w:val="0"/>
          <w:numId w:val="3"/>
        </w:numPr>
        <w:spacing w:before="240" w:after="240"/>
        <w:rPr>
          <w:rFonts w:ascii="Aptos" w:eastAsia="Aptos" w:hAnsi="Aptos" w:cs="Aptos"/>
          <w:color w:val="000000" w:themeColor="text1"/>
        </w:rPr>
      </w:pPr>
      <w:r w:rsidRPr="3A6F37E3">
        <w:rPr>
          <w:rFonts w:ascii="Aptos" w:eastAsia="Aptos" w:hAnsi="Aptos" w:cs="Aptos"/>
          <w:color w:val="000000" w:themeColor="text1"/>
        </w:rPr>
        <w:t>Implemented enterprise monitoring aligned with PCI and SOC2 controls.</w:t>
      </w:r>
    </w:p>
    <w:p w14:paraId="3E3FE583" w14:textId="1669A5D6" w:rsidR="4B163BB2" w:rsidRDefault="4B163BB2" w:rsidP="669B4700">
      <w:pPr>
        <w:pStyle w:val="ListParagraph"/>
        <w:numPr>
          <w:ilvl w:val="0"/>
          <w:numId w:val="3"/>
        </w:numPr>
        <w:spacing w:before="240" w:after="240"/>
      </w:pPr>
      <w:r w:rsidRPr="669B4700">
        <w:rPr>
          <w:rFonts w:ascii="Aptos" w:eastAsia="Aptos" w:hAnsi="Aptos" w:cs="Aptos"/>
          <w:color w:val="000000" w:themeColor="text1"/>
        </w:rPr>
        <w:t>Improved incident response processes and operational visibility.</w:t>
      </w:r>
    </w:p>
    <w:p w14:paraId="2A980F9C" w14:textId="48C46402" w:rsidR="10D2E71C" w:rsidRDefault="10D2E71C" w:rsidP="669B4700">
      <w:pPr>
        <w:pStyle w:val="ListParagraph"/>
        <w:numPr>
          <w:ilvl w:val="0"/>
          <w:numId w:val="3"/>
        </w:numPr>
        <w:spacing w:before="240" w:after="240"/>
      </w:pPr>
      <w:r w:rsidRPr="669B4700">
        <w:rPr>
          <w:rFonts w:ascii="Calibri" w:eastAsia="Calibri" w:hAnsi="Calibri" w:cs="Calibri"/>
          <w:color w:val="000000" w:themeColor="text1"/>
        </w:rPr>
        <w:t>Developed process and system modeling, and integration of Splunk, ServiceNow, VCops, SolarWinds, Tivoli, Dynatrace.</w:t>
      </w:r>
    </w:p>
    <w:p w14:paraId="3FEBB31F" w14:textId="6DAC63DF" w:rsidR="10D2E71C" w:rsidRDefault="10D2E71C" w:rsidP="669B4700">
      <w:pPr>
        <w:pStyle w:val="ListParagraph"/>
        <w:numPr>
          <w:ilvl w:val="0"/>
          <w:numId w:val="3"/>
        </w:numPr>
        <w:spacing w:before="240" w:after="240"/>
      </w:pPr>
      <w:r w:rsidRPr="669B4700">
        <w:rPr>
          <w:rFonts w:ascii="Calibri" w:eastAsia="Calibri" w:hAnsi="Calibri" w:cs="Calibri"/>
          <w:color w:val="000000" w:themeColor="text1"/>
        </w:rPr>
        <w:t>Conducted system‑level RCA, performance modeling, and risk mitigation.</w:t>
      </w:r>
    </w:p>
    <w:p w14:paraId="2389ABD4" w14:textId="3F11911C" w:rsidR="10D2E71C" w:rsidRDefault="10D2E71C" w:rsidP="669B4700">
      <w:pPr>
        <w:pStyle w:val="ListParagraph"/>
        <w:numPr>
          <w:ilvl w:val="0"/>
          <w:numId w:val="3"/>
        </w:numPr>
        <w:spacing w:before="240" w:after="240"/>
      </w:pPr>
      <w:r w:rsidRPr="669B4700">
        <w:rPr>
          <w:rFonts w:ascii="Calibri" w:eastAsia="Calibri" w:hAnsi="Calibri" w:cs="Calibri"/>
          <w:color w:val="000000" w:themeColor="text1"/>
        </w:rPr>
        <w:t>Ensured compliance with SOC, PCI, and internal security policies.</w:t>
      </w:r>
    </w:p>
    <w:p w14:paraId="1C82F6B9" w14:textId="0012FE30" w:rsidR="669B4700" w:rsidRDefault="669B4700" w:rsidP="669B4700">
      <w:pPr>
        <w:pStyle w:val="ListParagraph"/>
        <w:spacing w:before="240" w:after="240"/>
        <w:rPr>
          <w:rFonts w:ascii="Aptos" w:eastAsia="Aptos" w:hAnsi="Aptos" w:cs="Aptos"/>
          <w:color w:val="000000" w:themeColor="text1"/>
        </w:rPr>
      </w:pPr>
    </w:p>
    <w:p w14:paraId="1085B193" w14:textId="52186D4A" w:rsidR="005036A1" w:rsidRDefault="7E37CE0A" w:rsidP="3A6F37E3">
      <w:pPr>
        <w:pStyle w:val="Heading2"/>
        <w:spacing w:before="299" w:after="299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3A6F37E3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EARLIER EXPERIENCE</w:t>
      </w:r>
    </w:p>
    <w:p w14:paraId="6DDBD968" w14:textId="0844A705" w:rsidR="005036A1" w:rsidRDefault="6F71110D" w:rsidP="669B4700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669B4700">
        <w:rPr>
          <w:rFonts w:ascii="Aptos" w:eastAsia="Aptos" w:hAnsi="Aptos" w:cs="Aptos"/>
          <w:b/>
          <w:bCs/>
          <w:color w:val="00B0F0"/>
          <w:sz w:val="28"/>
          <w:szCs w:val="28"/>
        </w:rPr>
        <w:t xml:space="preserve">IT Manager / Architect — Emason </w:t>
      </w:r>
      <w:r w:rsidR="7714977C" w:rsidRPr="669B4700">
        <w:rPr>
          <w:rFonts w:ascii="Aptos" w:eastAsia="Aptos" w:hAnsi="Aptos" w:cs="Aptos"/>
          <w:b/>
          <w:bCs/>
          <w:color w:val="00B0F0"/>
          <w:sz w:val="28"/>
          <w:szCs w:val="28"/>
        </w:rPr>
        <w:t xml:space="preserve">Inc </w:t>
      </w:r>
      <w:r w:rsidR="2D46EA1F" w:rsidRPr="669B4700">
        <w:rPr>
          <w:rFonts w:ascii="Aptos" w:eastAsia="Aptos" w:hAnsi="Aptos" w:cs="Aptos"/>
          <w:b/>
          <w:bCs/>
          <w:color w:val="00B0F0"/>
          <w:sz w:val="28"/>
          <w:szCs w:val="28"/>
        </w:rPr>
        <w:t>| Saint Petersburg FL |</w:t>
      </w:r>
      <w:r w:rsidRPr="669B4700">
        <w:rPr>
          <w:rFonts w:ascii="Aptos" w:eastAsia="Aptos" w:hAnsi="Aptos" w:cs="Aptos"/>
          <w:b/>
          <w:bCs/>
          <w:color w:val="00B0F0"/>
          <w:sz w:val="28"/>
          <w:szCs w:val="28"/>
        </w:rPr>
        <w:t xml:space="preserve"> Dec 2012 – April 2015</w:t>
      </w:r>
      <w:r w:rsidR="00000000">
        <w:br/>
      </w:r>
      <w:r w:rsidR="31522DD4" w:rsidRPr="669B4700">
        <w:rPr>
          <w:rFonts w:ascii="Calibri" w:eastAsia="Calibri" w:hAnsi="Calibri" w:cs="Calibri"/>
          <w:color w:val="000000" w:themeColor="text1"/>
        </w:rPr>
        <w:t xml:space="preserve">Designed and staffed a 9‑person </w:t>
      </w:r>
      <w:r w:rsidR="277D3506" w:rsidRPr="669B4700">
        <w:rPr>
          <w:rFonts w:ascii="Calibri" w:eastAsia="Calibri" w:hAnsi="Calibri" w:cs="Calibri"/>
          <w:color w:val="000000" w:themeColor="text1"/>
        </w:rPr>
        <w:t xml:space="preserve">Level 2 </w:t>
      </w:r>
      <w:r w:rsidR="31522DD4" w:rsidRPr="669B4700">
        <w:rPr>
          <w:rFonts w:ascii="Calibri" w:eastAsia="Calibri" w:hAnsi="Calibri" w:cs="Calibri"/>
          <w:color w:val="000000" w:themeColor="text1"/>
        </w:rPr>
        <w:t>NOC</w:t>
      </w:r>
      <w:r w:rsidR="73119EFF" w:rsidRPr="669B4700">
        <w:rPr>
          <w:rFonts w:ascii="Calibri" w:eastAsia="Calibri" w:hAnsi="Calibri" w:cs="Calibri"/>
          <w:color w:val="000000" w:themeColor="text1"/>
        </w:rPr>
        <w:t xml:space="preserve">, </w:t>
      </w:r>
      <w:r w:rsidR="31522DD4" w:rsidRPr="669B4700">
        <w:rPr>
          <w:rFonts w:ascii="Calibri" w:eastAsia="Calibri" w:hAnsi="Calibri" w:cs="Calibri"/>
          <w:color w:val="000000" w:themeColor="text1"/>
        </w:rPr>
        <w:t xml:space="preserve">supporting major financial clients (Bank of America, SunTrust, Fannie Mae). </w:t>
      </w:r>
    </w:p>
    <w:p w14:paraId="402F82F0" w14:textId="31240D25" w:rsidR="005036A1" w:rsidRDefault="31522DD4" w:rsidP="669B4700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69B4700">
        <w:rPr>
          <w:rFonts w:ascii="Calibri" w:eastAsia="Calibri" w:hAnsi="Calibri" w:cs="Calibri"/>
          <w:color w:val="000000" w:themeColor="text1"/>
        </w:rPr>
        <w:lastRenderedPageBreak/>
        <w:t xml:space="preserve">• Architected monitoring, automation, and incident management systems aligned with </w:t>
      </w:r>
      <w:r w:rsidRPr="669B4700">
        <w:rPr>
          <w:rFonts w:ascii="Calibri" w:eastAsia="Calibri" w:hAnsi="Calibri" w:cs="Calibri"/>
          <w:b/>
          <w:bCs/>
          <w:color w:val="000000" w:themeColor="text1"/>
        </w:rPr>
        <w:t xml:space="preserve">ITIL, ISO27000, </w:t>
      </w:r>
      <w:r w:rsidR="2260F828" w:rsidRPr="669B4700">
        <w:rPr>
          <w:rFonts w:ascii="Calibri" w:eastAsia="Calibri" w:hAnsi="Calibri" w:cs="Calibri"/>
          <w:b/>
          <w:bCs/>
          <w:color w:val="000000" w:themeColor="text1"/>
        </w:rPr>
        <w:t>SOC</w:t>
      </w:r>
      <w:r w:rsidRPr="669B4700">
        <w:rPr>
          <w:rFonts w:ascii="Calibri" w:eastAsia="Calibri" w:hAnsi="Calibri" w:cs="Calibri"/>
          <w:b/>
          <w:bCs/>
          <w:color w:val="000000" w:themeColor="text1"/>
        </w:rPr>
        <w:t xml:space="preserve"> </w:t>
      </w:r>
      <w:r w:rsidR="3BB1F66B" w:rsidRPr="669B4700">
        <w:rPr>
          <w:rFonts w:ascii="Calibri" w:eastAsia="Calibri" w:hAnsi="Calibri" w:cs="Calibri"/>
          <w:b/>
          <w:bCs/>
          <w:color w:val="000000" w:themeColor="text1"/>
        </w:rPr>
        <w:t xml:space="preserve">1 </w:t>
      </w:r>
      <w:r w:rsidRPr="669B4700">
        <w:rPr>
          <w:rFonts w:ascii="Calibri" w:eastAsia="Calibri" w:hAnsi="Calibri" w:cs="Calibri"/>
          <w:b/>
          <w:bCs/>
          <w:color w:val="000000" w:themeColor="text1"/>
        </w:rPr>
        <w:t>Type II</w:t>
      </w:r>
      <w:r w:rsidRPr="669B4700">
        <w:rPr>
          <w:rFonts w:ascii="Calibri" w:eastAsia="Calibri" w:hAnsi="Calibri" w:cs="Calibri"/>
          <w:color w:val="000000" w:themeColor="text1"/>
        </w:rPr>
        <w:t>.</w:t>
      </w:r>
    </w:p>
    <w:p w14:paraId="39AC1680" w14:textId="692FDDD4" w:rsidR="005036A1" w:rsidRDefault="31522DD4" w:rsidP="669B4700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69B4700">
        <w:rPr>
          <w:rFonts w:ascii="Calibri" w:eastAsia="Calibri" w:hAnsi="Calibri" w:cs="Calibri"/>
          <w:color w:val="000000" w:themeColor="text1"/>
        </w:rPr>
        <w:t>• Led data center migration, system integration, and multi‑platform performance testing.</w:t>
      </w:r>
    </w:p>
    <w:p w14:paraId="4AB0D8F8" w14:textId="527A2D04" w:rsidR="005036A1" w:rsidRDefault="31522DD4" w:rsidP="669B4700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69B4700">
        <w:rPr>
          <w:rFonts w:ascii="Calibri" w:eastAsia="Calibri" w:hAnsi="Calibri" w:cs="Calibri"/>
          <w:color w:val="000000" w:themeColor="text1"/>
        </w:rPr>
        <w:t>• Consolidated legacy systems into unified dashboards and automated ETL workflow</w:t>
      </w:r>
      <w:r w:rsidRPr="669B4700">
        <w:rPr>
          <w:rFonts w:ascii="Times New Roman" w:eastAsia="Times New Roman" w:hAnsi="Times New Roman" w:cs="Times New Roman"/>
        </w:rPr>
        <w:t xml:space="preserve"> </w:t>
      </w:r>
      <w:r w:rsidR="6F71110D" w:rsidRPr="669B4700">
        <w:rPr>
          <w:rFonts w:ascii="Aptos" w:eastAsia="Aptos" w:hAnsi="Aptos" w:cs="Aptos"/>
          <w:color w:val="000000" w:themeColor="text1"/>
        </w:rPr>
        <w:t xml:space="preserve">Built enterprise NOC; </w:t>
      </w:r>
      <w:r w:rsidR="122007E1" w:rsidRPr="669B4700">
        <w:rPr>
          <w:rFonts w:ascii="Aptos" w:eastAsia="Aptos" w:hAnsi="Aptos" w:cs="Aptos"/>
          <w:color w:val="000000" w:themeColor="text1"/>
        </w:rPr>
        <w:t xml:space="preserve">managed 12 engineers, </w:t>
      </w:r>
      <w:r w:rsidR="6F71110D" w:rsidRPr="669B4700">
        <w:rPr>
          <w:rFonts w:ascii="Aptos" w:eastAsia="Aptos" w:hAnsi="Aptos" w:cs="Aptos"/>
          <w:color w:val="000000" w:themeColor="text1"/>
        </w:rPr>
        <w:t>automated 12,000+ ETL jobs; achieved SOC1 Type II compliance.</w:t>
      </w:r>
    </w:p>
    <w:p w14:paraId="27ABD53A" w14:textId="407646F2" w:rsidR="005036A1" w:rsidRDefault="6F71110D" w:rsidP="669B4700">
      <w:pPr>
        <w:spacing w:before="240" w:after="240"/>
        <w:rPr>
          <w:rFonts w:ascii="Aptos" w:eastAsia="Aptos" w:hAnsi="Aptos" w:cs="Aptos"/>
          <w:color w:val="000000" w:themeColor="text1"/>
        </w:rPr>
      </w:pPr>
      <w:r w:rsidRPr="669B4700">
        <w:rPr>
          <w:rFonts w:ascii="Aptos" w:eastAsia="Aptos" w:hAnsi="Aptos" w:cs="Aptos"/>
          <w:b/>
          <w:bCs/>
          <w:color w:val="00B0F0"/>
          <w:sz w:val="28"/>
          <w:szCs w:val="28"/>
        </w:rPr>
        <w:t xml:space="preserve">IT Architect — DaVita Healthcare | </w:t>
      </w:r>
      <w:r w:rsidR="0A8F049C" w:rsidRPr="669B4700">
        <w:rPr>
          <w:rFonts w:ascii="Aptos" w:eastAsia="Aptos" w:hAnsi="Aptos" w:cs="Aptos"/>
          <w:b/>
          <w:bCs/>
          <w:color w:val="00B0F0"/>
          <w:sz w:val="28"/>
          <w:szCs w:val="28"/>
        </w:rPr>
        <w:t xml:space="preserve">Deland FL | </w:t>
      </w:r>
      <w:r w:rsidRPr="669B4700">
        <w:rPr>
          <w:rFonts w:ascii="Aptos" w:eastAsia="Aptos" w:hAnsi="Aptos" w:cs="Aptos"/>
          <w:b/>
          <w:bCs/>
          <w:color w:val="00B0F0"/>
          <w:sz w:val="28"/>
          <w:szCs w:val="28"/>
        </w:rPr>
        <w:t>Oct 2008 – Nov 2012</w:t>
      </w:r>
      <w:r w:rsidR="00000000">
        <w:br/>
      </w:r>
      <w:r w:rsidRPr="669B4700">
        <w:rPr>
          <w:rFonts w:ascii="Aptos" w:eastAsia="Aptos" w:hAnsi="Aptos" w:cs="Aptos"/>
          <w:color w:val="000000" w:themeColor="text1"/>
        </w:rPr>
        <w:t>Led monitoring</w:t>
      </w:r>
      <w:r w:rsidR="1D9F89B3" w:rsidRPr="669B4700">
        <w:rPr>
          <w:rFonts w:ascii="Aptos" w:eastAsia="Aptos" w:hAnsi="Aptos" w:cs="Aptos"/>
          <w:color w:val="000000" w:themeColor="text1"/>
        </w:rPr>
        <w:t xml:space="preserve"> design and platform architecture</w:t>
      </w:r>
      <w:r w:rsidRPr="669B4700">
        <w:rPr>
          <w:rFonts w:ascii="Aptos" w:eastAsia="Aptos" w:hAnsi="Aptos" w:cs="Aptos"/>
          <w:color w:val="000000" w:themeColor="text1"/>
        </w:rPr>
        <w:t xml:space="preserve"> </w:t>
      </w:r>
      <w:r w:rsidR="666DEF87" w:rsidRPr="669B4700">
        <w:rPr>
          <w:rFonts w:ascii="Aptos" w:eastAsia="Aptos" w:hAnsi="Aptos" w:cs="Aptos"/>
          <w:color w:val="000000" w:themeColor="text1"/>
        </w:rPr>
        <w:t>and support for 5000</w:t>
      </w:r>
      <w:r w:rsidRPr="669B4700">
        <w:rPr>
          <w:rFonts w:ascii="Aptos" w:eastAsia="Aptos" w:hAnsi="Aptos" w:cs="Aptos"/>
          <w:color w:val="000000" w:themeColor="text1"/>
        </w:rPr>
        <w:t xml:space="preserve"> clinics; ensured HIPAA-aligned telemetry.</w:t>
      </w:r>
    </w:p>
    <w:p w14:paraId="334E92A8" w14:textId="3D180D75" w:rsidR="005036A1" w:rsidRDefault="4B163BB2" w:rsidP="669B4700">
      <w:pPr>
        <w:spacing w:after="0"/>
        <w:rPr>
          <w:rFonts w:ascii="Noto Sans" w:eastAsia="Noto Sans" w:hAnsi="Noto Sans" w:cs="Noto Sans"/>
          <w:color w:val="000000" w:themeColor="text1"/>
        </w:rPr>
      </w:pPr>
      <w:r w:rsidRPr="669B4700">
        <w:rPr>
          <w:rFonts w:ascii="Noto Sans" w:eastAsia="Noto Sans" w:hAnsi="Noto Sans" w:cs="Noto Sans"/>
          <w:color w:val="000000" w:themeColor="text1"/>
        </w:rPr>
        <w:t>Improved system reliability and reduced MTTR by 50% in P</w:t>
      </w:r>
      <w:r w:rsidR="0FF03E3E" w:rsidRPr="669B4700">
        <w:rPr>
          <w:rFonts w:ascii="Noto Sans" w:eastAsia="Noto Sans" w:hAnsi="Noto Sans" w:cs="Noto Sans"/>
          <w:color w:val="000000" w:themeColor="text1"/>
        </w:rPr>
        <w:t>H</w:t>
      </w:r>
      <w:r w:rsidRPr="669B4700">
        <w:rPr>
          <w:rFonts w:ascii="Noto Sans" w:eastAsia="Noto Sans" w:hAnsi="Noto Sans" w:cs="Noto Sans"/>
          <w:color w:val="000000" w:themeColor="text1"/>
        </w:rPr>
        <w:t>I clinical systems</w:t>
      </w:r>
      <w:r w:rsidR="2DF98E25" w:rsidRPr="669B4700">
        <w:rPr>
          <w:rFonts w:ascii="Noto Sans" w:eastAsia="Noto Sans" w:hAnsi="Noto Sans" w:cs="Noto Sans"/>
          <w:color w:val="000000" w:themeColor="text1"/>
        </w:rPr>
        <w:t>, and ensure HIPAA standards are mitigated across the enterprise for critical applications.</w:t>
      </w:r>
    </w:p>
    <w:p w14:paraId="0AF248E8" w14:textId="7FC3CA55" w:rsidR="669B4700" w:rsidRDefault="669B4700" w:rsidP="669B4700">
      <w:pPr>
        <w:spacing w:after="0"/>
        <w:rPr>
          <w:rFonts w:ascii="Noto Sans" w:eastAsia="Noto Sans" w:hAnsi="Noto Sans" w:cs="Noto Sans"/>
          <w:color w:val="000000" w:themeColor="text1"/>
        </w:rPr>
      </w:pPr>
    </w:p>
    <w:p w14:paraId="0A8D502F" w14:textId="3C04F452" w:rsidR="005036A1" w:rsidRDefault="7E37CE0A" w:rsidP="3A6F37E3">
      <w:pPr>
        <w:pStyle w:val="ListParagraph"/>
        <w:numPr>
          <w:ilvl w:val="0"/>
          <w:numId w:val="2"/>
        </w:numPr>
        <w:spacing w:after="0"/>
        <w:rPr>
          <w:rFonts w:ascii="Noto Sans" w:eastAsia="Noto Sans" w:hAnsi="Noto Sans" w:cs="Noto Sans"/>
          <w:color w:val="595959" w:themeColor="text1" w:themeTint="A6"/>
        </w:rPr>
      </w:pPr>
      <w:r w:rsidRPr="3A6F37E3">
        <w:rPr>
          <w:rFonts w:ascii="Noto Sans" w:eastAsia="Noto Sans" w:hAnsi="Noto Sans" w:cs="Noto Sans"/>
          <w:color w:val="595959" w:themeColor="text1" w:themeTint="A6"/>
        </w:rPr>
        <w:t>Developed architectural plans, blueprints, and technical specifications to guide the construction process</w:t>
      </w:r>
    </w:p>
    <w:p w14:paraId="5E85BC27" w14:textId="10759EF0" w:rsidR="005036A1" w:rsidRDefault="7E37CE0A" w:rsidP="3A6F37E3">
      <w:pPr>
        <w:pStyle w:val="ListParagraph"/>
        <w:numPr>
          <w:ilvl w:val="0"/>
          <w:numId w:val="2"/>
        </w:numPr>
        <w:spacing w:after="0"/>
        <w:rPr>
          <w:rFonts w:ascii="Noto Sans" w:eastAsia="Noto Sans" w:hAnsi="Noto Sans" w:cs="Noto Sans"/>
          <w:color w:val="595959" w:themeColor="text1" w:themeTint="A6"/>
        </w:rPr>
      </w:pPr>
      <w:r w:rsidRPr="3A6F37E3">
        <w:rPr>
          <w:rFonts w:ascii="Noto Sans" w:eastAsia="Noto Sans" w:hAnsi="Noto Sans" w:cs="Noto Sans"/>
          <w:color w:val="595959" w:themeColor="text1" w:themeTint="A6"/>
        </w:rPr>
        <w:t>Collaborated with cross-functional teams, including engineers, designers, and project managers, to ensure successful project delivery</w:t>
      </w:r>
    </w:p>
    <w:p w14:paraId="065F1B6D" w14:textId="7C1498E0" w:rsidR="005036A1" w:rsidRDefault="7E37CE0A" w:rsidP="3A6F37E3">
      <w:pPr>
        <w:pStyle w:val="ListParagraph"/>
        <w:numPr>
          <w:ilvl w:val="0"/>
          <w:numId w:val="2"/>
        </w:numPr>
        <w:spacing w:after="0"/>
        <w:rPr>
          <w:rFonts w:ascii="Noto Sans" w:eastAsia="Noto Sans" w:hAnsi="Noto Sans" w:cs="Noto Sans"/>
          <w:color w:val="595959" w:themeColor="text1" w:themeTint="A6"/>
        </w:rPr>
      </w:pPr>
      <w:r w:rsidRPr="3A6F37E3">
        <w:rPr>
          <w:rFonts w:ascii="Noto Sans" w:eastAsia="Noto Sans" w:hAnsi="Noto Sans" w:cs="Noto Sans"/>
          <w:color w:val="595959" w:themeColor="text1" w:themeTint="A6"/>
        </w:rPr>
        <w:t>Managed multiple projects simultaneously, ensuring adherence to timelines and budgets</w:t>
      </w:r>
    </w:p>
    <w:p w14:paraId="270A28AB" w14:textId="40A40ABD" w:rsidR="005036A1" w:rsidRDefault="7E37CE0A" w:rsidP="3A6F37E3">
      <w:pPr>
        <w:pStyle w:val="ListParagraph"/>
        <w:numPr>
          <w:ilvl w:val="0"/>
          <w:numId w:val="2"/>
        </w:numPr>
        <w:spacing w:after="0"/>
        <w:rPr>
          <w:rFonts w:ascii="Noto Sans" w:eastAsia="Noto Sans" w:hAnsi="Noto Sans" w:cs="Noto Sans"/>
          <w:color w:val="595959" w:themeColor="text1" w:themeTint="A6"/>
        </w:rPr>
      </w:pPr>
      <w:r w:rsidRPr="3A6F37E3">
        <w:rPr>
          <w:rFonts w:ascii="Noto Sans" w:eastAsia="Noto Sans" w:hAnsi="Noto Sans" w:cs="Noto Sans"/>
          <w:color w:val="595959" w:themeColor="text1" w:themeTint="A6"/>
        </w:rPr>
        <w:t>Implemented best practices for architecture design and development processes, resulting in improved efficiency and quality of deliverables</w:t>
      </w:r>
    </w:p>
    <w:p w14:paraId="01B7A8F5" w14:textId="7AA8F5EE" w:rsidR="005036A1" w:rsidRDefault="7E37CE0A" w:rsidP="3A6F37E3">
      <w:pPr>
        <w:pStyle w:val="ListParagraph"/>
        <w:numPr>
          <w:ilvl w:val="0"/>
          <w:numId w:val="2"/>
        </w:numPr>
        <w:spacing w:after="0"/>
        <w:rPr>
          <w:rFonts w:ascii="Noto Sans" w:eastAsia="Noto Sans" w:hAnsi="Noto Sans" w:cs="Noto Sans"/>
          <w:color w:val="595959" w:themeColor="text1" w:themeTint="A6"/>
        </w:rPr>
      </w:pPr>
      <w:r w:rsidRPr="3A6F37E3">
        <w:rPr>
          <w:rFonts w:ascii="Noto Sans" w:eastAsia="Noto Sans" w:hAnsi="Noto Sans" w:cs="Noto Sans"/>
          <w:color w:val="595959" w:themeColor="text1" w:themeTint="A6"/>
        </w:rPr>
        <w:t>Led a team of 12 infrastructure engineer in the design and implementation of complex architectural solutions for clients</w:t>
      </w:r>
    </w:p>
    <w:p w14:paraId="509DB282" w14:textId="0C088C8A" w:rsidR="005036A1" w:rsidRDefault="7E37CE0A" w:rsidP="3A6F37E3">
      <w:pPr>
        <w:pStyle w:val="ListParagraph"/>
        <w:numPr>
          <w:ilvl w:val="0"/>
          <w:numId w:val="2"/>
        </w:numPr>
        <w:spacing w:after="0"/>
        <w:rPr>
          <w:rFonts w:ascii="Noto Sans" w:eastAsia="Noto Sans" w:hAnsi="Noto Sans" w:cs="Noto Sans"/>
          <w:color w:val="595959" w:themeColor="text1" w:themeTint="A6"/>
        </w:rPr>
      </w:pPr>
      <w:r w:rsidRPr="3A6F37E3">
        <w:rPr>
          <w:rFonts w:ascii="Noto Sans" w:eastAsia="Noto Sans" w:hAnsi="Noto Sans" w:cs="Noto Sans"/>
          <w:color w:val="595959" w:themeColor="text1" w:themeTint="A6"/>
        </w:rPr>
        <w:t>Provided technical guidance and mentorship to junior architects, fostering their professional growth within the organization</w:t>
      </w:r>
    </w:p>
    <w:p w14:paraId="232BC7C7" w14:textId="14B84F84" w:rsidR="005036A1" w:rsidRDefault="005036A1" w:rsidP="3A6F37E3">
      <w:pPr>
        <w:spacing w:before="240" w:after="240"/>
        <w:rPr>
          <w:rFonts w:ascii="Aptos" w:eastAsia="Aptos" w:hAnsi="Aptos" w:cs="Aptos"/>
          <w:color w:val="000000" w:themeColor="text1"/>
        </w:rPr>
      </w:pPr>
    </w:p>
    <w:p w14:paraId="0C2C582F" w14:textId="1EF7B328" w:rsidR="005036A1" w:rsidRDefault="6F71110D" w:rsidP="669B4700">
      <w:pPr>
        <w:spacing w:before="240" w:after="240"/>
        <w:rPr>
          <w:rFonts w:ascii="Aptos" w:eastAsia="Aptos" w:hAnsi="Aptos" w:cs="Aptos"/>
        </w:rPr>
      </w:pPr>
      <w:r w:rsidRPr="669B4700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>Lead Architect — FIS/Certegy |</w:t>
      </w:r>
      <w:r w:rsidR="3CF63207" w:rsidRPr="669B4700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Saint Peterburg FL |</w:t>
      </w:r>
      <w:r w:rsidRPr="669B4700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t xml:space="preserve"> March 2004 – May 2008</w:t>
      </w:r>
    </w:p>
    <w:p w14:paraId="413791DC" w14:textId="478874ED" w:rsidR="005036A1" w:rsidRDefault="6F71110D" w:rsidP="669B4700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669B4700">
        <w:rPr>
          <w:rFonts w:ascii="Aptos" w:eastAsia="Aptos" w:hAnsi="Aptos" w:cs="Aptos"/>
          <w:color w:val="000000" w:themeColor="text1"/>
        </w:rPr>
        <w:t xml:space="preserve">Improved system reliability and reduced MTTR by </w:t>
      </w:r>
      <w:r w:rsidR="41F38E58" w:rsidRPr="669B4700">
        <w:rPr>
          <w:rFonts w:ascii="Aptos" w:eastAsia="Aptos" w:hAnsi="Aptos" w:cs="Aptos"/>
          <w:color w:val="000000" w:themeColor="text1"/>
        </w:rPr>
        <w:t>6</w:t>
      </w:r>
      <w:r w:rsidRPr="669B4700">
        <w:rPr>
          <w:rFonts w:ascii="Aptos" w:eastAsia="Aptos" w:hAnsi="Aptos" w:cs="Aptos"/>
          <w:color w:val="000000" w:themeColor="text1"/>
        </w:rPr>
        <w:t xml:space="preserve">0% in </w:t>
      </w:r>
      <w:r w:rsidR="3B9AD42B" w:rsidRPr="669B4700">
        <w:rPr>
          <w:rFonts w:ascii="Aptos" w:eastAsia="Aptos" w:hAnsi="Aptos" w:cs="Aptos"/>
          <w:color w:val="000000" w:themeColor="text1"/>
        </w:rPr>
        <w:t xml:space="preserve">SOC 1 and 2 compliance </w:t>
      </w:r>
      <w:r w:rsidRPr="669B4700">
        <w:rPr>
          <w:rFonts w:ascii="Aptos" w:eastAsia="Aptos" w:hAnsi="Aptos" w:cs="Aptos"/>
          <w:color w:val="000000" w:themeColor="text1"/>
        </w:rPr>
        <w:t>financial systems.</w:t>
      </w:r>
      <w:r w:rsidR="48C55871" w:rsidRPr="669B4700">
        <w:rPr>
          <w:rFonts w:ascii="Calibri" w:eastAsia="Calibri" w:hAnsi="Calibri" w:cs="Calibri"/>
          <w:color w:val="000000" w:themeColor="text1"/>
        </w:rPr>
        <w:t xml:space="preserve"> </w:t>
      </w:r>
    </w:p>
    <w:p w14:paraId="78225F4B" w14:textId="03537E56" w:rsidR="005036A1" w:rsidRDefault="69A7A04C" w:rsidP="669B4700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23CECFEA">
        <w:rPr>
          <w:rFonts w:ascii="Calibri" w:eastAsia="Calibri" w:hAnsi="Calibri" w:cs="Calibri"/>
          <w:color w:val="000000" w:themeColor="text1"/>
        </w:rPr>
        <w:lastRenderedPageBreak/>
        <w:t xml:space="preserve">• Led monitoring and integration architecture for </w:t>
      </w:r>
      <w:r w:rsidR="3622A3E4" w:rsidRPr="23CECFEA">
        <w:rPr>
          <w:rFonts w:ascii="Calibri" w:eastAsia="Calibri" w:hAnsi="Calibri" w:cs="Calibri"/>
          <w:color w:val="000000" w:themeColor="text1"/>
        </w:rPr>
        <w:t>10</w:t>
      </w:r>
      <w:r w:rsidRPr="23CECFEA">
        <w:rPr>
          <w:rFonts w:ascii="Calibri" w:eastAsia="Calibri" w:hAnsi="Calibri" w:cs="Calibri"/>
          <w:color w:val="000000" w:themeColor="text1"/>
        </w:rPr>
        <w:t>,500+ devices supporting VISA/MASTERCARD</w:t>
      </w:r>
      <w:r w:rsidR="5411F2B4" w:rsidRPr="23CECFEA">
        <w:rPr>
          <w:rFonts w:ascii="Calibri" w:eastAsia="Calibri" w:hAnsi="Calibri" w:cs="Calibri"/>
          <w:color w:val="000000" w:themeColor="text1"/>
        </w:rPr>
        <w:t xml:space="preserve">/Discover/American Express </w:t>
      </w:r>
      <w:r w:rsidRPr="23CECFEA">
        <w:rPr>
          <w:rFonts w:ascii="Calibri" w:eastAsia="Calibri" w:hAnsi="Calibri" w:cs="Calibri"/>
          <w:color w:val="000000" w:themeColor="text1"/>
        </w:rPr>
        <w:t xml:space="preserve">regulatory environments. </w:t>
      </w:r>
    </w:p>
    <w:p w14:paraId="6D9B128B" w14:textId="3ADE671E" w:rsidR="005036A1" w:rsidRDefault="48C55871" w:rsidP="669B4700">
      <w:pPr>
        <w:spacing w:before="240" w:after="240"/>
        <w:rPr>
          <w:rFonts w:ascii="Calibri" w:eastAsia="Calibri" w:hAnsi="Calibri" w:cs="Calibri"/>
        </w:rPr>
      </w:pPr>
      <w:r w:rsidRPr="669B4700">
        <w:rPr>
          <w:rFonts w:ascii="Calibri" w:eastAsia="Calibri" w:hAnsi="Calibri" w:cs="Calibri"/>
          <w:color w:val="000000" w:themeColor="text1"/>
        </w:rPr>
        <w:t>• Directed system modeling, instrumentation, and test validation for EFT/ACI and Authnet systems.</w:t>
      </w:r>
    </w:p>
    <w:p w14:paraId="08AE3F3B" w14:textId="2C9AC63C" w:rsidR="005036A1" w:rsidRDefault="0AB26A35" w:rsidP="23CECFEA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23CECFEA">
        <w:rPr>
          <w:rFonts w:ascii="Calibri" w:eastAsia="Calibri" w:hAnsi="Calibri" w:cs="Calibri"/>
          <w:color w:val="000000" w:themeColor="text1"/>
        </w:rPr>
        <w:t xml:space="preserve">• Redesigned and HP Node Manager, and HPOV to </w:t>
      </w:r>
      <w:r w:rsidR="0EE69893" w:rsidRPr="23CECFEA">
        <w:rPr>
          <w:rFonts w:ascii="Calibri" w:eastAsia="Calibri" w:hAnsi="Calibri" w:cs="Calibri"/>
          <w:color w:val="000000" w:themeColor="text1"/>
        </w:rPr>
        <w:t>standardize</w:t>
      </w:r>
      <w:r w:rsidRPr="23CECFEA">
        <w:rPr>
          <w:rFonts w:ascii="Calibri" w:eastAsia="Calibri" w:hAnsi="Calibri" w:cs="Calibri"/>
          <w:color w:val="000000" w:themeColor="text1"/>
        </w:rPr>
        <w:t xml:space="preserve"> existing </w:t>
      </w:r>
      <w:r w:rsidR="31FEFEAF" w:rsidRPr="23CECFEA">
        <w:rPr>
          <w:rFonts w:ascii="Calibri" w:eastAsia="Calibri" w:hAnsi="Calibri" w:cs="Calibri"/>
          <w:color w:val="000000" w:themeColor="text1"/>
        </w:rPr>
        <w:t xml:space="preserve">monitoring </w:t>
      </w:r>
      <w:r w:rsidR="4C15F798" w:rsidRPr="23CECFEA">
        <w:rPr>
          <w:rFonts w:ascii="Calibri" w:eastAsia="Calibri" w:hAnsi="Calibri" w:cs="Calibri"/>
          <w:color w:val="000000" w:themeColor="text1"/>
        </w:rPr>
        <w:t>platforms</w:t>
      </w:r>
      <w:r w:rsidR="31FEFEAF" w:rsidRPr="23CECFEA">
        <w:rPr>
          <w:rFonts w:ascii="Calibri" w:eastAsia="Calibri" w:hAnsi="Calibri" w:cs="Calibri"/>
          <w:color w:val="000000" w:themeColor="text1"/>
        </w:rPr>
        <w:t xml:space="preserve"> and maintain growth projection as FIS continues to absorb future clients. </w:t>
      </w:r>
      <w:r w:rsidR="7C81598C" w:rsidRPr="23CECFEA">
        <w:rPr>
          <w:rFonts w:ascii="Calibri" w:eastAsia="Calibri" w:hAnsi="Calibri" w:cs="Calibri"/>
          <w:color w:val="000000" w:themeColor="text1"/>
        </w:rPr>
        <w:t xml:space="preserve">  Introduced HP </w:t>
      </w:r>
      <w:r w:rsidR="25452EA3" w:rsidRPr="23CECFEA">
        <w:rPr>
          <w:rFonts w:ascii="Calibri" w:eastAsia="Calibri" w:hAnsi="Calibri" w:cs="Calibri"/>
          <w:color w:val="000000" w:themeColor="text1"/>
        </w:rPr>
        <w:t>SiteScope to</w:t>
      </w:r>
      <w:r w:rsidR="7C81598C" w:rsidRPr="23CECFEA">
        <w:rPr>
          <w:rFonts w:ascii="Calibri" w:eastAsia="Calibri" w:hAnsi="Calibri" w:cs="Calibri"/>
          <w:color w:val="000000" w:themeColor="text1"/>
        </w:rPr>
        <w:t xml:space="preserve"> monitor synthetic transactions. </w:t>
      </w:r>
    </w:p>
    <w:p w14:paraId="35B76FA7" w14:textId="3D3B35C4" w:rsidR="005036A1" w:rsidRDefault="253459C4" w:rsidP="669B4700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6BCA85EC">
        <w:rPr>
          <w:rFonts w:ascii="Calibri" w:eastAsia="Calibri" w:hAnsi="Calibri" w:cs="Calibri"/>
          <w:color w:val="000000" w:themeColor="text1"/>
        </w:rPr>
        <w:t xml:space="preserve">• Deployed CiscoWorks and </w:t>
      </w:r>
      <w:r w:rsidR="61A239B4" w:rsidRPr="6BCA85EC">
        <w:rPr>
          <w:rFonts w:ascii="Calibri" w:eastAsia="Calibri" w:hAnsi="Calibri" w:cs="Calibri"/>
          <w:color w:val="000000" w:themeColor="text1"/>
        </w:rPr>
        <w:t>LMS to ensure networking devices are managed and has correct configuration for over 5000 routers</w:t>
      </w:r>
      <w:r w:rsidR="1726564E" w:rsidRPr="6BCA85EC">
        <w:rPr>
          <w:rFonts w:ascii="Calibri" w:eastAsia="Calibri" w:hAnsi="Calibri" w:cs="Calibri"/>
          <w:color w:val="000000" w:themeColor="text1"/>
        </w:rPr>
        <w:t xml:space="preserve">, </w:t>
      </w:r>
      <w:r w:rsidR="61A239B4" w:rsidRPr="6BCA85EC">
        <w:rPr>
          <w:rFonts w:ascii="Calibri" w:eastAsia="Calibri" w:hAnsi="Calibri" w:cs="Calibri"/>
          <w:color w:val="000000" w:themeColor="text1"/>
        </w:rPr>
        <w:t>switches</w:t>
      </w:r>
      <w:r w:rsidR="447D61A0" w:rsidRPr="6BCA85EC">
        <w:rPr>
          <w:rFonts w:ascii="Calibri" w:eastAsia="Calibri" w:hAnsi="Calibri" w:cs="Calibri"/>
          <w:color w:val="000000" w:themeColor="text1"/>
        </w:rPr>
        <w:t xml:space="preserve"> and sniffer</w:t>
      </w:r>
      <w:r w:rsidR="61A239B4" w:rsidRPr="6BCA85EC">
        <w:rPr>
          <w:rFonts w:ascii="Calibri" w:eastAsia="Calibri" w:hAnsi="Calibri" w:cs="Calibri"/>
          <w:color w:val="000000" w:themeColor="text1"/>
        </w:rPr>
        <w:t xml:space="preserve">.  </w:t>
      </w:r>
    </w:p>
    <w:p w14:paraId="2D658CB4" w14:textId="77777777" w:rsidR="005036A1" w:rsidRDefault="00000000">
      <w:r>
        <w:t>• Modeled Guidewire transaction flows (Quote → Bind → Issue → Billing) to identify system latency sources across middleware queues, microservices, and database commits, improving policy processing throughput during peak underwriting workloads.</w:t>
      </w:r>
    </w:p>
    <w:p w14:paraId="184887F1" w14:textId="77777777" w:rsidR="005036A1" w:rsidRDefault="00000000">
      <w:r>
        <w:t>• Designed automated event correlation that classified incidents from Sev‑1 through Sev‑4 and automatically triggered remediation workflows and ticket creation through ServiceNow integration.</w:t>
      </w:r>
    </w:p>
    <w:p w14:paraId="18B23154" w14:textId="77777777" w:rsidR="005036A1" w:rsidRDefault="00000000">
      <w:r>
        <w:t>• Developed supervised learning models within the AIOps pipeline to detect anomaly patterns and correlate duplicate alerts, reducing monitoring noise and eliminating approximately 60% of false-positive incidents.</w:t>
      </w:r>
    </w:p>
    <w:p w14:paraId="706E1B9B" w14:textId="77777777" w:rsidR="005036A1" w:rsidRDefault="00000000">
      <w:r>
        <w:t>• Implemented an AIOps-driven observability pipeline using Splunk ingestion and Splunk ITSI analytics, processing over 10,000 KPIs and more than 100,000 daily monitoring events across infrastructure and applications.</w:t>
      </w:r>
    </w:p>
    <w:p w14:paraId="035590DA" w14:textId="77777777" w:rsidR="005036A1" w:rsidRDefault="00000000">
      <w:r>
        <w:t>• Diagnosed production latency and quote issuance bottlenecks by analyzing distributed traces, JVM metrics, database locking behavior, and transaction telemetry across Guidewire services.</w:t>
      </w:r>
    </w:p>
    <w:p w14:paraId="361D67AE" w14:textId="77777777" w:rsidR="005036A1" w:rsidRDefault="00000000">
      <w:r>
        <w:t>• Directed migration readiness and observability instrumentation for Guidewire Platform Version 11, validating infrastructure, JVM performance, and transaction telemetry across microservices and policy pipelines.</w:t>
      </w:r>
    </w:p>
    <w:p w14:paraId="69D858D6" w14:textId="77777777" w:rsidR="005036A1" w:rsidRDefault="6BCA85EC">
      <w:r>
        <w:t>• Led production performance troubleshooting for enterprise insurance platforms built on Guidewire PolicyCenter, BillingCenter, and Quote/Rating services supporting underwriting and full policy lifecycle processing.</w:t>
      </w:r>
    </w:p>
    <w:p w14:paraId="7017768B" w14:textId="1C89C39E" w:rsidR="00794FDE" w:rsidRDefault="00794FDE" w:rsidP="6BCA85EC">
      <w:pPr>
        <w:pStyle w:val="Heading1"/>
        <w:spacing w:before="322" w:after="322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  <w:sz w:val="28"/>
          <w:szCs w:val="28"/>
        </w:rPr>
        <w:lastRenderedPageBreak/>
        <w:t>EDUCATION</w:t>
      </w:r>
    </w:p>
    <w:p w14:paraId="2910DA52" w14:textId="400E2D4B" w:rsidR="00794FDE" w:rsidRDefault="00794FDE" w:rsidP="6BCA85EC">
      <w:pPr>
        <w:spacing w:before="240" w:after="240"/>
        <w:rPr>
          <w:rFonts w:ascii="Calibri" w:eastAsia="Calibri" w:hAnsi="Calibri" w:cs="Calibri"/>
          <w:color w:val="000000" w:themeColor="text1"/>
        </w:rPr>
      </w:pPr>
      <w:r w:rsidRPr="6BCA85EC">
        <w:rPr>
          <w:rFonts w:ascii="Calibri" w:eastAsia="Calibri" w:hAnsi="Calibri" w:cs="Calibri"/>
          <w:b/>
          <w:bCs/>
          <w:color w:val="000000" w:themeColor="text1"/>
        </w:rPr>
        <w:t>B.S., Information Architecture &amp; Cybersecurity</w:t>
      </w:r>
      <w:r w:rsidRPr="6BCA85EC">
        <w:rPr>
          <w:rFonts w:ascii="Calibri" w:eastAsia="Calibri" w:hAnsi="Calibri" w:cs="Calibri"/>
          <w:color w:val="000000" w:themeColor="text1"/>
        </w:rPr>
        <w:t xml:space="preserve"> – University of South Florida </w:t>
      </w:r>
      <w:r w:rsidRPr="6BCA85EC">
        <w:rPr>
          <w:rFonts w:ascii="Calibri" w:eastAsia="Calibri" w:hAnsi="Calibri" w:cs="Calibri"/>
          <w:b/>
          <w:bCs/>
          <w:color w:val="000000" w:themeColor="text1"/>
        </w:rPr>
        <w:t>A.S., Computer Information Systems</w:t>
      </w:r>
      <w:r w:rsidRPr="6BCA85EC">
        <w:rPr>
          <w:rFonts w:ascii="Calibri" w:eastAsia="Calibri" w:hAnsi="Calibri" w:cs="Calibri"/>
          <w:color w:val="000000" w:themeColor="text1"/>
        </w:rPr>
        <w:t xml:space="preserve"> – St. Petersburg College </w:t>
      </w:r>
      <w:r w:rsidRPr="6BCA85EC">
        <w:rPr>
          <w:rFonts w:ascii="Calibri" w:eastAsia="Calibri" w:hAnsi="Calibri" w:cs="Calibri"/>
          <w:b/>
          <w:bCs/>
          <w:color w:val="000000" w:themeColor="text1"/>
        </w:rPr>
        <w:t>Command &amp; Control Specialist</w:t>
      </w:r>
      <w:r w:rsidRPr="6BCA85EC">
        <w:rPr>
          <w:rFonts w:ascii="Calibri" w:eastAsia="Calibri" w:hAnsi="Calibri" w:cs="Calibri"/>
          <w:color w:val="000000" w:themeColor="text1"/>
        </w:rPr>
        <w:t xml:space="preserve"> – USAF Technical School, Maxwell AFB</w:t>
      </w:r>
    </w:p>
    <w:p w14:paraId="79594781" w14:textId="6835B7D1" w:rsidR="00794FDE" w:rsidRDefault="00794FDE" w:rsidP="6BCA85EC">
      <w:pPr>
        <w:pStyle w:val="Heading1"/>
        <w:spacing w:before="322" w:after="322"/>
        <w:rPr>
          <w:rFonts w:ascii="Calibri" w:eastAsia="Calibri" w:hAnsi="Calibri" w:cs="Calibri"/>
          <w:color w:val="0070C0"/>
          <w:sz w:val="28"/>
          <w:szCs w:val="28"/>
        </w:rPr>
      </w:pPr>
      <w:r w:rsidRPr="6BCA85EC">
        <w:rPr>
          <w:rFonts w:ascii="Calibri" w:eastAsia="Calibri" w:hAnsi="Calibri" w:cs="Calibri"/>
          <w:b/>
          <w:bCs/>
          <w:color w:val="0070C0"/>
          <w:sz w:val="28"/>
          <w:szCs w:val="28"/>
        </w:rPr>
        <w:t>CERTIFICATIONS</w:t>
      </w:r>
    </w:p>
    <w:p w14:paraId="1962F240" w14:textId="7F4E2220" w:rsidR="73FA3ECB" w:rsidRDefault="73FA3ECB" w:rsidP="6BCA85EC">
      <w:pPr>
        <w:spacing w:before="240" w:after="240"/>
        <w:rPr>
          <w:rFonts w:ascii="Times New Roman" w:eastAsia="Times New Roman" w:hAnsi="Times New Roman" w:cs="Times New Roman"/>
        </w:rPr>
      </w:pPr>
      <w:r w:rsidRPr="6BCA85EC">
        <w:rPr>
          <w:rFonts w:ascii="Times New Roman" w:eastAsia="Times New Roman" w:hAnsi="Times New Roman" w:cs="Times New Roman"/>
        </w:rPr>
        <w:t>AWS Cloud Foundation · Kubernetes Administrator Linux Academy · ChatGPT Prompt Engineer (2023) · ITIL Foundation v3 · Post Graduate Certificate for Artificial Intelligence (LLM, Deep &amp; Machine Learning, Generative and Agent AI) AppDynamics University</w:t>
      </w:r>
    </w:p>
    <w:p w14:paraId="2267CC71" w14:textId="4673A1F7" w:rsidR="2F0ECB1A" w:rsidRDefault="2F0ECB1A" w:rsidP="6BCA85EC">
      <w:pPr>
        <w:spacing w:before="240" w:after="240"/>
        <w:rPr>
          <w:rFonts w:ascii="Times New Roman" w:eastAsia="Times New Roman" w:hAnsi="Times New Roman" w:cs="Times New Roman"/>
          <w:b/>
          <w:bCs/>
          <w:color w:val="0070C0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Core Technical Skills:</w:t>
      </w:r>
      <w:r w:rsidRPr="6BCA85EC">
        <w:rPr>
          <w:rFonts w:ascii="Times New Roman" w:eastAsia="Times New Roman" w:hAnsi="Times New Roman" w:cs="Times New Roman"/>
          <w:color w:val="0070C0"/>
        </w:rPr>
        <w:t xml:space="preserve"> </w:t>
      </w:r>
      <w:r w:rsidRPr="6BCA85EC">
        <w:rPr>
          <w:rFonts w:ascii="Times New Roman" w:eastAsia="Times New Roman" w:hAnsi="Times New Roman" w:cs="Times New Roman"/>
        </w:rPr>
        <w:t>AWS (EKS, EC2, VPC, IAM), Kubernetes, Docker, Terraform, Ansible, Jenkins, Git/GitHub/GitLab (GitOps), Prometheus &amp; Grafana, Datadog, Splunk, ELK Stack, AppDynamics, New Relics, HPOV,Python, Go, Bash, PostgreSQL, Redis, Linux, CI/CD pipeline automation, SRE (SLO/SLI, error budgets), AIOps/GenAI integration, policy-as-code (OPA/Kyverno), compliance (PCI, HIPAA, SOC2).</w:t>
      </w:r>
    </w:p>
    <w:p w14:paraId="54AFC7AD" w14:textId="57950124" w:rsidR="2F0ECB1A" w:rsidRDefault="2F0ECB1A" w:rsidP="6BCA85EC">
      <w:pPr>
        <w:spacing w:before="240" w:after="240"/>
        <w:rPr>
          <w:rFonts w:ascii="Times New Roman" w:eastAsia="Times New Roman" w:hAnsi="Times New Roman" w:cs="Times New Roman"/>
          <w:b/>
          <w:bCs/>
          <w:color w:val="0070C0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References:</w:t>
      </w:r>
    </w:p>
    <w:p w14:paraId="6CE2A205" w14:textId="45AEB3D2" w:rsidR="2F0ECB1A" w:rsidRDefault="2F0ECB1A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</w:rPr>
        <w:t>Matt Hodgson - Vice President Information Technology at Junior Achievement of Georgia Phone - 4703452616 linkedin.com/in/matthew-hodgson-3a121a3a</w:t>
      </w:r>
    </w:p>
    <w:p w14:paraId="4DEAB90E" w14:textId="789C98B2" w:rsidR="2F0ECB1A" w:rsidRDefault="2F0ECB1A" w:rsidP="6BCA85EC">
      <w:pPr>
        <w:spacing w:before="240" w:after="240"/>
        <w:rPr>
          <w:rFonts w:ascii="Times New Roman" w:eastAsia="Times New Roman" w:hAnsi="Times New Roman" w:cs="Times New Roman"/>
        </w:rPr>
      </w:pPr>
      <w:r w:rsidRPr="6BCA85EC">
        <w:rPr>
          <w:rFonts w:ascii="Times New Roman" w:eastAsia="Times New Roman" w:hAnsi="Times New Roman" w:cs="Times New Roman"/>
        </w:rPr>
        <w:t>Ken Peck -Director of Application Development and Integration at Embry-Riddle Aeronautical University Phone - 386-626-5289 (Work) linkedin.com/in/kenbpeck</w:t>
      </w:r>
    </w:p>
    <w:p w14:paraId="49F92037" w14:textId="009C9613" w:rsidR="2F0ECB1A" w:rsidRDefault="2F0ECB1A" w:rsidP="6BCA85EC">
      <w:pPr>
        <w:spacing w:before="240" w:after="240"/>
        <w:rPr>
          <w:rFonts w:ascii="Times New Roman" w:eastAsia="Times New Roman" w:hAnsi="Times New Roman" w:cs="Times New Roman"/>
        </w:rPr>
      </w:pPr>
      <w:r w:rsidRPr="6BCA85EC">
        <w:rPr>
          <w:rFonts w:ascii="Times New Roman" w:eastAsia="Times New Roman" w:hAnsi="Times New Roman" w:cs="Times New Roman"/>
        </w:rPr>
        <w:t xml:space="preserve">Dan Soos </w:t>
      </w:r>
      <w:hyperlink r:id="rId7">
        <w:r w:rsidRPr="6BCA85EC">
          <w:rPr>
            <w:rStyle w:val="Hyperlink"/>
            <w:rFonts w:ascii="Times New Roman" w:eastAsia="Times New Roman" w:hAnsi="Times New Roman" w:cs="Times New Roman"/>
          </w:rPr>
          <w:t>danielsoos@outlook.com</w:t>
        </w:r>
      </w:hyperlink>
      <w:r w:rsidRPr="6BCA85EC">
        <w:rPr>
          <w:rFonts w:ascii="Times New Roman" w:eastAsia="Times New Roman" w:hAnsi="Times New Roman" w:cs="Times New Roman"/>
        </w:rPr>
        <w:t xml:space="preserve"> linkedin.com/in/daniel-soos-7a20998</w:t>
      </w:r>
    </w:p>
    <w:p w14:paraId="149F4286" w14:textId="3E0800B0" w:rsidR="2F0ECB1A" w:rsidRDefault="2F0ECB1A" w:rsidP="6BCA85EC">
      <w:pPr>
        <w:spacing w:before="240" w:after="240"/>
        <w:rPr>
          <w:rFonts w:ascii="Times New Roman" w:eastAsia="Times New Roman" w:hAnsi="Times New Roman" w:cs="Times New Roman"/>
        </w:rPr>
      </w:pPr>
      <w:r w:rsidRPr="6BCA85EC">
        <w:rPr>
          <w:rFonts w:ascii="Times New Roman" w:eastAsia="Times New Roman" w:hAnsi="Times New Roman" w:cs="Times New Roman"/>
        </w:rPr>
        <w:t>Ron Oneil -</w:t>
      </w:r>
      <w:r w:rsidRPr="6BCA85EC">
        <w:rPr>
          <w:rFonts w:ascii="Verdana" w:eastAsia="Verdana" w:hAnsi="Verdana" w:cs="Verdana"/>
          <w:sz w:val="22"/>
          <w:szCs w:val="22"/>
        </w:rPr>
        <w:t xml:space="preserve"> ITSM Process Lead</w:t>
      </w:r>
      <w:r w:rsidRPr="6BCA85EC">
        <w:rPr>
          <w:rFonts w:ascii="Times New Roman" w:eastAsia="Times New Roman" w:hAnsi="Times New Roman" w:cs="Times New Roman"/>
        </w:rPr>
        <w:t xml:space="preserve"> </w:t>
      </w:r>
      <w:hyperlink r:id="rId8">
        <w:r w:rsidRPr="6BCA85EC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ron.oneal@boydgroup.com</w:t>
        </w:r>
      </w:hyperlink>
      <w:r w:rsidRPr="6BCA85EC">
        <w:rPr>
          <w:rFonts w:ascii="Times New Roman" w:eastAsia="Times New Roman" w:hAnsi="Times New Roman" w:cs="Times New Roman"/>
          <w:sz w:val="22"/>
          <w:szCs w:val="22"/>
        </w:rPr>
        <w:t xml:space="preserve"> 847-344-1534</w:t>
      </w:r>
    </w:p>
    <w:p w14:paraId="005E7F3A" w14:textId="00D22612" w:rsidR="6BCA85EC" w:rsidRDefault="6BCA85EC"/>
    <w:p w14:paraId="586C450F" w14:textId="5C2AB149" w:rsidR="6BCA85EC" w:rsidRDefault="6BCA85EC"/>
    <w:p w14:paraId="712BCB10" w14:textId="6E5DB993" w:rsidR="6BCA85EC" w:rsidRDefault="6BCA85EC"/>
    <w:p w14:paraId="29B78E36" w14:textId="181FE78A" w:rsidR="6BCA85EC" w:rsidRDefault="6BCA85EC"/>
    <w:p w14:paraId="41409666" w14:textId="4E565214" w:rsidR="6BCA85EC" w:rsidRDefault="6BCA85EC"/>
    <w:p w14:paraId="5A53B8E2" w14:textId="4529081F" w:rsidR="6BCA85EC" w:rsidRDefault="6BCA85EC"/>
    <w:p w14:paraId="62A4CC58" w14:textId="00729842" w:rsidR="6BCA85EC" w:rsidRDefault="6BCA85EC"/>
    <w:p w14:paraId="02385700" w14:textId="2BB04956" w:rsidR="6BCA85EC" w:rsidRDefault="6BCA85EC"/>
    <w:p w14:paraId="237E65ED" w14:textId="46736145" w:rsidR="6BCA85EC" w:rsidRDefault="6BCA85EC"/>
    <w:p w14:paraId="75A8DF4A" w14:textId="46D39E84" w:rsidR="6BCA85EC" w:rsidRDefault="6BCA85EC"/>
    <w:p w14:paraId="3F17FCAC" w14:textId="0682D0B7" w:rsidR="6BCA85EC" w:rsidRDefault="6BCA85EC"/>
    <w:p w14:paraId="696DC154" w14:textId="7EC7738F" w:rsidR="6BCA85EC" w:rsidRDefault="6BCA85EC"/>
    <w:p w14:paraId="2ADA0B94" w14:textId="2F687002" w:rsidR="005036A1" w:rsidRDefault="6BCA85EC" w:rsidP="6BCA85EC">
      <w:pPr>
        <w:rPr>
          <w:color w:val="0070C0"/>
        </w:rPr>
      </w:pPr>
      <w:r w:rsidRPr="6BCA85EC">
        <w:rPr>
          <w:color w:val="0070C0"/>
        </w:rPr>
        <w:t>Insurance Platform Engineering &amp; Performance Optimization (Guidewire)</w:t>
      </w:r>
      <w:r w:rsidR="7E254AAD" w:rsidRPr="6BCA85EC">
        <w:rPr>
          <w:color w:val="0070C0"/>
        </w:rPr>
        <w:t xml:space="preserve"> -Diagram 1.1</w:t>
      </w:r>
    </w:p>
    <w:p w14:paraId="79EE970D" w14:textId="77777777" w:rsidR="005036A1" w:rsidRDefault="6BCA85EC" w:rsidP="6BCA85EC">
      <w:pPr>
        <w:rPr>
          <w:color w:val="0070C0"/>
        </w:rPr>
      </w:pPr>
      <w:r w:rsidRPr="6BCA85EC">
        <w:rPr>
          <w:color w:val="0070C0"/>
        </w:rPr>
        <w:t>APPENDIX A – GUIDEWIRE OBSERVABILITY &amp; AIOPS ARCHITECTURE</w:t>
      </w:r>
    </w:p>
    <w:p w14:paraId="2ABDCD5E" w14:textId="77777777" w:rsidR="005036A1" w:rsidRDefault="6BCA85EC" w:rsidP="6BCA85EC">
      <w:pPr>
        <w:rPr>
          <w:color w:val="0070C0"/>
        </w:rPr>
      </w:pPr>
      <w:r w:rsidRPr="6BCA85EC">
        <w:rPr>
          <w:color w:val="0070C0"/>
        </w:rPr>
        <w:t>Enterprise Insurance Platform Architecture (Kemper)</w:t>
      </w:r>
    </w:p>
    <w:p w14:paraId="6A05A809" w14:textId="77777777" w:rsidR="005036A1" w:rsidRDefault="005036A1"/>
    <w:p w14:paraId="5A05A9AB" w14:textId="77777777" w:rsidR="005036A1" w:rsidRDefault="6BCA85EC" w:rsidP="6BCA85EC">
      <w:pPr>
        <w:rPr>
          <w:color w:val="0070C0"/>
        </w:rPr>
      </w:pPr>
      <w:r w:rsidRPr="6BCA85EC">
        <w:rPr>
          <w:color w:val="0070C0"/>
        </w:rPr>
        <w:t>Guidewire Core Platforms</w:t>
      </w:r>
    </w:p>
    <w:p w14:paraId="38298818" w14:textId="77777777" w:rsidR="005036A1" w:rsidRDefault="00000000">
      <w:r>
        <w:t>• PolicyCenter</w:t>
      </w:r>
    </w:p>
    <w:p w14:paraId="7B12BC27" w14:textId="77777777" w:rsidR="005036A1" w:rsidRDefault="00000000">
      <w:r>
        <w:t>• BillingCenter</w:t>
      </w:r>
    </w:p>
    <w:p w14:paraId="63F5BE45" w14:textId="77777777" w:rsidR="005036A1" w:rsidRDefault="00000000">
      <w:r>
        <w:t>• Quote / Rating Services</w:t>
      </w:r>
    </w:p>
    <w:p w14:paraId="5A39BBE3" w14:textId="77777777" w:rsidR="005036A1" w:rsidRDefault="005036A1"/>
    <w:p w14:paraId="6AC0A639" w14:textId="77777777" w:rsidR="005036A1" w:rsidRDefault="6BCA85EC" w:rsidP="6BCA85EC">
      <w:pPr>
        <w:rPr>
          <w:color w:val="0070C0"/>
        </w:rPr>
      </w:pPr>
      <w:r w:rsidRPr="6BCA85EC">
        <w:rPr>
          <w:color w:val="0070C0"/>
        </w:rPr>
        <w:t>Application &amp; Services Layer</w:t>
      </w:r>
    </w:p>
    <w:p w14:paraId="2E8E4C0C" w14:textId="77777777" w:rsidR="005036A1" w:rsidRDefault="00000000">
      <w:r>
        <w:t>• Java / Microservices APIs</w:t>
      </w:r>
    </w:p>
    <w:p w14:paraId="75B75C98" w14:textId="77777777" w:rsidR="005036A1" w:rsidRDefault="00000000">
      <w:r>
        <w:t>• Kubernetes container workloads</w:t>
      </w:r>
    </w:p>
    <w:p w14:paraId="481E626E" w14:textId="77777777" w:rsidR="005036A1" w:rsidRDefault="00000000">
      <w:r>
        <w:t>• Integration services and message queues</w:t>
      </w:r>
    </w:p>
    <w:p w14:paraId="41C8F396" w14:textId="77777777" w:rsidR="005036A1" w:rsidRDefault="005036A1"/>
    <w:p w14:paraId="7BE07F25" w14:textId="77777777" w:rsidR="005036A1" w:rsidRDefault="6BCA85EC">
      <w:r w:rsidRPr="6BCA85EC">
        <w:rPr>
          <w:color w:val="0070C0"/>
        </w:rPr>
        <w:t>Telemetry &amp; Monitoring Layer</w:t>
      </w:r>
    </w:p>
    <w:p w14:paraId="782C413A" w14:textId="77777777" w:rsidR="005036A1" w:rsidRDefault="00000000">
      <w:r>
        <w:t>• Prometheus metrics</w:t>
      </w:r>
    </w:p>
    <w:p w14:paraId="099BED0D" w14:textId="77777777" w:rsidR="005036A1" w:rsidRDefault="00000000">
      <w:r>
        <w:t>• AppDynamics agents</w:t>
      </w:r>
    </w:p>
    <w:p w14:paraId="17A22133" w14:textId="77777777" w:rsidR="005036A1" w:rsidRDefault="00000000">
      <w:r>
        <w:t>• JVM performance telemetry</w:t>
      </w:r>
    </w:p>
    <w:p w14:paraId="7A7B1B81" w14:textId="77777777" w:rsidR="005036A1" w:rsidRDefault="00000000">
      <w:r>
        <w:t>• Infrastructure metrics from Kubernetes and AWS</w:t>
      </w:r>
    </w:p>
    <w:p w14:paraId="72A3D3EC" w14:textId="77777777" w:rsidR="005036A1" w:rsidRDefault="005036A1"/>
    <w:p w14:paraId="58C76581" w14:textId="77777777" w:rsidR="005036A1" w:rsidRDefault="6BCA85EC">
      <w:r w:rsidRPr="6BCA85EC">
        <w:rPr>
          <w:color w:val="0070C0"/>
        </w:rPr>
        <w:t>Data Ingestion</w:t>
      </w:r>
    </w:p>
    <w:p w14:paraId="149A69C4" w14:textId="77777777" w:rsidR="005036A1" w:rsidRDefault="00000000">
      <w:r>
        <w:t>• Splunk forwarders and log streams</w:t>
      </w:r>
    </w:p>
    <w:p w14:paraId="0C22891E" w14:textId="77777777" w:rsidR="005036A1" w:rsidRDefault="00000000">
      <w:r>
        <w:t>• Metrics ingestion pipelines</w:t>
      </w:r>
    </w:p>
    <w:p w14:paraId="0D0B940D" w14:textId="77777777" w:rsidR="005036A1" w:rsidRDefault="005036A1"/>
    <w:p w14:paraId="66FE6526" w14:textId="77777777" w:rsidR="005036A1" w:rsidRDefault="6BCA85EC" w:rsidP="6BCA85EC">
      <w:pPr>
        <w:rPr>
          <w:color w:val="0070C0"/>
        </w:rPr>
      </w:pPr>
      <w:r w:rsidRPr="6BCA85EC">
        <w:rPr>
          <w:color w:val="0070C0"/>
        </w:rPr>
        <w:t>AIOps Processing</w:t>
      </w:r>
    </w:p>
    <w:p w14:paraId="7DB57176" w14:textId="77777777" w:rsidR="005036A1" w:rsidRDefault="00000000">
      <w:r>
        <w:t>• Splunk ITSI correlation engine</w:t>
      </w:r>
    </w:p>
    <w:p w14:paraId="115E7880" w14:textId="77777777" w:rsidR="005036A1" w:rsidRDefault="00000000">
      <w:r>
        <w:t>• 10,000+ monitored KPIs</w:t>
      </w:r>
    </w:p>
    <w:p w14:paraId="48A553A6" w14:textId="77777777" w:rsidR="005036A1" w:rsidRDefault="00000000">
      <w:r>
        <w:t>• 100,000+ events processed daily</w:t>
      </w:r>
    </w:p>
    <w:p w14:paraId="49F60996" w14:textId="77777777" w:rsidR="005036A1" w:rsidRDefault="00000000">
      <w:r>
        <w:t>• Machine learning anomaly detection</w:t>
      </w:r>
    </w:p>
    <w:p w14:paraId="0B4379F7" w14:textId="77777777" w:rsidR="005036A1" w:rsidRDefault="00000000">
      <w:r>
        <w:t>• Duplicate event suppression</w:t>
      </w:r>
    </w:p>
    <w:p w14:paraId="0E27B00A" w14:textId="77777777" w:rsidR="005036A1" w:rsidRDefault="005036A1"/>
    <w:p w14:paraId="1705AB34" w14:textId="77777777" w:rsidR="005036A1" w:rsidRDefault="6BCA85EC">
      <w:r w:rsidRPr="6BCA85EC">
        <w:rPr>
          <w:color w:val="0070C0"/>
        </w:rPr>
        <w:t>Incident Intelligence Layer</w:t>
      </w:r>
    </w:p>
    <w:p w14:paraId="03AFF5C1" w14:textId="77777777" w:rsidR="005036A1" w:rsidRDefault="00000000">
      <w:r>
        <w:t>• Automated event correlation</w:t>
      </w:r>
    </w:p>
    <w:p w14:paraId="6D3B251A" w14:textId="77777777" w:rsidR="005036A1" w:rsidRDefault="00000000">
      <w:r>
        <w:t>• Severity classification (Sev‑1 through Sev‑4)</w:t>
      </w:r>
    </w:p>
    <w:p w14:paraId="5757D15B" w14:textId="77777777" w:rsidR="005036A1" w:rsidRDefault="00000000">
      <w:r>
        <w:t>• Root‑cause signal identification</w:t>
      </w:r>
    </w:p>
    <w:p w14:paraId="60061E4C" w14:textId="77777777" w:rsidR="005036A1" w:rsidRDefault="005036A1"/>
    <w:p w14:paraId="512948E2" w14:textId="77777777" w:rsidR="005036A1" w:rsidRDefault="6BCA85EC" w:rsidP="6BCA85EC">
      <w:pPr>
        <w:rPr>
          <w:color w:val="0070C0"/>
        </w:rPr>
      </w:pPr>
      <w:r w:rsidRPr="6BCA85EC">
        <w:rPr>
          <w:color w:val="0070C0"/>
        </w:rPr>
        <w:t>ITSM Automation</w:t>
      </w:r>
    </w:p>
    <w:p w14:paraId="707C9A5C" w14:textId="77777777" w:rsidR="005036A1" w:rsidRDefault="00000000">
      <w:r>
        <w:t>• ServiceNow incident generation</w:t>
      </w:r>
    </w:p>
    <w:p w14:paraId="4671222A" w14:textId="77777777" w:rsidR="005036A1" w:rsidRDefault="00000000">
      <w:r>
        <w:t>• Runbook automation</w:t>
      </w:r>
    </w:p>
    <w:p w14:paraId="09BDFBEF" w14:textId="77777777" w:rsidR="005036A1" w:rsidRDefault="6BCA85EC">
      <w:r>
        <w:t>• Operations response orchestration</w:t>
      </w:r>
    </w:p>
    <w:p w14:paraId="01836DB3" w14:textId="704C2C75" w:rsidR="111C7048" w:rsidRDefault="111C7048" w:rsidP="6BCA85EC">
      <w:pPr>
        <w:spacing w:before="240" w:after="240"/>
        <w:rPr>
          <w:rFonts w:ascii="Times New Roman" w:eastAsia="Times New Roman" w:hAnsi="Times New Roman" w:cs="Times New Roman"/>
          <w:b/>
          <w:bCs/>
          <w:color w:val="0070C0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Guidewire Applications</w:t>
      </w:r>
      <w:r w:rsidR="4896E22E"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Process and Diagram </w:t>
      </w:r>
      <w:r w:rsidR="4E0E6907"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1.2 </w:t>
      </w:r>
    </w:p>
    <w:p w14:paraId="3ECB56A3" w14:textId="01A12F0A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├─ PolicyCenter</w:t>
      </w:r>
    </w:p>
    <w:p w14:paraId="45BFEFC4" w14:textId="3DD938CC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├─ BillingCenter</w:t>
      </w:r>
    </w:p>
    <w:p w14:paraId="0849A583" w14:textId="0052C03E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└─ Quote / Rating Services</w:t>
      </w:r>
    </w:p>
    <w:p w14:paraId="174B79A8" w14:textId="4F8D4C61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│</w:t>
      </w:r>
    </w:p>
    <w:p w14:paraId="5F001884" w14:textId="72038F13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▼</w:t>
      </w:r>
    </w:p>
    <w:p w14:paraId="10BE3542" w14:textId="0BA40811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Application Layer</w:t>
      </w:r>
    </w:p>
    <w:p w14:paraId="3175F7C5" w14:textId="2449943B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(Java / Microservices / APIs)</w:t>
      </w:r>
    </w:p>
    <w:p w14:paraId="6D8652B9" w14:textId="5F1C0D30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lastRenderedPageBreak/>
        <w:t xml:space="preserve">        │</w:t>
      </w:r>
    </w:p>
    <w:p w14:paraId="370A39CD" w14:textId="4EB9936F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▼</w:t>
      </w:r>
    </w:p>
    <w:p w14:paraId="6BA60160" w14:textId="66D408AB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Telemetry Collection</w:t>
      </w:r>
    </w:p>
    <w:p w14:paraId="3D359B4A" w14:textId="045A2D66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Prometheus | AppDynamics | JVM Metrics</w:t>
      </w:r>
    </w:p>
    <w:p w14:paraId="085DBBBA" w14:textId="13B083B2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│</w:t>
      </w:r>
    </w:p>
    <w:p w14:paraId="4D42AF17" w14:textId="78A876CC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▼</w:t>
      </w:r>
    </w:p>
    <w:p w14:paraId="5E1CE619" w14:textId="13209C58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Data Ingestion Layer</w:t>
      </w:r>
    </w:p>
    <w:p w14:paraId="121A4843" w14:textId="7A67C50A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Splunk Forwarders / Log Streams</w:t>
      </w:r>
    </w:p>
    <w:p w14:paraId="5DDDD4FC" w14:textId="2D985460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│</w:t>
      </w:r>
    </w:p>
    <w:p w14:paraId="1F8DF0CD" w14:textId="33E61B88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▼</w:t>
      </w:r>
    </w:p>
    <w:p w14:paraId="51A6D32B" w14:textId="283B35BF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AIOps Processing</w:t>
      </w:r>
    </w:p>
    <w:p w14:paraId="1D45EEF4" w14:textId="51B377C1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Splunk ITSI</w:t>
      </w:r>
    </w:p>
    <w:p w14:paraId="7B0E0B3B" w14:textId="422084F5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• 10,000+ KPIs</w:t>
      </w:r>
    </w:p>
    <w:p w14:paraId="159D7EF5" w14:textId="6479626B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• 100,000 events/day</w:t>
      </w:r>
    </w:p>
    <w:p w14:paraId="3F3EB9EA" w14:textId="78FA23D3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• Event correlation</w:t>
      </w:r>
    </w:p>
    <w:p w14:paraId="046E1C11" w14:textId="716303AD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• Supervised learning</w:t>
      </w:r>
    </w:p>
    <w:p w14:paraId="68FE3328" w14:textId="4173D3F5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│</w:t>
      </w:r>
    </w:p>
    <w:p w14:paraId="526C141C" w14:textId="12F71C3B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▼</w:t>
      </w:r>
    </w:p>
    <w:p w14:paraId="53C4F484" w14:textId="22F7D671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Incident Intelligence</w:t>
      </w:r>
    </w:p>
    <w:p w14:paraId="3356424E" w14:textId="4FD7EBBA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Sev1–Sev4 classification</w:t>
      </w:r>
    </w:p>
    <w:p w14:paraId="23920315" w14:textId="43133BB8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│</w:t>
      </w:r>
    </w:p>
    <w:p w14:paraId="0044C8F5" w14:textId="17226107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 xml:space="preserve">        ▼</w:t>
      </w:r>
    </w:p>
    <w:p w14:paraId="55FB4212" w14:textId="687A1C29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ServiceNow</w:t>
      </w:r>
    </w:p>
    <w:p w14:paraId="3D4DFB57" w14:textId="0F60B98F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lastRenderedPageBreak/>
        <w:t>Automated incident creation</w:t>
      </w:r>
    </w:p>
    <w:p w14:paraId="0C473007" w14:textId="655394A5" w:rsidR="111C7048" w:rsidRDefault="111C7048" w:rsidP="6BCA85EC">
      <w:pPr>
        <w:spacing w:before="240" w:after="240"/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Runbook automation</w:t>
      </w:r>
    </w:p>
    <w:p w14:paraId="4CE77488" w14:textId="6A69175B" w:rsidR="6BCA85EC" w:rsidRDefault="6BCA85EC" w:rsidP="6BCA85EC">
      <w:pPr>
        <w:spacing w:before="240" w:after="240"/>
        <w:rPr>
          <w:rFonts w:ascii="Times New Roman" w:eastAsia="Times New Roman" w:hAnsi="Times New Roman" w:cs="Times New Roman"/>
          <w:b/>
          <w:bCs/>
          <w:color w:val="0070C0"/>
        </w:rPr>
      </w:pPr>
    </w:p>
    <w:p w14:paraId="009A4077" w14:textId="3A45C1C9" w:rsidR="6BCA85EC" w:rsidRDefault="6BCA85EC" w:rsidP="6BCA85EC">
      <w:pPr>
        <w:spacing w:before="240" w:after="240"/>
        <w:rPr>
          <w:rFonts w:ascii="Times New Roman" w:eastAsia="Times New Roman" w:hAnsi="Times New Roman" w:cs="Times New Roman"/>
          <w:b/>
          <w:bCs/>
          <w:color w:val="0070C0"/>
        </w:rPr>
      </w:pPr>
    </w:p>
    <w:p w14:paraId="5E7C6F23" w14:textId="0E9D3FE4" w:rsidR="387F4B7C" w:rsidRDefault="387F4B7C" w:rsidP="6BCA85EC">
      <w:pPr>
        <w:spacing w:before="240" w:after="240"/>
        <w:rPr>
          <w:rFonts w:ascii="Times New Roman" w:eastAsia="Times New Roman" w:hAnsi="Times New Roman" w:cs="Times New Roman"/>
          <w:b/>
          <w:bCs/>
          <w:color w:val="0070C0"/>
        </w:rPr>
      </w:pPr>
      <w:r w:rsidRPr="6BCA85EC">
        <w:rPr>
          <w:rFonts w:ascii="Times New Roman" w:eastAsia="Times New Roman" w:hAnsi="Times New Roman" w:cs="Times New Roman"/>
          <w:b/>
          <w:bCs/>
          <w:color w:val="0070C0"/>
        </w:rPr>
        <w:t>AI- Redesigned for RAG and Scaleable AI Services</w:t>
      </w:r>
    </w:p>
    <w:p w14:paraId="46EB1B03" w14:textId="4C98138D" w:rsidR="56F43EE1" w:rsidRDefault="56F43EE1" w:rsidP="6BCA85EC">
      <w:r>
        <w:rPr>
          <w:noProof/>
        </w:rPr>
        <w:drawing>
          <wp:inline distT="0" distB="0" distL="0" distR="0" wp14:anchorId="52F8EE7A" wp14:editId="1A535B48">
            <wp:extent cx="5943600" cy="3371850"/>
            <wp:effectExtent l="0" t="0" r="0" b="0"/>
            <wp:docPr id="8180105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010587" name="Picture 81801058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B1680" w14:textId="001228B0" w:rsidR="6BCA85EC" w:rsidRDefault="6BCA85EC"/>
    <w:sectPr w:rsidR="6BCA85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3950B"/>
    <w:multiLevelType w:val="hybridMultilevel"/>
    <w:tmpl w:val="37DA1648"/>
    <w:lvl w:ilvl="0" w:tplc="3956F4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A8C9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0C47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E4CB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50A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F8D8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76A3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E9851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EC95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6AC27E"/>
    <w:multiLevelType w:val="hybridMultilevel"/>
    <w:tmpl w:val="A064A584"/>
    <w:lvl w:ilvl="0" w:tplc="222EC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CCC5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6E05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EA6F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426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20A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A0E6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EE7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1EA0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DC4591"/>
    <w:multiLevelType w:val="hybridMultilevel"/>
    <w:tmpl w:val="5BEE4EDE"/>
    <w:lvl w:ilvl="0" w:tplc="10B430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4A9FF0">
      <w:start w:val="1"/>
      <w:numFmt w:val="bullet"/>
      <w:lvlText w:val="o"/>
      <w:lvlJc w:val="left"/>
      <w:pPr>
        <w:ind w:left="1440" w:hanging="360"/>
      </w:pPr>
      <w:rPr>
        <w:rFonts w:ascii="Symbol" w:hAnsi="Symbol" w:hint="default"/>
      </w:rPr>
    </w:lvl>
    <w:lvl w:ilvl="2" w:tplc="3F76F8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70C0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0E13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E8B0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410BF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D8D4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8257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0D8609"/>
    <w:multiLevelType w:val="hybridMultilevel"/>
    <w:tmpl w:val="EBA4AE1A"/>
    <w:lvl w:ilvl="0" w:tplc="997805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C65A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1E7D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6CA9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F0216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EC7D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C628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6C3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EAF5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2BEAC6"/>
    <w:multiLevelType w:val="hybridMultilevel"/>
    <w:tmpl w:val="FC12C830"/>
    <w:lvl w:ilvl="0" w:tplc="62361B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7DC94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C6ED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A417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C49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7EB5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30EDD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766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D88B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971961"/>
    <w:multiLevelType w:val="hybridMultilevel"/>
    <w:tmpl w:val="0A26CD60"/>
    <w:lvl w:ilvl="0" w:tplc="70F625B4">
      <w:start w:val="2"/>
      <w:numFmt w:val="decimal"/>
      <w:lvlText w:val="%1."/>
      <w:lvlJc w:val="left"/>
      <w:pPr>
        <w:ind w:left="720" w:hanging="360"/>
      </w:pPr>
    </w:lvl>
    <w:lvl w:ilvl="1" w:tplc="E3C240CE">
      <w:start w:val="1"/>
      <w:numFmt w:val="lowerLetter"/>
      <w:lvlText w:val="%2."/>
      <w:lvlJc w:val="left"/>
      <w:pPr>
        <w:ind w:left="1440" w:hanging="360"/>
      </w:pPr>
    </w:lvl>
    <w:lvl w:ilvl="2" w:tplc="8F54EE7E">
      <w:start w:val="1"/>
      <w:numFmt w:val="lowerRoman"/>
      <w:lvlText w:val="%3."/>
      <w:lvlJc w:val="right"/>
      <w:pPr>
        <w:ind w:left="2160" w:hanging="180"/>
      </w:pPr>
    </w:lvl>
    <w:lvl w:ilvl="3" w:tplc="D83CFFC0">
      <w:start w:val="1"/>
      <w:numFmt w:val="decimal"/>
      <w:lvlText w:val="%4."/>
      <w:lvlJc w:val="left"/>
      <w:pPr>
        <w:ind w:left="2880" w:hanging="360"/>
      </w:pPr>
    </w:lvl>
    <w:lvl w:ilvl="4" w:tplc="34B45756">
      <w:start w:val="1"/>
      <w:numFmt w:val="lowerLetter"/>
      <w:lvlText w:val="%5."/>
      <w:lvlJc w:val="left"/>
      <w:pPr>
        <w:ind w:left="3600" w:hanging="360"/>
      </w:pPr>
    </w:lvl>
    <w:lvl w:ilvl="5" w:tplc="02A82192">
      <w:start w:val="1"/>
      <w:numFmt w:val="lowerRoman"/>
      <w:lvlText w:val="%6."/>
      <w:lvlJc w:val="right"/>
      <w:pPr>
        <w:ind w:left="4320" w:hanging="180"/>
      </w:pPr>
    </w:lvl>
    <w:lvl w:ilvl="6" w:tplc="3B56CAC2">
      <w:start w:val="1"/>
      <w:numFmt w:val="decimal"/>
      <w:lvlText w:val="%7."/>
      <w:lvlJc w:val="left"/>
      <w:pPr>
        <w:ind w:left="5040" w:hanging="360"/>
      </w:pPr>
    </w:lvl>
    <w:lvl w:ilvl="7" w:tplc="F500C254">
      <w:start w:val="1"/>
      <w:numFmt w:val="lowerLetter"/>
      <w:lvlText w:val="%8."/>
      <w:lvlJc w:val="left"/>
      <w:pPr>
        <w:ind w:left="5760" w:hanging="360"/>
      </w:pPr>
    </w:lvl>
    <w:lvl w:ilvl="8" w:tplc="C05888CC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2FB99B"/>
    <w:multiLevelType w:val="hybridMultilevel"/>
    <w:tmpl w:val="92509D72"/>
    <w:lvl w:ilvl="0" w:tplc="B192A5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107B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D4B3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6667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4EC6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29643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3C69A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9089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100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2491FC"/>
    <w:multiLevelType w:val="hybridMultilevel"/>
    <w:tmpl w:val="C2D61B92"/>
    <w:lvl w:ilvl="0" w:tplc="FC22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0027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3E2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3F87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0D5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8E6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2054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3EB25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C0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FE42DE"/>
    <w:multiLevelType w:val="hybridMultilevel"/>
    <w:tmpl w:val="B99E727E"/>
    <w:lvl w:ilvl="0" w:tplc="A942FA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801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C811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FEC9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7E42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92B2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02838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644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76AD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ED4CAC"/>
    <w:multiLevelType w:val="hybridMultilevel"/>
    <w:tmpl w:val="48F40E40"/>
    <w:lvl w:ilvl="0" w:tplc="2FFA12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9C92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D6D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8EA0E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BC86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65F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CEF6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392DA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201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D594C9"/>
    <w:multiLevelType w:val="hybridMultilevel"/>
    <w:tmpl w:val="F7C85DA0"/>
    <w:lvl w:ilvl="0" w:tplc="5F4EC5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D092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F642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98B6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7214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546E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32EE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BADE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5AB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8B5ED6"/>
    <w:multiLevelType w:val="hybridMultilevel"/>
    <w:tmpl w:val="1AD2664C"/>
    <w:lvl w:ilvl="0" w:tplc="FDE27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7AB8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D259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AA59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10C0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5EA6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FA61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D87B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20F8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6361842">
    <w:abstractNumId w:val="5"/>
  </w:num>
  <w:num w:numId="2" w16cid:durableId="2023433460">
    <w:abstractNumId w:val="8"/>
  </w:num>
  <w:num w:numId="3" w16cid:durableId="1998534185">
    <w:abstractNumId w:val="10"/>
  </w:num>
  <w:num w:numId="4" w16cid:durableId="1446970552">
    <w:abstractNumId w:val="7"/>
  </w:num>
  <w:num w:numId="5" w16cid:durableId="729619996">
    <w:abstractNumId w:val="1"/>
  </w:num>
  <w:num w:numId="6" w16cid:durableId="1690832865">
    <w:abstractNumId w:val="4"/>
  </w:num>
  <w:num w:numId="7" w16cid:durableId="1573655444">
    <w:abstractNumId w:val="0"/>
  </w:num>
  <w:num w:numId="8" w16cid:durableId="1184708238">
    <w:abstractNumId w:val="2"/>
  </w:num>
  <w:num w:numId="9" w16cid:durableId="557279201">
    <w:abstractNumId w:val="3"/>
  </w:num>
  <w:num w:numId="10" w16cid:durableId="45223520">
    <w:abstractNumId w:val="6"/>
  </w:num>
  <w:num w:numId="11" w16cid:durableId="1432779197">
    <w:abstractNumId w:val="9"/>
  </w:num>
  <w:num w:numId="12" w16cid:durableId="129764385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32FEE0"/>
    <w:rsid w:val="005036A1"/>
    <w:rsid w:val="0064AE8F"/>
    <w:rsid w:val="00794FDE"/>
    <w:rsid w:val="00B4664C"/>
    <w:rsid w:val="00E22D76"/>
    <w:rsid w:val="012D48F3"/>
    <w:rsid w:val="01AC4A15"/>
    <w:rsid w:val="01E27410"/>
    <w:rsid w:val="021473A0"/>
    <w:rsid w:val="02DEF654"/>
    <w:rsid w:val="033FEB9E"/>
    <w:rsid w:val="03531AAE"/>
    <w:rsid w:val="04272430"/>
    <w:rsid w:val="048BB658"/>
    <w:rsid w:val="04920B12"/>
    <w:rsid w:val="0556C027"/>
    <w:rsid w:val="057724AD"/>
    <w:rsid w:val="05F41851"/>
    <w:rsid w:val="069F2F7A"/>
    <w:rsid w:val="06CDE92E"/>
    <w:rsid w:val="07D58B91"/>
    <w:rsid w:val="07F6EB83"/>
    <w:rsid w:val="07FB6448"/>
    <w:rsid w:val="08AB465F"/>
    <w:rsid w:val="0919D56D"/>
    <w:rsid w:val="094259E0"/>
    <w:rsid w:val="0A4BD727"/>
    <w:rsid w:val="0A8F049C"/>
    <w:rsid w:val="0AB26A35"/>
    <w:rsid w:val="0B778D7A"/>
    <w:rsid w:val="0E2A76ED"/>
    <w:rsid w:val="0E9311A9"/>
    <w:rsid w:val="0EE69893"/>
    <w:rsid w:val="0EF74628"/>
    <w:rsid w:val="0F1A8C42"/>
    <w:rsid w:val="0FF03E3E"/>
    <w:rsid w:val="102A5AA8"/>
    <w:rsid w:val="102FAD38"/>
    <w:rsid w:val="1092A29B"/>
    <w:rsid w:val="10A8D821"/>
    <w:rsid w:val="10D2E71C"/>
    <w:rsid w:val="10EC86FA"/>
    <w:rsid w:val="111C7048"/>
    <w:rsid w:val="11FCE64F"/>
    <w:rsid w:val="122007E1"/>
    <w:rsid w:val="1290D6B3"/>
    <w:rsid w:val="12DE4CC5"/>
    <w:rsid w:val="1325268C"/>
    <w:rsid w:val="13CD322C"/>
    <w:rsid w:val="13CFE47C"/>
    <w:rsid w:val="13F7C9E9"/>
    <w:rsid w:val="152D6127"/>
    <w:rsid w:val="15859569"/>
    <w:rsid w:val="163ADC77"/>
    <w:rsid w:val="16D4C966"/>
    <w:rsid w:val="1726564E"/>
    <w:rsid w:val="182546B6"/>
    <w:rsid w:val="1882FAD2"/>
    <w:rsid w:val="19B6046D"/>
    <w:rsid w:val="1A962DA4"/>
    <w:rsid w:val="1AB6D586"/>
    <w:rsid w:val="1BE22B1B"/>
    <w:rsid w:val="1C38FE99"/>
    <w:rsid w:val="1D89AED7"/>
    <w:rsid w:val="1D9F89B3"/>
    <w:rsid w:val="1E16C099"/>
    <w:rsid w:val="1E56DA10"/>
    <w:rsid w:val="1FAAD50A"/>
    <w:rsid w:val="1FD42C15"/>
    <w:rsid w:val="1FE8E4B8"/>
    <w:rsid w:val="206F6F7A"/>
    <w:rsid w:val="20B5123E"/>
    <w:rsid w:val="215A9117"/>
    <w:rsid w:val="21682549"/>
    <w:rsid w:val="2175993E"/>
    <w:rsid w:val="217C5E28"/>
    <w:rsid w:val="2260F828"/>
    <w:rsid w:val="23CECFEA"/>
    <w:rsid w:val="24ECBE58"/>
    <w:rsid w:val="24F03F47"/>
    <w:rsid w:val="25332254"/>
    <w:rsid w:val="253459C4"/>
    <w:rsid w:val="25452EA3"/>
    <w:rsid w:val="2549F7A3"/>
    <w:rsid w:val="2584D92E"/>
    <w:rsid w:val="277D3506"/>
    <w:rsid w:val="27C06398"/>
    <w:rsid w:val="2822FD66"/>
    <w:rsid w:val="286260C7"/>
    <w:rsid w:val="2A6A45BE"/>
    <w:rsid w:val="2B34E74D"/>
    <w:rsid w:val="2BD74A9A"/>
    <w:rsid w:val="2C8CBBC7"/>
    <w:rsid w:val="2CEC7DC6"/>
    <w:rsid w:val="2CF3F96A"/>
    <w:rsid w:val="2D3B5D23"/>
    <w:rsid w:val="2D46EA1F"/>
    <w:rsid w:val="2D66E3D0"/>
    <w:rsid w:val="2DC4C0C1"/>
    <w:rsid w:val="2DF98E25"/>
    <w:rsid w:val="2E088B0F"/>
    <w:rsid w:val="2E32FEE0"/>
    <w:rsid w:val="2F0ECB1A"/>
    <w:rsid w:val="2F6ED3CB"/>
    <w:rsid w:val="2FF41F95"/>
    <w:rsid w:val="30904F8D"/>
    <w:rsid w:val="30D6E38F"/>
    <w:rsid w:val="313868B6"/>
    <w:rsid w:val="31522DD4"/>
    <w:rsid w:val="316D3F8A"/>
    <w:rsid w:val="31AC821A"/>
    <w:rsid w:val="31B8A67E"/>
    <w:rsid w:val="31FEFEAF"/>
    <w:rsid w:val="32292FA7"/>
    <w:rsid w:val="33EB4F8B"/>
    <w:rsid w:val="33F99C8E"/>
    <w:rsid w:val="3445C132"/>
    <w:rsid w:val="348D6DBF"/>
    <w:rsid w:val="3622A3E4"/>
    <w:rsid w:val="366CB379"/>
    <w:rsid w:val="36710F8D"/>
    <w:rsid w:val="379AFEEB"/>
    <w:rsid w:val="37AA69C0"/>
    <w:rsid w:val="37C945E7"/>
    <w:rsid w:val="387F4B7C"/>
    <w:rsid w:val="395AF259"/>
    <w:rsid w:val="39F80937"/>
    <w:rsid w:val="3A4C5D4E"/>
    <w:rsid w:val="3A6F37E3"/>
    <w:rsid w:val="3B4E74C5"/>
    <w:rsid w:val="3B6187F6"/>
    <w:rsid w:val="3B9AD42B"/>
    <w:rsid w:val="3BB1F66B"/>
    <w:rsid w:val="3CB8C171"/>
    <w:rsid w:val="3CF63207"/>
    <w:rsid w:val="3D2F8A30"/>
    <w:rsid w:val="3E85E13B"/>
    <w:rsid w:val="3F358027"/>
    <w:rsid w:val="4062981F"/>
    <w:rsid w:val="409A9C88"/>
    <w:rsid w:val="4133338E"/>
    <w:rsid w:val="413732B5"/>
    <w:rsid w:val="4138E095"/>
    <w:rsid w:val="415A7B3E"/>
    <w:rsid w:val="41928857"/>
    <w:rsid w:val="41F38E58"/>
    <w:rsid w:val="42EB9902"/>
    <w:rsid w:val="42EE7F86"/>
    <w:rsid w:val="43723FE2"/>
    <w:rsid w:val="447D61A0"/>
    <w:rsid w:val="46516311"/>
    <w:rsid w:val="46B1EDB1"/>
    <w:rsid w:val="4718167E"/>
    <w:rsid w:val="475F03DE"/>
    <w:rsid w:val="47D524AF"/>
    <w:rsid w:val="47E4E132"/>
    <w:rsid w:val="4896E22E"/>
    <w:rsid w:val="48C55871"/>
    <w:rsid w:val="4ACC1FF8"/>
    <w:rsid w:val="4B0F14FD"/>
    <w:rsid w:val="4B163BB2"/>
    <w:rsid w:val="4B5123B3"/>
    <w:rsid w:val="4BBD1D58"/>
    <w:rsid w:val="4BC03B1A"/>
    <w:rsid w:val="4C15F798"/>
    <w:rsid w:val="4C5B9401"/>
    <w:rsid w:val="4C7658AD"/>
    <w:rsid w:val="4C82AE3E"/>
    <w:rsid w:val="4CB12640"/>
    <w:rsid w:val="4D683AFF"/>
    <w:rsid w:val="4DAA7D6A"/>
    <w:rsid w:val="4E0E6907"/>
    <w:rsid w:val="4E5E775D"/>
    <w:rsid w:val="4F2F0774"/>
    <w:rsid w:val="50D51604"/>
    <w:rsid w:val="529419E1"/>
    <w:rsid w:val="52CAA397"/>
    <w:rsid w:val="539EE718"/>
    <w:rsid w:val="5411F2B4"/>
    <w:rsid w:val="56074684"/>
    <w:rsid w:val="5678CE15"/>
    <w:rsid w:val="569736E5"/>
    <w:rsid w:val="569FD433"/>
    <w:rsid w:val="56B8035B"/>
    <w:rsid w:val="56C47E5F"/>
    <w:rsid w:val="56DAD923"/>
    <w:rsid w:val="56F43EE1"/>
    <w:rsid w:val="576615E2"/>
    <w:rsid w:val="576AA13F"/>
    <w:rsid w:val="58B23142"/>
    <w:rsid w:val="58F55EF6"/>
    <w:rsid w:val="5928AD76"/>
    <w:rsid w:val="5A082525"/>
    <w:rsid w:val="5A1E7FA7"/>
    <w:rsid w:val="5A7E808A"/>
    <w:rsid w:val="5AC133ED"/>
    <w:rsid w:val="5AF8034E"/>
    <w:rsid w:val="5BC73337"/>
    <w:rsid w:val="5BDC5319"/>
    <w:rsid w:val="5C880813"/>
    <w:rsid w:val="5CA0B85D"/>
    <w:rsid w:val="5D102922"/>
    <w:rsid w:val="5D8A3052"/>
    <w:rsid w:val="5D8CBBC2"/>
    <w:rsid w:val="5DE2D90D"/>
    <w:rsid w:val="5E503E2F"/>
    <w:rsid w:val="5FA3BEB7"/>
    <w:rsid w:val="5FA6761B"/>
    <w:rsid w:val="60080DA6"/>
    <w:rsid w:val="614B93CF"/>
    <w:rsid w:val="61A239B4"/>
    <w:rsid w:val="62439ECF"/>
    <w:rsid w:val="632B5571"/>
    <w:rsid w:val="63478FEB"/>
    <w:rsid w:val="63B9DF83"/>
    <w:rsid w:val="645A8963"/>
    <w:rsid w:val="6460FB6A"/>
    <w:rsid w:val="65F1FF14"/>
    <w:rsid w:val="666DEF87"/>
    <w:rsid w:val="669B4700"/>
    <w:rsid w:val="66C1C924"/>
    <w:rsid w:val="670B63AD"/>
    <w:rsid w:val="682B20A7"/>
    <w:rsid w:val="68B5700D"/>
    <w:rsid w:val="69633862"/>
    <w:rsid w:val="69741140"/>
    <w:rsid w:val="69896C82"/>
    <w:rsid w:val="69A7A04C"/>
    <w:rsid w:val="69A93E4F"/>
    <w:rsid w:val="6A72F163"/>
    <w:rsid w:val="6AA274F4"/>
    <w:rsid w:val="6AE32DE3"/>
    <w:rsid w:val="6BC5EB41"/>
    <w:rsid w:val="6BCA85EC"/>
    <w:rsid w:val="6E421F80"/>
    <w:rsid w:val="6E750FC1"/>
    <w:rsid w:val="6F71110D"/>
    <w:rsid w:val="6FC567E4"/>
    <w:rsid w:val="7165E082"/>
    <w:rsid w:val="73119EFF"/>
    <w:rsid w:val="7324D49C"/>
    <w:rsid w:val="73392F92"/>
    <w:rsid w:val="73451A4E"/>
    <w:rsid w:val="73FA3ECB"/>
    <w:rsid w:val="742A7FF6"/>
    <w:rsid w:val="745C91A2"/>
    <w:rsid w:val="745E5A4A"/>
    <w:rsid w:val="75091853"/>
    <w:rsid w:val="753F5522"/>
    <w:rsid w:val="76C58B7D"/>
    <w:rsid w:val="7714977C"/>
    <w:rsid w:val="77B50608"/>
    <w:rsid w:val="77B51044"/>
    <w:rsid w:val="79985999"/>
    <w:rsid w:val="79AEEDA9"/>
    <w:rsid w:val="7A03C453"/>
    <w:rsid w:val="7A2CDDFD"/>
    <w:rsid w:val="7B5F92BB"/>
    <w:rsid w:val="7BAEC1B0"/>
    <w:rsid w:val="7BDCCE1F"/>
    <w:rsid w:val="7BE923F3"/>
    <w:rsid w:val="7C81598C"/>
    <w:rsid w:val="7CE7369A"/>
    <w:rsid w:val="7DEA439C"/>
    <w:rsid w:val="7E254AAD"/>
    <w:rsid w:val="7E37CE0A"/>
    <w:rsid w:val="7EDB44F0"/>
    <w:rsid w:val="7F53BF7D"/>
    <w:rsid w:val="7FFF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2FEE0"/>
  <w15:chartTrackingRefBased/>
  <w15:docId w15:val="{4C3AC918-EC00-48DB-8341-A35512131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BCA8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3A6F3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3A6F3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3A6F37E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3A6F37E3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664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n.oneal@boydgroup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danielsoos@outlook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jay_ngin@hot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linkedin.com/in/jngin/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11</Pages>
  <Words>2017</Words>
  <Characters>11500</Characters>
  <Application>Microsoft Office Word</Application>
  <DocSecurity>0</DocSecurity>
  <Lines>95</Lines>
  <Paragraphs>26</Paragraphs>
  <ScaleCrop>false</ScaleCrop>
  <Company/>
  <LinksUpToDate>false</LinksUpToDate>
  <CharactersWithSpaces>13491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Ngin</dc:creator>
  <cp:keywords/>
  <dc:description/>
  <cp:lastModifiedBy>Goutham</cp:lastModifiedBy>
  <cp:revision>2</cp:revision>
  <dcterms:created xsi:type="dcterms:W3CDTF">2026-03-18T20:22:00Z</dcterms:created>
  <dcterms:modified xsi:type="dcterms:W3CDTF">2026-03-18T20:22:00Z</dcterms:modified>
</cp:coreProperties>
</file>