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E1BA17" w14:textId="33937504" w:rsidR="004A261E" w:rsidRPr="00110D1C" w:rsidRDefault="00EF2056" w:rsidP="004A261E">
      <w:pPr>
        <w:jc w:val="center"/>
        <w:rPr>
          <w:rFonts w:ascii="Arial" w:eastAsia="Arial" w:hAnsi="Arial" w:cs="Arial"/>
          <w:b/>
          <w:color w:val="000000"/>
          <w:sz w:val="20"/>
          <w:szCs w:val="20"/>
          <w:u w:val="single"/>
        </w:rPr>
      </w:pPr>
      <w:r w:rsidRPr="00110D1C">
        <w:rPr>
          <w:rFonts w:ascii="Arial" w:eastAsia="Arial" w:hAnsi="Arial" w:cs="Arial"/>
          <w:b/>
          <w:color w:val="000000"/>
          <w:sz w:val="20"/>
          <w:szCs w:val="20"/>
          <w:u w:val="single"/>
        </w:rPr>
        <w:t>MALIKA MITTAL</w:t>
      </w:r>
    </w:p>
    <w:p w14:paraId="05ACBEEA" w14:textId="4F09957C" w:rsidR="004A261E" w:rsidRPr="001B547B" w:rsidRDefault="00104507" w:rsidP="00C842B7">
      <w:pPr>
        <w:pBdr>
          <w:top w:val="nil"/>
          <w:left w:val="nil"/>
          <w:bottom w:val="nil"/>
          <w:right w:val="nil"/>
          <w:between w:val="nil"/>
        </w:pBdr>
        <w:tabs>
          <w:tab w:val="center" w:pos="4680"/>
          <w:tab w:val="right" w:pos="9360"/>
        </w:tabs>
        <w:spacing w:after="0"/>
        <w:jc w:val="center"/>
        <w:rPr>
          <w:rFonts w:asciiTheme="minorHAnsi" w:hAnsiTheme="minorHAnsi" w:cstheme="minorHAnsi"/>
          <w:color w:val="000000"/>
          <w:sz w:val="20"/>
          <w:szCs w:val="20"/>
        </w:rPr>
      </w:pPr>
      <w:r>
        <w:rPr>
          <w:rFonts w:asciiTheme="minorHAnsi" w:hAnsiTheme="minorHAnsi" w:cstheme="minorHAnsi"/>
          <w:sz w:val="20"/>
          <w:szCs w:val="20"/>
        </w:rPr>
        <w:t>Reach.malika87</w:t>
      </w:r>
      <w:bookmarkStart w:id="0" w:name="_GoBack"/>
      <w:bookmarkEnd w:id="0"/>
      <w:r w:rsidR="00C842B7" w:rsidRPr="001B547B">
        <w:rPr>
          <w:rFonts w:asciiTheme="minorHAnsi" w:hAnsiTheme="minorHAnsi" w:cstheme="minorHAnsi"/>
          <w:sz w:val="20"/>
          <w:szCs w:val="20"/>
        </w:rPr>
        <w:t>@gmail.com</w:t>
      </w:r>
      <w:r w:rsidR="004A261E" w:rsidRPr="001B547B">
        <w:rPr>
          <w:rFonts w:asciiTheme="minorHAnsi" w:hAnsiTheme="minorHAnsi" w:cstheme="minorHAnsi"/>
          <w:color w:val="000000"/>
          <w:sz w:val="20"/>
          <w:szCs w:val="20"/>
        </w:rPr>
        <w:tab/>
      </w:r>
      <w:r w:rsidR="00C842B7" w:rsidRPr="001B547B">
        <w:rPr>
          <w:rFonts w:asciiTheme="minorHAnsi" w:hAnsiTheme="minorHAnsi" w:cstheme="minorHAnsi"/>
          <w:color w:val="000000"/>
          <w:sz w:val="20"/>
          <w:szCs w:val="20"/>
        </w:rPr>
        <w:t xml:space="preserve"> | </w:t>
      </w:r>
      <w:r w:rsidR="00B436E2" w:rsidRPr="001B547B">
        <w:rPr>
          <w:rFonts w:asciiTheme="minorHAnsi" w:hAnsiTheme="minorHAnsi" w:cstheme="minorHAnsi"/>
          <w:color w:val="000000"/>
          <w:sz w:val="20"/>
          <w:szCs w:val="20"/>
        </w:rPr>
        <w:t xml:space="preserve"> </w:t>
      </w:r>
      <w:hyperlink r:id="rId9" w:history="1">
        <w:r w:rsidR="00B436E2" w:rsidRPr="001B547B">
          <w:rPr>
            <w:rStyle w:val="Hyperlink"/>
            <w:rFonts w:asciiTheme="minorHAnsi" w:hAnsiTheme="minorHAnsi" w:cstheme="minorHAnsi"/>
            <w:sz w:val="20"/>
            <w:szCs w:val="20"/>
          </w:rPr>
          <w:t>www.linkedin.com/in/malika-mittal-724822117</w:t>
        </w:r>
      </w:hyperlink>
      <w:r w:rsidR="00C842B7" w:rsidRPr="001B547B">
        <w:rPr>
          <w:rFonts w:asciiTheme="minorHAnsi" w:hAnsiTheme="minorHAnsi" w:cstheme="minorHAnsi"/>
          <w:sz w:val="20"/>
          <w:szCs w:val="20"/>
        </w:rPr>
        <w:t xml:space="preserve"> </w:t>
      </w:r>
      <w:r w:rsidR="00B436E2" w:rsidRPr="001B547B">
        <w:rPr>
          <w:rFonts w:asciiTheme="minorHAnsi" w:hAnsiTheme="minorHAnsi" w:cstheme="minorHAnsi"/>
          <w:sz w:val="20"/>
          <w:szCs w:val="20"/>
        </w:rPr>
        <w:t xml:space="preserve"> </w:t>
      </w:r>
      <w:r w:rsidR="00C842B7" w:rsidRPr="001B547B">
        <w:rPr>
          <w:rFonts w:asciiTheme="minorHAnsi" w:hAnsiTheme="minorHAnsi" w:cstheme="minorHAnsi"/>
          <w:color w:val="000000"/>
          <w:sz w:val="20"/>
          <w:szCs w:val="20"/>
        </w:rPr>
        <w:t>|</w:t>
      </w:r>
      <w:r w:rsidR="00B436E2" w:rsidRPr="001B547B">
        <w:rPr>
          <w:rFonts w:asciiTheme="minorHAnsi" w:hAnsiTheme="minorHAnsi" w:cstheme="minorHAnsi"/>
          <w:color w:val="000000"/>
          <w:sz w:val="20"/>
          <w:szCs w:val="20"/>
        </w:rPr>
        <w:t xml:space="preserve"> </w:t>
      </w:r>
      <w:r w:rsidR="00C842B7" w:rsidRPr="001B547B">
        <w:rPr>
          <w:rFonts w:asciiTheme="minorHAnsi" w:hAnsiTheme="minorHAnsi" w:cstheme="minorHAnsi"/>
          <w:color w:val="000000"/>
          <w:sz w:val="20"/>
          <w:szCs w:val="20"/>
        </w:rPr>
        <w:t xml:space="preserve"> 682-367-9058</w:t>
      </w:r>
    </w:p>
    <w:p w14:paraId="4F24DBD4" w14:textId="7F253966" w:rsidR="004A261E" w:rsidRPr="001B547B" w:rsidRDefault="004A261E" w:rsidP="004A261E">
      <w:pPr>
        <w:pBdr>
          <w:top w:val="nil"/>
          <w:left w:val="nil"/>
          <w:bottom w:val="single" w:sz="6" w:space="1" w:color="000000"/>
          <w:right w:val="nil"/>
          <w:between w:val="nil"/>
        </w:pBdr>
        <w:tabs>
          <w:tab w:val="center" w:pos="4680"/>
          <w:tab w:val="right" w:pos="9360"/>
        </w:tabs>
        <w:rPr>
          <w:rFonts w:asciiTheme="minorHAnsi" w:eastAsia="Arial" w:hAnsiTheme="minorHAnsi" w:cstheme="minorHAnsi"/>
          <w:b/>
          <w:color w:val="000000"/>
          <w:sz w:val="20"/>
          <w:szCs w:val="20"/>
          <w:u w:val="single"/>
        </w:rPr>
      </w:pPr>
      <w:r w:rsidRPr="001B547B">
        <w:rPr>
          <w:rFonts w:asciiTheme="minorHAnsi" w:eastAsia="Arial" w:hAnsiTheme="minorHAnsi" w:cstheme="minorHAnsi"/>
          <w:b/>
          <w:color w:val="000000"/>
          <w:sz w:val="20"/>
          <w:szCs w:val="20"/>
          <w:u w:val="single"/>
        </w:rPr>
        <w:t xml:space="preserve">                                                                                                                                               </w:t>
      </w:r>
    </w:p>
    <w:p w14:paraId="4A1D6488" w14:textId="77777777" w:rsidR="00433FA9" w:rsidRPr="00AF14DB" w:rsidRDefault="00433FA9" w:rsidP="00433FA9">
      <w:pPr>
        <w:jc w:val="center"/>
        <w:rPr>
          <w:rFonts w:ascii="Arial" w:eastAsia="Arial" w:hAnsi="Arial" w:cs="Arial"/>
          <w:b/>
          <w:color w:val="000000"/>
          <w:sz w:val="18"/>
          <w:szCs w:val="18"/>
          <w:u w:val="single"/>
        </w:rPr>
      </w:pPr>
      <w:r w:rsidRPr="00AF14DB">
        <w:rPr>
          <w:rFonts w:ascii="Arial" w:eastAsia="Arial" w:hAnsi="Arial" w:cs="Arial"/>
          <w:b/>
          <w:color w:val="000000"/>
          <w:sz w:val="18"/>
          <w:szCs w:val="18"/>
          <w:u w:val="single"/>
        </w:rPr>
        <w:t>EXECUTIVE SUMMARY</w:t>
      </w:r>
    </w:p>
    <w:p w14:paraId="14A60732" w14:textId="77777777" w:rsidR="001432CE" w:rsidRPr="001432CE" w:rsidRDefault="001432CE" w:rsidP="001432CE">
      <w:pPr>
        <w:spacing w:after="0"/>
        <w:jc w:val="both"/>
        <w:rPr>
          <w:rFonts w:ascii="Arial" w:eastAsia="Arial" w:hAnsi="Arial" w:cs="Arial"/>
          <w:color w:val="000000"/>
          <w:sz w:val="18"/>
          <w:szCs w:val="18"/>
          <w:lang w:eastAsia="fr-FR"/>
        </w:rPr>
      </w:pPr>
      <w:r w:rsidRPr="001432CE">
        <w:rPr>
          <w:rFonts w:ascii="Arial" w:eastAsia="Arial" w:hAnsi="Arial" w:cs="Arial"/>
          <w:b/>
          <w:bCs/>
          <w:color w:val="000000"/>
          <w:sz w:val="18"/>
          <w:szCs w:val="18"/>
          <w:lang w:eastAsia="fr-FR"/>
        </w:rPr>
        <w:t>Results-driven Data Governance and Data Engineering professional with 15+ years of experience</w:t>
      </w:r>
      <w:r w:rsidRPr="001432CE">
        <w:rPr>
          <w:rFonts w:ascii="Arial" w:eastAsia="Arial" w:hAnsi="Arial" w:cs="Arial"/>
          <w:color w:val="000000"/>
          <w:sz w:val="18"/>
          <w:szCs w:val="18"/>
          <w:lang w:eastAsia="fr-FR"/>
        </w:rPr>
        <w:t xml:space="preserve"> ensuring accuracy, consistency, and integrity of enterprise and customer data across banking, healthcare, and marketing domains. Expertise in implementing data governance frameworks, data quality programs, and enterprise data integration solutions, including ETL, data warehousing, metadata management, data lineage, and cataloging.</w:t>
      </w:r>
    </w:p>
    <w:p w14:paraId="406EB2C0" w14:textId="77777777" w:rsidR="001432CE" w:rsidRPr="001432CE" w:rsidRDefault="001432CE" w:rsidP="001432CE">
      <w:pPr>
        <w:spacing w:after="0"/>
        <w:jc w:val="both"/>
        <w:rPr>
          <w:rFonts w:ascii="Arial" w:eastAsia="Arial" w:hAnsi="Arial" w:cs="Arial"/>
          <w:color w:val="000000"/>
          <w:sz w:val="18"/>
          <w:szCs w:val="18"/>
          <w:lang w:eastAsia="fr-FR"/>
        </w:rPr>
      </w:pPr>
      <w:r w:rsidRPr="001432CE">
        <w:rPr>
          <w:rFonts w:ascii="Arial" w:eastAsia="Arial" w:hAnsi="Arial" w:cs="Arial"/>
          <w:color w:val="000000"/>
          <w:sz w:val="18"/>
          <w:szCs w:val="18"/>
          <w:lang w:eastAsia="fr-FR"/>
        </w:rPr>
        <w:t>Proven ability to define governance policies, establish data standards, and resolve complex data quality issues while partnering with business and technology stakeholders to deliver trusted data and actionable insights. Experienced in aligning governance processes with Critical Data Elements (CDEs), enabling regulatory compliance, scalable data platforms, and data-driven decision-making across large organizations.</w:t>
      </w:r>
    </w:p>
    <w:p w14:paraId="58988297" w14:textId="77777777" w:rsidR="00551165" w:rsidRPr="00AF14DB" w:rsidRDefault="00551165" w:rsidP="00551165">
      <w:pPr>
        <w:spacing w:after="0"/>
        <w:rPr>
          <w:rFonts w:ascii="Arial" w:eastAsia="Arial" w:hAnsi="Arial" w:cs="Arial"/>
          <w:sz w:val="18"/>
          <w:szCs w:val="18"/>
        </w:rPr>
      </w:pPr>
    </w:p>
    <w:p w14:paraId="00000024" w14:textId="14F52781" w:rsidR="00C420C4" w:rsidRPr="00AF14DB" w:rsidRDefault="00282B0E" w:rsidP="00282B0E">
      <w:pPr>
        <w:jc w:val="center"/>
        <w:rPr>
          <w:rFonts w:ascii="Arial" w:eastAsia="Arial" w:hAnsi="Arial" w:cs="Arial"/>
          <w:b/>
          <w:color w:val="000000"/>
          <w:sz w:val="18"/>
          <w:szCs w:val="18"/>
          <w:u w:val="single"/>
        </w:rPr>
      </w:pPr>
      <w:r w:rsidRPr="00AF14DB">
        <w:rPr>
          <w:rFonts w:ascii="Arial" w:eastAsia="Arial" w:hAnsi="Arial" w:cs="Arial"/>
          <w:b/>
          <w:color w:val="000000"/>
          <w:sz w:val="18"/>
          <w:szCs w:val="18"/>
          <w:u w:val="single"/>
        </w:rPr>
        <w:t xml:space="preserve">KEY DOMAIN </w:t>
      </w:r>
      <w:r w:rsidR="00A252A2" w:rsidRPr="00AF14DB">
        <w:rPr>
          <w:rFonts w:ascii="Arial" w:eastAsia="Arial" w:hAnsi="Arial" w:cs="Arial"/>
          <w:b/>
          <w:color w:val="000000"/>
          <w:sz w:val="18"/>
          <w:szCs w:val="18"/>
          <w:u w:val="single"/>
        </w:rPr>
        <w:t>&amp;</w:t>
      </w:r>
      <w:r w:rsidRPr="00AF14DB">
        <w:rPr>
          <w:rFonts w:ascii="Arial" w:eastAsia="Arial" w:hAnsi="Arial" w:cs="Arial"/>
          <w:b/>
          <w:color w:val="000000"/>
          <w:sz w:val="18"/>
          <w:szCs w:val="18"/>
          <w:u w:val="single"/>
        </w:rPr>
        <w:t xml:space="preserve"> TECHNICAL SKILLS</w:t>
      </w:r>
    </w:p>
    <w:p w14:paraId="28F437EE" w14:textId="6A57E92C" w:rsidR="00AF2F23" w:rsidRPr="00AF14DB" w:rsidRDefault="00E35708" w:rsidP="00AC4A01">
      <w:pPr>
        <w:pBdr>
          <w:top w:val="nil"/>
          <w:left w:val="nil"/>
          <w:bottom w:val="nil"/>
          <w:right w:val="nil"/>
          <w:between w:val="nil"/>
        </w:pBdr>
        <w:spacing w:after="0"/>
        <w:rPr>
          <w:rFonts w:ascii="Arial" w:eastAsia="Arial" w:hAnsi="Arial" w:cs="Arial"/>
          <w:sz w:val="18"/>
          <w:szCs w:val="18"/>
        </w:rPr>
      </w:pPr>
      <w:bookmarkStart w:id="1" w:name="_Hlk134461638"/>
      <w:r w:rsidRPr="00AF14DB">
        <w:rPr>
          <w:rFonts w:ascii="Arial" w:eastAsia="Arial" w:hAnsi="Arial" w:cs="Arial"/>
          <w:b/>
          <w:bCs/>
          <w:sz w:val="18"/>
          <w:szCs w:val="18"/>
        </w:rPr>
        <w:t>Data Governance &amp; Stewardship</w:t>
      </w:r>
      <w:r w:rsidRPr="00AF14DB">
        <w:rPr>
          <w:rFonts w:ascii="Arial" w:eastAsia="Arial" w:hAnsi="Arial" w:cs="Arial"/>
          <w:sz w:val="18"/>
          <w:szCs w:val="18"/>
        </w:rPr>
        <w:t xml:space="preserve">: </w:t>
      </w:r>
      <w:r w:rsidR="00CB253D" w:rsidRPr="00AF14DB">
        <w:rPr>
          <w:rFonts w:ascii="Arial" w:eastAsia="Arial" w:hAnsi="Arial" w:cs="Arial"/>
          <w:sz w:val="18"/>
          <w:szCs w:val="18"/>
        </w:rPr>
        <w:t xml:space="preserve">Data Analysis, </w:t>
      </w:r>
      <w:r w:rsidR="00121119" w:rsidRPr="00AF14DB">
        <w:rPr>
          <w:rFonts w:ascii="Arial" w:eastAsia="Arial" w:hAnsi="Arial" w:cs="Arial"/>
          <w:sz w:val="18"/>
          <w:szCs w:val="18"/>
        </w:rPr>
        <w:t>Data Reconciliation</w:t>
      </w:r>
      <w:r w:rsidR="00121119" w:rsidRPr="00AF14DB">
        <w:rPr>
          <w:rFonts w:ascii="Arial" w:eastAsia="Arial" w:hAnsi="Arial" w:cs="Arial"/>
          <w:b/>
          <w:bCs/>
          <w:sz w:val="18"/>
          <w:szCs w:val="18"/>
        </w:rPr>
        <w:t xml:space="preserve">, </w:t>
      </w:r>
      <w:r w:rsidRPr="00AF14DB">
        <w:rPr>
          <w:rFonts w:ascii="Arial" w:eastAsia="Arial" w:hAnsi="Arial" w:cs="Arial"/>
          <w:sz w:val="18"/>
          <w:szCs w:val="18"/>
        </w:rPr>
        <w:t xml:space="preserve">Data Governance, Data Quality </w:t>
      </w:r>
      <w:r w:rsidR="00250C28" w:rsidRPr="00AF14DB">
        <w:rPr>
          <w:rFonts w:ascii="Arial" w:eastAsia="Arial" w:hAnsi="Arial" w:cs="Arial"/>
          <w:sz w:val="18"/>
          <w:szCs w:val="18"/>
        </w:rPr>
        <w:t>Man</w:t>
      </w:r>
      <w:r w:rsidR="00DC1E3B" w:rsidRPr="00AF14DB">
        <w:rPr>
          <w:rFonts w:ascii="Arial" w:eastAsia="Arial" w:hAnsi="Arial" w:cs="Arial"/>
          <w:sz w:val="18"/>
          <w:szCs w:val="18"/>
        </w:rPr>
        <w:t>a</w:t>
      </w:r>
      <w:r w:rsidR="00250C28" w:rsidRPr="00AF14DB">
        <w:rPr>
          <w:rFonts w:ascii="Arial" w:eastAsia="Arial" w:hAnsi="Arial" w:cs="Arial"/>
          <w:sz w:val="18"/>
          <w:szCs w:val="18"/>
        </w:rPr>
        <w:t>gement</w:t>
      </w:r>
      <w:r w:rsidRPr="00AF14DB">
        <w:rPr>
          <w:rFonts w:ascii="Arial" w:eastAsia="Arial" w:hAnsi="Arial" w:cs="Arial"/>
          <w:sz w:val="18"/>
          <w:szCs w:val="18"/>
        </w:rPr>
        <w:t xml:space="preserve">, Stewardship Practices, </w:t>
      </w:r>
      <w:r w:rsidR="00C067A3" w:rsidRPr="00AF14DB">
        <w:rPr>
          <w:rFonts w:ascii="Arial" w:eastAsia="Arial" w:hAnsi="Arial" w:cs="Arial"/>
          <w:sz w:val="18"/>
          <w:szCs w:val="18"/>
        </w:rPr>
        <w:t>Key</w:t>
      </w:r>
      <w:r w:rsidRPr="00AF14DB">
        <w:rPr>
          <w:rFonts w:ascii="Arial" w:eastAsia="Arial" w:hAnsi="Arial" w:cs="Arial"/>
          <w:sz w:val="18"/>
          <w:szCs w:val="18"/>
        </w:rPr>
        <w:t xml:space="preserve"> Data Elements (</w:t>
      </w:r>
      <w:r w:rsidR="00C067A3" w:rsidRPr="00AF14DB">
        <w:rPr>
          <w:rFonts w:ascii="Arial" w:eastAsia="Arial" w:hAnsi="Arial" w:cs="Arial"/>
          <w:sz w:val="18"/>
          <w:szCs w:val="18"/>
        </w:rPr>
        <w:t>K</w:t>
      </w:r>
      <w:r w:rsidRPr="00AF14DB">
        <w:rPr>
          <w:rFonts w:ascii="Arial" w:eastAsia="Arial" w:hAnsi="Arial" w:cs="Arial"/>
          <w:sz w:val="18"/>
          <w:szCs w:val="18"/>
        </w:rPr>
        <w:t xml:space="preserve">DEs), Metadata Management, Data Lineage, Data Cataloging </w:t>
      </w:r>
    </w:p>
    <w:p w14:paraId="69D8B0F4" w14:textId="6C733FBB" w:rsidR="00631893" w:rsidRPr="00AF14DB" w:rsidRDefault="00DB2AAA" w:rsidP="00AC4A01">
      <w:pPr>
        <w:pBdr>
          <w:top w:val="nil"/>
          <w:left w:val="nil"/>
          <w:bottom w:val="nil"/>
          <w:right w:val="nil"/>
          <w:between w:val="nil"/>
        </w:pBdr>
        <w:spacing w:after="0" w:line="240" w:lineRule="auto"/>
        <w:rPr>
          <w:rFonts w:ascii="Arial" w:eastAsia="Arial" w:hAnsi="Arial" w:cs="Arial"/>
          <w:sz w:val="18"/>
          <w:szCs w:val="18"/>
        </w:rPr>
      </w:pPr>
      <w:r w:rsidRPr="00AF14DB">
        <w:rPr>
          <w:rFonts w:ascii="Arial" w:eastAsia="Arial" w:hAnsi="Arial" w:cs="Arial"/>
          <w:b/>
          <w:bCs/>
          <w:sz w:val="18"/>
          <w:szCs w:val="18"/>
        </w:rPr>
        <w:t>Data Warehousing &amp; Integration</w:t>
      </w:r>
      <w:r w:rsidRPr="00AF14DB">
        <w:rPr>
          <w:rFonts w:ascii="Arial" w:eastAsia="Arial" w:hAnsi="Arial" w:cs="Arial"/>
          <w:sz w:val="18"/>
          <w:szCs w:val="18"/>
        </w:rPr>
        <w:t>: Informatica PowerCenter, IICS, IDQ, Ab Initio, Express&gt;IT</w:t>
      </w:r>
      <w:r w:rsidR="003941FD" w:rsidRPr="00AF14DB">
        <w:rPr>
          <w:rFonts w:ascii="Arial" w:eastAsia="Arial" w:hAnsi="Arial" w:cs="Arial"/>
          <w:sz w:val="18"/>
          <w:szCs w:val="18"/>
        </w:rPr>
        <w:t>, AWS S3</w:t>
      </w:r>
      <w:r w:rsidRPr="00AF14DB">
        <w:rPr>
          <w:rFonts w:ascii="Arial" w:eastAsia="Arial" w:hAnsi="Arial" w:cs="Arial"/>
          <w:sz w:val="18"/>
          <w:szCs w:val="18"/>
        </w:rPr>
        <w:br/>
      </w:r>
      <w:r w:rsidRPr="00AF14DB">
        <w:rPr>
          <w:rFonts w:ascii="Arial" w:eastAsia="Arial" w:hAnsi="Arial" w:cs="Arial"/>
          <w:b/>
          <w:bCs/>
          <w:sz w:val="18"/>
          <w:szCs w:val="18"/>
        </w:rPr>
        <w:t>Databases</w:t>
      </w:r>
      <w:r w:rsidRPr="00AF14DB">
        <w:rPr>
          <w:rFonts w:ascii="Arial" w:eastAsia="Arial" w:hAnsi="Arial" w:cs="Arial"/>
          <w:sz w:val="18"/>
          <w:szCs w:val="18"/>
        </w:rPr>
        <w:t>: DB2, Oracle, SQL Server, Netezza, Snowflake</w:t>
      </w:r>
      <w:r w:rsidRPr="00AF14DB">
        <w:rPr>
          <w:rFonts w:ascii="Arial" w:eastAsia="Arial" w:hAnsi="Arial" w:cs="Arial"/>
          <w:sz w:val="18"/>
          <w:szCs w:val="18"/>
        </w:rPr>
        <w:br/>
      </w:r>
      <w:r w:rsidRPr="00AF14DB">
        <w:rPr>
          <w:rFonts w:ascii="Arial" w:eastAsia="Arial" w:hAnsi="Arial" w:cs="Arial"/>
          <w:b/>
          <w:bCs/>
          <w:sz w:val="18"/>
          <w:szCs w:val="18"/>
        </w:rPr>
        <w:t>Programming &amp; Scripting</w:t>
      </w:r>
      <w:r w:rsidRPr="00AF14DB">
        <w:rPr>
          <w:rFonts w:ascii="Arial" w:eastAsia="Arial" w:hAnsi="Arial" w:cs="Arial"/>
          <w:sz w:val="18"/>
          <w:szCs w:val="18"/>
        </w:rPr>
        <w:t>: SQL, Python, UNIX</w:t>
      </w:r>
      <w:r w:rsidRPr="00AF14DB">
        <w:rPr>
          <w:rFonts w:ascii="Arial" w:eastAsia="Arial" w:hAnsi="Arial" w:cs="Arial"/>
          <w:sz w:val="18"/>
          <w:szCs w:val="18"/>
        </w:rPr>
        <w:br/>
      </w:r>
      <w:r w:rsidRPr="00AF14DB">
        <w:rPr>
          <w:rFonts w:ascii="Arial" w:eastAsia="Arial" w:hAnsi="Arial" w:cs="Arial"/>
          <w:b/>
          <w:bCs/>
          <w:sz w:val="18"/>
          <w:szCs w:val="18"/>
        </w:rPr>
        <w:t>Project &amp; Collaboration Tools</w:t>
      </w:r>
      <w:r w:rsidRPr="00AF14DB">
        <w:rPr>
          <w:rFonts w:ascii="Arial" w:eastAsia="Arial" w:hAnsi="Arial" w:cs="Arial"/>
          <w:sz w:val="18"/>
          <w:szCs w:val="18"/>
        </w:rPr>
        <w:t>: Tidal, CA7, Autosys, Toad, Putty, GIT, Jira</w:t>
      </w:r>
      <w:r w:rsidR="00BD18FC" w:rsidRPr="00AF14DB">
        <w:rPr>
          <w:rFonts w:ascii="Arial" w:eastAsia="Arial" w:hAnsi="Arial" w:cs="Arial"/>
          <w:sz w:val="18"/>
          <w:szCs w:val="18"/>
        </w:rPr>
        <w:t>, Collibra</w:t>
      </w:r>
      <w:r w:rsidRPr="00AF14DB">
        <w:rPr>
          <w:rFonts w:ascii="Arial" w:eastAsia="Arial" w:hAnsi="Arial" w:cs="Arial"/>
          <w:sz w:val="18"/>
          <w:szCs w:val="18"/>
        </w:rPr>
        <w:br/>
      </w:r>
      <w:r w:rsidRPr="00AF14DB">
        <w:rPr>
          <w:rFonts w:ascii="Arial" w:eastAsia="Arial" w:hAnsi="Arial" w:cs="Arial"/>
          <w:b/>
          <w:bCs/>
          <w:sz w:val="18"/>
          <w:szCs w:val="18"/>
        </w:rPr>
        <w:t>Methodologies</w:t>
      </w:r>
      <w:r w:rsidRPr="00AF14DB">
        <w:rPr>
          <w:rFonts w:ascii="Arial" w:eastAsia="Arial" w:hAnsi="Arial" w:cs="Arial"/>
          <w:sz w:val="18"/>
          <w:szCs w:val="18"/>
        </w:rPr>
        <w:t>: Agile/Scrum, Regulatory Compliance (</w:t>
      </w:r>
      <w:r w:rsidR="005353DE" w:rsidRPr="00AF14DB">
        <w:rPr>
          <w:rFonts w:ascii="Arial" w:eastAsia="Arial" w:hAnsi="Arial" w:cs="Arial"/>
          <w:sz w:val="18"/>
          <w:szCs w:val="18"/>
        </w:rPr>
        <w:t xml:space="preserve">HIPAA, </w:t>
      </w:r>
      <w:r w:rsidRPr="00AF14DB">
        <w:rPr>
          <w:rFonts w:ascii="Arial" w:eastAsia="Arial" w:hAnsi="Arial" w:cs="Arial"/>
          <w:sz w:val="18"/>
          <w:szCs w:val="18"/>
        </w:rPr>
        <w:t>FR Y-14Q, CCAR, CMS, LFI)</w:t>
      </w:r>
    </w:p>
    <w:p w14:paraId="7A65BB45" w14:textId="77777777" w:rsidR="00DB2AAA" w:rsidRPr="00AF14DB" w:rsidRDefault="00DB2AAA" w:rsidP="00274A5F">
      <w:pPr>
        <w:pBdr>
          <w:top w:val="nil"/>
          <w:left w:val="nil"/>
          <w:bottom w:val="nil"/>
          <w:right w:val="nil"/>
          <w:between w:val="nil"/>
        </w:pBdr>
        <w:spacing w:after="0" w:line="240" w:lineRule="auto"/>
        <w:rPr>
          <w:rFonts w:ascii="Arial" w:eastAsia="Arial" w:hAnsi="Arial" w:cs="Arial"/>
          <w:sz w:val="18"/>
          <w:szCs w:val="18"/>
        </w:rPr>
      </w:pPr>
    </w:p>
    <w:p w14:paraId="6248796E" w14:textId="1A1C7CE1" w:rsidR="00867774" w:rsidRPr="00AF14DB" w:rsidRDefault="00BD1A34" w:rsidP="00BD1A34">
      <w:pPr>
        <w:spacing w:after="200" w:line="276" w:lineRule="auto"/>
        <w:jc w:val="center"/>
        <w:rPr>
          <w:rFonts w:ascii="Arial" w:eastAsia="Arial" w:hAnsi="Arial" w:cs="Arial"/>
          <w:b/>
          <w:color w:val="000000"/>
          <w:sz w:val="18"/>
          <w:szCs w:val="18"/>
          <w:u w:val="single"/>
        </w:rPr>
      </w:pPr>
      <w:r w:rsidRPr="00AF14DB">
        <w:rPr>
          <w:rFonts w:ascii="Arial" w:eastAsia="Arial" w:hAnsi="Arial" w:cs="Arial"/>
          <w:b/>
          <w:color w:val="000000"/>
          <w:sz w:val="18"/>
          <w:szCs w:val="18"/>
          <w:u w:val="single"/>
        </w:rPr>
        <w:t>PROFESSIONAL EXPERIENCE</w:t>
      </w:r>
      <w:bookmarkEnd w:id="1"/>
    </w:p>
    <w:p w14:paraId="37BB457A" w14:textId="65483C03" w:rsidR="001D4DB8" w:rsidRPr="00C90485" w:rsidRDefault="001D4DB8" w:rsidP="001D4DB8">
      <w:pPr>
        <w:pStyle w:val="Normal1"/>
        <w:rPr>
          <w:i/>
          <w:iCs/>
          <w:color w:val="auto"/>
          <w:sz w:val="18"/>
          <w:szCs w:val="18"/>
          <w:lang w:val="en-US" w:eastAsia="en-US"/>
        </w:rPr>
      </w:pPr>
      <w:r w:rsidRPr="00AF14DB">
        <w:rPr>
          <w:b/>
          <w:bCs/>
          <w:color w:val="auto"/>
          <w:sz w:val="18"/>
          <w:szCs w:val="18"/>
          <w:lang w:val="en-US" w:eastAsia="en-US"/>
        </w:rPr>
        <w:t xml:space="preserve">Senior Data Analyst </w:t>
      </w:r>
      <w:r w:rsidR="002A3FC7" w:rsidRPr="00AF14DB">
        <w:rPr>
          <w:b/>
          <w:bCs/>
          <w:sz w:val="18"/>
          <w:szCs w:val="18"/>
          <w:lang w:val="en-US"/>
        </w:rPr>
        <w:t xml:space="preserve">– </w:t>
      </w:r>
      <w:r w:rsidR="001151EF" w:rsidRPr="00AF14DB">
        <w:rPr>
          <w:b/>
          <w:bCs/>
          <w:color w:val="auto"/>
          <w:sz w:val="18"/>
          <w:szCs w:val="18"/>
          <w:lang w:val="en-US" w:eastAsia="en-US"/>
        </w:rPr>
        <w:t>Silicon Valley Bank</w:t>
      </w:r>
      <w:r w:rsidR="002A3FC7" w:rsidRPr="00AF14DB">
        <w:rPr>
          <w:b/>
          <w:bCs/>
          <w:color w:val="auto"/>
          <w:sz w:val="18"/>
          <w:szCs w:val="18"/>
          <w:lang w:val="en-US" w:eastAsia="en-US"/>
        </w:rPr>
        <w:t xml:space="preserve">, </w:t>
      </w:r>
      <w:r w:rsidRPr="00AF14DB">
        <w:rPr>
          <w:b/>
          <w:bCs/>
          <w:color w:val="auto"/>
          <w:sz w:val="18"/>
          <w:szCs w:val="18"/>
          <w:lang w:val="en-US" w:eastAsia="en-US"/>
        </w:rPr>
        <w:t>Santa Clara, CA</w:t>
      </w:r>
      <w:r w:rsidR="00DB2AAA" w:rsidRPr="00AF14DB">
        <w:rPr>
          <w:i/>
          <w:iCs/>
          <w:color w:val="auto"/>
          <w:sz w:val="18"/>
          <w:szCs w:val="18"/>
          <w:lang w:val="en-US" w:eastAsia="en-US"/>
        </w:rPr>
        <w:t xml:space="preserve"> </w:t>
      </w:r>
      <w:r w:rsidR="00C90485">
        <w:rPr>
          <w:i/>
          <w:iCs/>
          <w:color w:val="auto"/>
          <w:sz w:val="18"/>
          <w:szCs w:val="18"/>
          <w:lang w:val="en-US" w:eastAsia="en-US"/>
        </w:rPr>
        <w:tab/>
      </w:r>
      <w:r w:rsidR="00C90485">
        <w:rPr>
          <w:i/>
          <w:iCs/>
          <w:color w:val="auto"/>
          <w:sz w:val="18"/>
          <w:szCs w:val="18"/>
          <w:lang w:val="en-US" w:eastAsia="en-US"/>
        </w:rPr>
        <w:tab/>
      </w:r>
      <w:r w:rsidR="00C90485">
        <w:rPr>
          <w:i/>
          <w:iCs/>
          <w:color w:val="auto"/>
          <w:sz w:val="18"/>
          <w:szCs w:val="18"/>
          <w:lang w:val="en-US" w:eastAsia="en-US"/>
        </w:rPr>
        <w:tab/>
      </w:r>
      <w:r w:rsidRPr="00CC0DF2">
        <w:rPr>
          <w:b/>
          <w:bCs/>
          <w:color w:val="auto"/>
          <w:sz w:val="18"/>
          <w:szCs w:val="18"/>
          <w:lang w:val="en-US" w:eastAsia="en-US"/>
        </w:rPr>
        <w:t>Jul 2023 – Present</w:t>
      </w:r>
    </w:p>
    <w:p w14:paraId="5FEEDEDA" w14:textId="643D4324" w:rsidR="00782CAA" w:rsidRPr="00AF14DB" w:rsidRDefault="00782CAA" w:rsidP="00433FA9">
      <w:pPr>
        <w:numPr>
          <w:ilvl w:val="0"/>
          <w:numId w:val="2"/>
        </w:numPr>
        <w:spacing w:after="0" w:line="278" w:lineRule="auto"/>
        <w:rPr>
          <w:rFonts w:ascii="Arial" w:eastAsia="Arial" w:hAnsi="Arial" w:cs="Arial"/>
          <w:color w:val="000000"/>
          <w:sz w:val="18"/>
          <w:szCs w:val="18"/>
          <w:lang w:eastAsia="fr-FR"/>
        </w:rPr>
      </w:pPr>
      <w:r w:rsidRPr="00AF14DB">
        <w:rPr>
          <w:rFonts w:ascii="Arial" w:eastAsia="Arial" w:hAnsi="Arial" w:cs="Arial"/>
          <w:color w:val="000000"/>
          <w:sz w:val="18"/>
          <w:szCs w:val="18"/>
          <w:lang w:eastAsia="fr-FR"/>
        </w:rPr>
        <w:t>Lead customer and finance data governance initiatives, defining and enforcing Critical Data Elements (CDEs) and stewardship best practices.</w:t>
      </w:r>
    </w:p>
    <w:p w14:paraId="4A716873" w14:textId="77777777" w:rsidR="004D1B3C" w:rsidRPr="00AF14DB" w:rsidRDefault="004D1B3C" w:rsidP="004D1B3C">
      <w:pPr>
        <w:numPr>
          <w:ilvl w:val="0"/>
          <w:numId w:val="2"/>
        </w:numPr>
        <w:spacing w:after="0" w:line="278" w:lineRule="auto"/>
        <w:rPr>
          <w:rFonts w:ascii="Arial" w:eastAsia="Arial" w:hAnsi="Arial" w:cs="Arial"/>
          <w:color w:val="000000"/>
          <w:sz w:val="18"/>
          <w:szCs w:val="18"/>
          <w:lang w:eastAsia="fr-FR"/>
        </w:rPr>
      </w:pPr>
      <w:r w:rsidRPr="00AF14DB">
        <w:rPr>
          <w:rFonts w:ascii="Arial" w:eastAsia="Arial" w:hAnsi="Arial" w:cs="Arial"/>
          <w:color w:val="000000"/>
          <w:sz w:val="18"/>
          <w:szCs w:val="18"/>
          <w:lang w:eastAsia="fr-FR"/>
        </w:rPr>
        <w:t>Partnered with stakeholders (Sales, Finance, Operations, IT) to align data governance with business objectives, ensuring trusted reporting and compliance.</w:t>
      </w:r>
    </w:p>
    <w:p w14:paraId="4C3C901C" w14:textId="0CBCB2CD" w:rsidR="004D1B3C" w:rsidRPr="00AF14DB" w:rsidRDefault="004D1B3C" w:rsidP="004D1B3C">
      <w:pPr>
        <w:numPr>
          <w:ilvl w:val="0"/>
          <w:numId w:val="2"/>
        </w:numPr>
        <w:spacing w:after="0" w:line="278" w:lineRule="auto"/>
        <w:rPr>
          <w:rFonts w:ascii="Arial" w:eastAsia="Arial" w:hAnsi="Arial" w:cs="Arial"/>
          <w:color w:val="000000"/>
          <w:sz w:val="18"/>
          <w:szCs w:val="18"/>
          <w:lang w:eastAsia="fr-FR"/>
        </w:rPr>
      </w:pPr>
      <w:r w:rsidRPr="00AF14DB">
        <w:rPr>
          <w:rFonts w:ascii="Arial" w:eastAsia="Arial" w:hAnsi="Arial" w:cs="Arial"/>
          <w:color w:val="000000"/>
          <w:sz w:val="18"/>
          <w:szCs w:val="18"/>
          <w:lang w:eastAsia="fr-FR"/>
        </w:rPr>
        <w:t>Designed and maintained metadata repositories, lineage, and financial business glossaries in Collibra to support enterprise finance governance and C-Suite visibility.</w:t>
      </w:r>
    </w:p>
    <w:p w14:paraId="1431B484" w14:textId="77777777" w:rsidR="001D4DB8" w:rsidRPr="00AF14DB" w:rsidRDefault="001D4DB8" w:rsidP="00433FA9">
      <w:pPr>
        <w:numPr>
          <w:ilvl w:val="0"/>
          <w:numId w:val="2"/>
        </w:numPr>
        <w:spacing w:after="0" w:line="278" w:lineRule="auto"/>
        <w:rPr>
          <w:rFonts w:ascii="Arial" w:eastAsia="Arial" w:hAnsi="Arial" w:cs="Arial"/>
          <w:color w:val="000000"/>
          <w:sz w:val="18"/>
          <w:szCs w:val="18"/>
          <w:lang w:eastAsia="fr-FR"/>
        </w:rPr>
      </w:pPr>
      <w:r w:rsidRPr="00AF14DB">
        <w:rPr>
          <w:rFonts w:ascii="Arial" w:eastAsia="Arial" w:hAnsi="Arial" w:cs="Arial"/>
          <w:color w:val="000000"/>
          <w:sz w:val="18"/>
          <w:szCs w:val="18"/>
          <w:lang w:eastAsia="fr-FR"/>
        </w:rPr>
        <w:t>Established Model Risk Control (MRC) documentation, Federal Edit Check Reports, and governance processes to ensure data consistency, integrity, and compliance with regulatory standards.</w:t>
      </w:r>
    </w:p>
    <w:p w14:paraId="1519A8C7" w14:textId="23469849" w:rsidR="008003AE" w:rsidRPr="00AF14DB" w:rsidRDefault="008003AE" w:rsidP="00433FA9">
      <w:pPr>
        <w:numPr>
          <w:ilvl w:val="0"/>
          <w:numId w:val="2"/>
        </w:numPr>
        <w:spacing w:after="0" w:line="278" w:lineRule="auto"/>
        <w:rPr>
          <w:rFonts w:ascii="Arial" w:eastAsia="Arial" w:hAnsi="Arial" w:cs="Arial"/>
          <w:color w:val="000000"/>
          <w:sz w:val="18"/>
          <w:szCs w:val="18"/>
          <w:lang w:eastAsia="fr-FR"/>
        </w:rPr>
      </w:pPr>
      <w:r w:rsidRPr="00AF14DB">
        <w:rPr>
          <w:rFonts w:ascii="Arial" w:eastAsia="Arial" w:hAnsi="Arial" w:cs="Arial"/>
          <w:color w:val="000000"/>
          <w:sz w:val="18"/>
          <w:szCs w:val="18"/>
          <w:lang w:eastAsia="fr-FR"/>
        </w:rPr>
        <w:t>Established data quality rules, lineage, and business glossaries in Collibra to improve data visibility and consistency across Salesforce and finance systems.</w:t>
      </w:r>
    </w:p>
    <w:p w14:paraId="3BFFDC40" w14:textId="01464182" w:rsidR="00997015" w:rsidRPr="00AF14DB" w:rsidRDefault="00997015" w:rsidP="00433FA9">
      <w:pPr>
        <w:numPr>
          <w:ilvl w:val="0"/>
          <w:numId w:val="2"/>
        </w:numPr>
        <w:spacing w:after="0" w:line="278" w:lineRule="auto"/>
        <w:rPr>
          <w:rFonts w:ascii="Arial" w:eastAsia="Arial" w:hAnsi="Arial" w:cs="Arial"/>
          <w:color w:val="000000"/>
          <w:sz w:val="18"/>
          <w:szCs w:val="18"/>
          <w:lang w:eastAsia="fr-FR"/>
        </w:rPr>
      </w:pPr>
      <w:r w:rsidRPr="00AF14DB">
        <w:rPr>
          <w:rFonts w:ascii="Arial" w:eastAsia="Arial" w:hAnsi="Arial" w:cs="Arial"/>
          <w:color w:val="000000"/>
          <w:sz w:val="18"/>
          <w:szCs w:val="18"/>
          <w:lang w:eastAsia="fr-FR"/>
        </w:rPr>
        <w:t>Collaborated with LOBs and stakeholders to understand Critical Data Elements (CDE) definitions, trusted sources and business rules to create end-to-end mapping from source to EDW</w:t>
      </w:r>
      <w:r w:rsidR="00713882" w:rsidRPr="00AF14DB">
        <w:rPr>
          <w:rFonts w:ascii="Arial" w:eastAsia="Arial" w:hAnsi="Arial" w:cs="Arial"/>
          <w:color w:val="000000"/>
          <w:sz w:val="18"/>
          <w:szCs w:val="18"/>
          <w:lang w:eastAsia="fr-FR"/>
        </w:rPr>
        <w:t>.</w:t>
      </w:r>
      <w:r w:rsidRPr="00AF14DB">
        <w:rPr>
          <w:rFonts w:ascii="Arial" w:eastAsia="Arial" w:hAnsi="Arial" w:cs="Arial"/>
          <w:color w:val="000000"/>
          <w:sz w:val="18"/>
          <w:szCs w:val="18"/>
          <w:lang w:eastAsia="fr-FR"/>
        </w:rPr>
        <w:t xml:space="preserve"> </w:t>
      </w:r>
    </w:p>
    <w:p w14:paraId="52237600" w14:textId="649B7C63" w:rsidR="001D4DB8" w:rsidRPr="00AF14DB" w:rsidRDefault="001D4DB8" w:rsidP="00433FA9">
      <w:pPr>
        <w:numPr>
          <w:ilvl w:val="0"/>
          <w:numId w:val="2"/>
        </w:numPr>
        <w:spacing w:after="0" w:line="278" w:lineRule="auto"/>
        <w:rPr>
          <w:rFonts w:ascii="Arial" w:eastAsia="Arial" w:hAnsi="Arial" w:cs="Arial"/>
          <w:color w:val="000000"/>
          <w:sz w:val="18"/>
          <w:szCs w:val="18"/>
          <w:lang w:eastAsia="fr-FR"/>
        </w:rPr>
      </w:pPr>
      <w:r w:rsidRPr="00AF14DB">
        <w:rPr>
          <w:rFonts w:ascii="Arial" w:eastAsia="Arial" w:hAnsi="Arial" w:cs="Arial"/>
          <w:color w:val="000000"/>
          <w:sz w:val="18"/>
          <w:szCs w:val="18"/>
          <w:lang w:eastAsia="fr-FR"/>
        </w:rPr>
        <w:t>Automated 17 FR Y-14Q manual reports by mapping enterprise horizontal data sources to EDW, enabling faster, frictionless access to trusted finance data</w:t>
      </w:r>
      <w:r w:rsidR="002A3FC7" w:rsidRPr="00AF14DB">
        <w:rPr>
          <w:rFonts w:ascii="Arial" w:eastAsia="Arial" w:hAnsi="Arial" w:cs="Arial"/>
          <w:color w:val="000000"/>
          <w:sz w:val="18"/>
          <w:szCs w:val="18"/>
          <w:lang w:eastAsia="fr-FR"/>
        </w:rPr>
        <w:t>,</w:t>
      </w:r>
      <w:r w:rsidR="00E34E78" w:rsidRPr="00AF14DB">
        <w:rPr>
          <w:rFonts w:ascii="Arial" w:eastAsia="Arial" w:hAnsi="Arial" w:cs="Arial"/>
          <w:color w:val="000000"/>
          <w:sz w:val="18"/>
          <w:szCs w:val="18"/>
          <w:lang w:eastAsia="fr-FR"/>
        </w:rPr>
        <w:t xml:space="preserve"> reducing reporting cycle time by 40%.</w:t>
      </w:r>
    </w:p>
    <w:p w14:paraId="760BB470" w14:textId="77777777" w:rsidR="0031337E" w:rsidRPr="00AF14DB" w:rsidRDefault="0031337E" w:rsidP="001D4DB8">
      <w:pPr>
        <w:spacing w:after="0" w:line="278" w:lineRule="auto"/>
        <w:rPr>
          <w:rFonts w:ascii="Arial" w:eastAsia="Arial" w:hAnsi="Arial" w:cs="Arial"/>
          <w:b/>
          <w:bCs/>
          <w:color w:val="000000"/>
          <w:sz w:val="18"/>
          <w:szCs w:val="18"/>
          <w:lang w:eastAsia="fr-FR"/>
        </w:rPr>
      </w:pPr>
    </w:p>
    <w:p w14:paraId="74D2CCE8" w14:textId="5D3CF0B9" w:rsidR="001D4DB8" w:rsidRPr="00AF14DB" w:rsidRDefault="001D4DB8" w:rsidP="001D4DB8">
      <w:pPr>
        <w:spacing w:after="0" w:line="278" w:lineRule="auto"/>
        <w:rPr>
          <w:rFonts w:ascii="Arial" w:eastAsia="Arial" w:hAnsi="Arial" w:cs="Arial"/>
          <w:b/>
          <w:bCs/>
          <w:color w:val="000000"/>
          <w:sz w:val="18"/>
          <w:szCs w:val="18"/>
          <w:lang w:eastAsia="fr-FR"/>
        </w:rPr>
      </w:pPr>
      <w:r w:rsidRPr="00AF14DB">
        <w:rPr>
          <w:rFonts w:ascii="Arial" w:eastAsia="Arial" w:hAnsi="Arial" w:cs="Arial"/>
          <w:b/>
          <w:bCs/>
          <w:color w:val="000000"/>
          <w:sz w:val="18"/>
          <w:szCs w:val="18"/>
          <w:lang w:eastAsia="fr-FR"/>
        </w:rPr>
        <w:t xml:space="preserve">Senior Data </w:t>
      </w:r>
      <w:r w:rsidR="00434FD8" w:rsidRPr="00AF14DB">
        <w:rPr>
          <w:rFonts w:ascii="Arial" w:eastAsia="Arial" w:hAnsi="Arial" w:cs="Arial"/>
          <w:b/>
          <w:bCs/>
          <w:color w:val="000000"/>
          <w:sz w:val="18"/>
          <w:szCs w:val="18"/>
          <w:lang w:eastAsia="fr-FR"/>
        </w:rPr>
        <w:t>Analyst –</w:t>
      </w:r>
      <w:r w:rsidR="002A3FC7" w:rsidRPr="00AF14DB">
        <w:rPr>
          <w:rFonts w:ascii="Arial" w:eastAsia="Arial" w:hAnsi="Arial" w:cs="Arial"/>
          <w:b/>
          <w:bCs/>
          <w:color w:val="000000"/>
          <w:sz w:val="18"/>
          <w:szCs w:val="18"/>
          <w:lang w:eastAsia="fr-FR"/>
        </w:rPr>
        <w:t xml:space="preserve"> </w:t>
      </w:r>
      <w:r w:rsidRPr="00AF14DB">
        <w:rPr>
          <w:rFonts w:ascii="Arial" w:eastAsia="Arial" w:hAnsi="Arial" w:cs="Arial"/>
          <w:b/>
          <w:bCs/>
          <w:color w:val="000000"/>
          <w:sz w:val="18"/>
          <w:szCs w:val="18"/>
          <w:lang w:eastAsia="fr-FR"/>
        </w:rPr>
        <w:t>Bank of the West, San Ramon, CA</w:t>
      </w:r>
      <w:r w:rsidR="00C90485">
        <w:rPr>
          <w:rFonts w:ascii="Arial" w:eastAsia="Arial" w:hAnsi="Arial" w:cs="Arial"/>
          <w:b/>
          <w:bCs/>
          <w:color w:val="000000"/>
          <w:sz w:val="18"/>
          <w:szCs w:val="18"/>
          <w:lang w:eastAsia="fr-FR"/>
        </w:rPr>
        <w:tab/>
      </w:r>
      <w:r w:rsidR="00C90485">
        <w:rPr>
          <w:rFonts w:ascii="Arial" w:eastAsia="Arial" w:hAnsi="Arial" w:cs="Arial"/>
          <w:b/>
          <w:bCs/>
          <w:color w:val="000000"/>
          <w:sz w:val="18"/>
          <w:szCs w:val="18"/>
          <w:lang w:eastAsia="fr-FR"/>
        </w:rPr>
        <w:tab/>
      </w:r>
      <w:r w:rsidR="00C90485">
        <w:rPr>
          <w:rFonts w:ascii="Arial" w:eastAsia="Arial" w:hAnsi="Arial" w:cs="Arial"/>
          <w:b/>
          <w:bCs/>
          <w:color w:val="000000"/>
          <w:sz w:val="18"/>
          <w:szCs w:val="18"/>
          <w:lang w:eastAsia="fr-FR"/>
        </w:rPr>
        <w:tab/>
      </w:r>
      <w:r w:rsidR="00C90485" w:rsidRPr="00CC0DF2">
        <w:rPr>
          <w:rFonts w:ascii="Arial" w:eastAsia="Arial" w:hAnsi="Arial" w:cs="Arial"/>
          <w:b/>
          <w:bCs/>
          <w:sz w:val="18"/>
          <w:szCs w:val="18"/>
        </w:rPr>
        <w:tab/>
      </w:r>
      <w:r w:rsidRPr="00CC0DF2">
        <w:rPr>
          <w:rFonts w:ascii="Arial" w:eastAsia="Arial" w:hAnsi="Arial" w:cs="Arial"/>
          <w:b/>
          <w:bCs/>
          <w:sz w:val="18"/>
          <w:szCs w:val="18"/>
        </w:rPr>
        <w:t>Jun 2022 – Jun 2023</w:t>
      </w:r>
      <w:r w:rsidRPr="00AF14DB">
        <w:rPr>
          <w:rFonts w:ascii="Arial" w:eastAsia="Arial" w:hAnsi="Arial" w:cs="Arial"/>
          <w:b/>
          <w:bCs/>
          <w:color w:val="000000"/>
          <w:sz w:val="18"/>
          <w:szCs w:val="18"/>
          <w:lang w:eastAsia="fr-FR"/>
        </w:rPr>
        <w:t xml:space="preserve"> </w:t>
      </w:r>
    </w:p>
    <w:p w14:paraId="560BC4FC" w14:textId="77777777" w:rsidR="001D4DB8" w:rsidRPr="00AF14DB" w:rsidRDefault="001D4DB8" w:rsidP="00433FA9">
      <w:pPr>
        <w:numPr>
          <w:ilvl w:val="0"/>
          <w:numId w:val="2"/>
        </w:numPr>
        <w:spacing w:after="0" w:line="278" w:lineRule="auto"/>
        <w:rPr>
          <w:rFonts w:ascii="Arial" w:eastAsia="Arial" w:hAnsi="Arial" w:cs="Arial"/>
          <w:color w:val="000000"/>
          <w:sz w:val="18"/>
          <w:szCs w:val="18"/>
          <w:lang w:eastAsia="fr-FR"/>
        </w:rPr>
      </w:pPr>
      <w:r w:rsidRPr="00AF14DB">
        <w:rPr>
          <w:rFonts w:ascii="Arial" w:eastAsia="Arial" w:hAnsi="Arial" w:cs="Arial"/>
          <w:color w:val="000000"/>
          <w:sz w:val="18"/>
          <w:szCs w:val="18"/>
          <w:lang w:eastAsia="fr-FR"/>
        </w:rPr>
        <w:t>Integrated marketing and banking datasets to deliver enriched financial KPIs and governance-aligned performance metrics for strategic decision-making.</w:t>
      </w:r>
    </w:p>
    <w:p w14:paraId="1C90D62F" w14:textId="77777777" w:rsidR="001D4DB8" w:rsidRPr="00AF14DB" w:rsidRDefault="001D4DB8" w:rsidP="00433FA9">
      <w:pPr>
        <w:numPr>
          <w:ilvl w:val="0"/>
          <w:numId w:val="2"/>
        </w:numPr>
        <w:spacing w:after="0" w:line="278" w:lineRule="auto"/>
        <w:rPr>
          <w:rFonts w:ascii="Arial" w:eastAsia="Arial" w:hAnsi="Arial" w:cs="Arial"/>
          <w:color w:val="000000"/>
          <w:sz w:val="18"/>
          <w:szCs w:val="18"/>
          <w:lang w:eastAsia="fr-FR"/>
        </w:rPr>
      </w:pPr>
      <w:r w:rsidRPr="00AF14DB">
        <w:rPr>
          <w:rFonts w:ascii="Arial" w:eastAsia="Arial" w:hAnsi="Arial" w:cs="Arial"/>
          <w:color w:val="000000"/>
          <w:sz w:val="18"/>
          <w:szCs w:val="18"/>
          <w:lang w:eastAsia="fr-FR"/>
        </w:rPr>
        <w:t>Initiated adoption of Informatica MDM and Data Quality tools to improve accuracy, lineage, and stewardship of customer and financial data.</w:t>
      </w:r>
    </w:p>
    <w:p w14:paraId="7B758C5B" w14:textId="77777777" w:rsidR="001D4DB8" w:rsidRPr="00AF14DB" w:rsidRDefault="001D4DB8" w:rsidP="00433FA9">
      <w:pPr>
        <w:numPr>
          <w:ilvl w:val="0"/>
          <w:numId w:val="2"/>
        </w:numPr>
        <w:spacing w:after="0" w:line="278" w:lineRule="auto"/>
        <w:rPr>
          <w:rFonts w:ascii="Arial" w:eastAsia="Arial" w:hAnsi="Arial" w:cs="Arial"/>
          <w:color w:val="000000"/>
          <w:sz w:val="18"/>
          <w:szCs w:val="18"/>
          <w:lang w:eastAsia="fr-FR"/>
        </w:rPr>
      </w:pPr>
      <w:r w:rsidRPr="00AF14DB">
        <w:rPr>
          <w:rFonts w:ascii="Arial" w:eastAsia="Arial" w:hAnsi="Arial" w:cs="Arial"/>
          <w:color w:val="000000"/>
          <w:sz w:val="18"/>
          <w:szCs w:val="18"/>
          <w:lang w:eastAsia="fr-FR"/>
        </w:rPr>
        <w:t>Cataloged 100+ CDEs in Collibra, improving finance data discoverability and governance compliance by 40%.</w:t>
      </w:r>
    </w:p>
    <w:p w14:paraId="6796839B" w14:textId="77777777" w:rsidR="001D4DB8" w:rsidRPr="00AF14DB" w:rsidRDefault="001D4DB8" w:rsidP="00433FA9">
      <w:pPr>
        <w:numPr>
          <w:ilvl w:val="0"/>
          <w:numId w:val="2"/>
        </w:numPr>
        <w:spacing w:after="0" w:line="278" w:lineRule="auto"/>
        <w:rPr>
          <w:rFonts w:ascii="Arial" w:eastAsia="Arial" w:hAnsi="Arial" w:cs="Arial"/>
          <w:color w:val="000000"/>
          <w:sz w:val="18"/>
          <w:szCs w:val="18"/>
          <w:lang w:eastAsia="fr-FR"/>
        </w:rPr>
      </w:pPr>
      <w:r w:rsidRPr="00AF14DB">
        <w:rPr>
          <w:rFonts w:ascii="Arial" w:eastAsia="Arial" w:hAnsi="Arial" w:cs="Arial"/>
          <w:color w:val="000000"/>
          <w:sz w:val="18"/>
          <w:szCs w:val="18"/>
          <w:lang w:eastAsia="fr-FR"/>
        </w:rPr>
        <w:t>Implemented data quality health checks to ensure integrity of finance-related marketing insights and management reporting.</w:t>
      </w:r>
    </w:p>
    <w:p w14:paraId="78E818C7" w14:textId="424FE06C" w:rsidR="006C1D4C" w:rsidRDefault="001D4DB8" w:rsidP="006C1D4C">
      <w:pPr>
        <w:numPr>
          <w:ilvl w:val="0"/>
          <w:numId w:val="2"/>
        </w:numPr>
        <w:spacing w:after="0" w:line="278" w:lineRule="auto"/>
        <w:rPr>
          <w:rFonts w:ascii="Arial" w:eastAsia="Arial" w:hAnsi="Arial" w:cs="Arial"/>
          <w:color w:val="000000"/>
          <w:sz w:val="18"/>
          <w:szCs w:val="18"/>
          <w:lang w:eastAsia="fr-FR"/>
        </w:rPr>
      </w:pPr>
      <w:r w:rsidRPr="00AF14DB">
        <w:rPr>
          <w:rFonts w:ascii="Arial" w:eastAsia="Arial" w:hAnsi="Arial" w:cs="Arial"/>
          <w:color w:val="000000"/>
          <w:sz w:val="18"/>
          <w:szCs w:val="18"/>
          <w:lang w:eastAsia="fr-FR"/>
        </w:rPr>
        <w:t>Optimized SQL and ETL processes to reduce latency and improve accessibility of governed data products.</w:t>
      </w:r>
    </w:p>
    <w:p w14:paraId="57E3C9D7" w14:textId="77777777" w:rsidR="00AF14DB" w:rsidRDefault="00AF14DB" w:rsidP="00AF14DB">
      <w:pPr>
        <w:spacing w:after="0" w:line="278" w:lineRule="auto"/>
        <w:rPr>
          <w:rFonts w:ascii="Arial" w:eastAsia="Arial" w:hAnsi="Arial" w:cs="Arial"/>
          <w:color w:val="000000"/>
          <w:sz w:val="18"/>
          <w:szCs w:val="18"/>
          <w:lang w:eastAsia="fr-FR"/>
        </w:rPr>
      </w:pPr>
    </w:p>
    <w:p w14:paraId="08109FF6" w14:textId="77777777" w:rsidR="00C90485" w:rsidRDefault="00C90485" w:rsidP="00AF14DB">
      <w:pPr>
        <w:spacing w:after="0" w:line="278" w:lineRule="auto"/>
        <w:rPr>
          <w:rFonts w:ascii="Arial" w:eastAsia="Arial" w:hAnsi="Arial" w:cs="Arial"/>
          <w:color w:val="000000"/>
          <w:sz w:val="18"/>
          <w:szCs w:val="18"/>
          <w:lang w:eastAsia="fr-FR"/>
        </w:rPr>
      </w:pPr>
    </w:p>
    <w:p w14:paraId="145187E2" w14:textId="77777777" w:rsidR="00C90485" w:rsidRDefault="00C90485" w:rsidP="00AF14DB">
      <w:pPr>
        <w:spacing w:after="0" w:line="278" w:lineRule="auto"/>
        <w:rPr>
          <w:rFonts w:ascii="Arial" w:eastAsia="Arial" w:hAnsi="Arial" w:cs="Arial"/>
          <w:color w:val="000000"/>
          <w:sz w:val="18"/>
          <w:szCs w:val="18"/>
          <w:lang w:eastAsia="fr-FR"/>
        </w:rPr>
      </w:pPr>
    </w:p>
    <w:p w14:paraId="53422652" w14:textId="77777777" w:rsidR="00AF14DB" w:rsidRPr="00AF14DB" w:rsidRDefault="00AF14DB" w:rsidP="00AF14DB">
      <w:pPr>
        <w:spacing w:after="0" w:line="278" w:lineRule="auto"/>
        <w:rPr>
          <w:rFonts w:ascii="Arial" w:eastAsia="Arial" w:hAnsi="Arial" w:cs="Arial"/>
          <w:color w:val="000000"/>
          <w:sz w:val="18"/>
          <w:szCs w:val="18"/>
          <w:lang w:eastAsia="fr-FR"/>
        </w:rPr>
      </w:pPr>
    </w:p>
    <w:p w14:paraId="2DD702F2" w14:textId="77777777" w:rsidR="001F789D" w:rsidRPr="00AF14DB" w:rsidRDefault="001F789D" w:rsidP="001F789D">
      <w:pPr>
        <w:spacing w:after="0" w:line="278" w:lineRule="auto"/>
        <w:ind w:left="720"/>
        <w:rPr>
          <w:rFonts w:ascii="Arial" w:eastAsia="Arial" w:hAnsi="Arial" w:cs="Arial"/>
          <w:sz w:val="18"/>
          <w:szCs w:val="18"/>
        </w:rPr>
      </w:pPr>
    </w:p>
    <w:p w14:paraId="41D6371E" w14:textId="70778B04" w:rsidR="00621A13" w:rsidRPr="00AF14DB" w:rsidRDefault="00621A13" w:rsidP="00621A13">
      <w:pPr>
        <w:pStyle w:val="Normal1"/>
        <w:rPr>
          <w:b/>
          <w:bCs/>
          <w:sz w:val="18"/>
          <w:szCs w:val="18"/>
          <w:lang w:val="en-US"/>
        </w:rPr>
      </w:pPr>
      <w:r w:rsidRPr="00AF14DB">
        <w:rPr>
          <w:b/>
          <w:bCs/>
          <w:sz w:val="18"/>
          <w:szCs w:val="18"/>
          <w:lang w:val="en-US"/>
        </w:rPr>
        <w:lastRenderedPageBreak/>
        <w:t>Data Engineer</w:t>
      </w:r>
      <w:r w:rsidR="005A7FCF" w:rsidRPr="00AF14DB">
        <w:rPr>
          <w:b/>
          <w:bCs/>
          <w:sz w:val="18"/>
          <w:szCs w:val="18"/>
          <w:lang w:val="en-US"/>
        </w:rPr>
        <w:t xml:space="preserve"> / ETL Lead</w:t>
      </w:r>
      <w:r w:rsidR="00483D92" w:rsidRPr="00AF14DB">
        <w:rPr>
          <w:b/>
          <w:bCs/>
          <w:sz w:val="18"/>
          <w:szCs w:val="18"/>
          <w:lang w:val="en-US"/>
        </w:rPr>
        <w:t xml:space="preserve"> </w:t>
      </w:r>
      <w:r w:rsidRPr="00AF14DB">
        <w:rPr>
          <w:b/>
          <w:bCs/>
          <w:sz w:val="18"/>
          <w:szCs w:val="18"/>
          <w:lang w:val="en-US"/>
        </w:rPr>
        <w:t>– Salesforce, San Francisco, CA</w:t>
      </w:r>
      <w:r w:rsidR="00C90485">
        <w:rPr>
          <w:b/>
          <w:bCs/>
          <w:sz w:val="18"/>
          <w:szCs w:val="18"/>
          <w:lang w:val="en-US"/>
        </w:rPr>
        <w:tab/>
      </w:r>
      <w:r w:rsidR="00C90485">
        <w:rPr>
          <w:b/>
          <w:bCs/>
          <w:sz w:val="18"/>
          <w:szCs w:val="18"/>
          <w:lang w:val="en-US"/>
        </w:rPr>
        <w:tab/>
      </w:r>
      <w:r w:rsidR="00C90485">
        <w:rPr>
          <w:b/>
          <w:bCs/>
          <w:sz w:val="18"/>
          <w:szCs w:val="18"/>
          <w:lang w:val="en-US"/>
        </w:rPr>
        <w:tab/>
      </w:r>
      <w:r w:rsidR="00C90485">
        <w:rPr>
          <w:b/>
          <w:bCs/>
          <w:sz w:val="18"/>
          <w:szCs w:val="18"/>
          <w:lang w:val="en-US"/>
        </w:rPr>
        <w:tab/>
      </w:r>
      <w:r w:rsidRPr="00CC0DF2">
        <w:rPr>
          <w:b/>
          <w:bCs/>
          <w:color w:val="auto"/>
          <w:sz w:val="18"/>
          <w:szCs w:val="18"/>
          <w:lang w:val="en-US" w:eastAsia="en-US"/>
        </w:rPr>
        <w:t>Apr 2021 – May 2022</w:t>
      </w:r>
    </w:p>
    <w:p w14:paraId="00C7FF23" w14:textId="77777777" w:rsidR="00FA3599" w:rsidRPr="00AF14DB" w:rsidRDefault="003F5035" w:rsidP="008E6CB6">
      <w:pPr>
        <w:pStyle w:val="Normal1"/>
        <w:numPr>
          <w:ilvl w:val="0"/>
          <w:numId w:val="1"/>
        </w:numPr>
        <w:rPr>
          <w:sz w:val="18"/>
          <w:szCs w:val="18"/>
          <w:lang w:val="en-US"/>
        </w:rPr>
      </w:pPr>
      <w:r w:rsidRPr="00AF14DB">
        <w:rPr>
          <w:sz w:val="18"/>
          <w:szCs w:val="18"/>
          <w:lang w:val="en-US"/>
        </w:rPr>
        <w:t>Performed data profiling and analysis on Salesforce CRM objects including Leads, Contacts, Accounts, and Opportunities to identify trends, patterns, and anomalies in marketing and customer data.</w:t>
      </w:r>
    </w:p>
    <w:p w14:paraId="6A924A41" w14:textId="77777777" w:rsidR="00FA3599" w:rsidRPr="00AF14DB" w:rsidRDefault="00C67C35" w:rsidP="00D51A26">
      <w:pPr>
        <w:pStyle w:val="Normal1"/>
        <w:numPr>
          <w:ilvl w:val="0"/>
          <w:numId w:val="1"/>
        </w:numPr>
        <w:rPr>
          <w:sz w:val="18"/>
          <w:szCs w:val="18"/>
          <w:lang w:val="en-US"/>
        </w:rPr>
      </w:pPr>
      <w:r w:rsidRPr="00AF14DB">
        <w:rPr>
          <w:sz w:val="18"/>
          <w:szCs w:val="18"/>
          <w:lang w:val="en-US"/>
        </w:rPr>
        <w:t xml:space="preserve">Collaborated </w:t>
      </w:r>
      <w:r w:rsidR="008E6CB6" w:rsidRPr="00AF14DB">
        <w:rPr>
          <w:sz w:val="18"/>
          <w:szCs w:val="18"/>
          <w:lang w:val="en-US"/>
        </w:rPr>
        <w:t xml:space="preserve">with </w:t>
      </w:r>
      <w:r w:rsidR="001A74B7" w:rsidRPr="00AF14DB">
        <w:rPr>
          <w:sz w:val="18"/>
          <w:szCs w:val="18"/>
          <w:lang w:val="en-US"/>
        </w:rPr>
        <w:t xml:space="preserve">Sales, </w:t>
      </w:r>
      <w:r w:rsidR="008E6CB6" w:rsidRPr="00AF14DB">
        <w:rPr>
          <w:sz w:val="18"/>
          <w:szCs w:val="18"/>
          <w:lang w:val="en-US"/>
        </w:rPr>
        <w:t>Marketing</w:t>
      </w:r>
      <w:r w:rsidR="00E404F4" w:rsidRPr="00AF14DB">
        <w:rPr>
          <w:sz w:val="18"/>
          <w:szCs w:val="18"/>
          <w:lang w:val="en-US"/>
        </w:rPr>
        <w:t xml:space="preserve"> and Finance</w:t>
      </w:r>
      <w:r w:rsidR="008E6CB6" w:rsidRPr="00AF14DB">
        <w:rPr>
          <w:sz w:val="18"/>
          <w:szCs w:val="18"/>
          <w:lang w:val="en-US"/>
        </w:rPr>
        <w:t xml:space="preserve"> teams to define governance rules for customer data </w:t>
      </w:r>
      <w:r w:rsidR="00FA3599" w:rsidRPr="00AF14DB">
        <w:rPr>
          <w:sz w:val="18"/>
          <w:szCs w:val="18"/>
          <w:lang w:val="en-US"/>
        </w:rPr>
        <w:t>and stewardship practices for customer data within Salesforce CRM.</w:t>
      </w:r>
    </w:p>
    <w:p w14:paraId="2187B58F" w14:textId="545A5CD5" w:rsidR="002B0345" w:rsidRPr="00AF14DB" w:rsidRDefault="002B0345" w:rsidP="00D51A26">
      <w:pPr>
        <w:pStyle w:val="Normal1"/>
        <w:numPr>
          <w:ilvl w:val="0"/>
          <w:numId w:val="1"/>
        </w:numPr>
        <w:rPr>
          <w:sz w:val="18"/>
          <w:szCs w:val="18"/>
          <w:lang w:val="en-US"/>
        </w:rPr>
      </w:pPr>
      <w:r w:rsidRPr="00AF14DB">
        <w:rPr>
          <w:sz w:val="18"/>
          <w:szCs w:val="18"/>
          <w:lang w:val="en-US"/>
        </w:rPr>
        <w:t xml:space="preserve">Built automated pipelines with data quality checks to deliver clean, reliable </w:t>
      </w:r>
      <w:r w:rsidR="002B53D8" w:rsidRPr="00AF14DB">
        <w:rPr>
          <w:sz w:val="18"/>
          <w:szCs w:val="18"/>
          <w:lang w:val="en-US"/>
        </w:rPr>
        <w:t xml:space="preserve">Salesforce </w:t>
      </w:r>
      <w:r w:rsidRPr="00AF14DB">
        <w:rPr>
          <w:sz w:val="18"/>
          <w:szCs w:val="18"/>
          <w:lang w:val="en-US"/>
        </w:rPr>
        <w:t>CRM datasets for business stakeholders.</w:t>
      </w:r>
    </w:p>
    <w:p w14:paraId="396564B8" w14:textId="77777777" w:rsidR="002B0345" w:rsidRPr="00AF14DB" w:rsidRDefault="002B0345" w:rsidP="008E6CB6">
      <w:pPr>
        <w:pStyle w:val="Normal1"/>
        <w:numPr>
          <w:ilvl w:val="0"/>
          <w:numId w:val="1"/>
        </w:numPr>
        <w:rPr>
          <w:sz w:val="18"/>
          <w:szCs w:val="18"/>
          <w:lang w:val="en-US"/>
        </w:rPr>
      </w:pPr>
      <w:r w:rsidRPr="00AF14DB">
        <w:rPr>
          <w:sz w:val="18"/>
          <w:szCs w:val="18"/>
          <w:lang w:val="en-US"/>
        </w:rPr>
        <w:t>Developed and maintained a Customer Data Dictionary, standardizing key data elements, relationships, and business rules to improve data consistency and cross-team alignment.</w:t>
      </w:r>
    </w:p>
    <w:p w14:paraId="096E3160" w14:textId="254280F0" w:rsidR="005D5147" w:rsidRPr="00AF14DB" w:rsidRDefault="005D5147" w:rsidP="00A34712">
      <w:pPr>
        <w:pStyle w:val="Normal1"/>
        <w:numPr>
          <w:ilvl w:val="0"/>
          <w:numId w:val="1"/>
        </w:numPr>
        <w:rPr>
          <w:sz w:val="18"/>
          <w:szCs w:val="18"/>
          <w:lang w:val="en-US"/>
        </w:rPr>
      </w:pPr>
      <w:r w:rsidRPr="00AF14DB">
        <w:rPr>
          <w:sz w:val="18"/>
          <w:szCs w:val="18"/>
          <w:lang w:val="en-US"/>
        </w:rPr>
        <w:t>Designed and implemented KPIs and validation rules to enable accurate and trusted reporting.</w:t>
      </w:r>
    </w:p>
    <w:p w14:paraId="4911170F" w14:textId="69AD3206" w:rsidR="005D5147" w:rsidRPr="00AF14DB" w:rsidRDefault="005D5147" w:rsidP="00A34712">
      <w:pPr>
        <w:pStyle w:val="Normal1"/>
        <w:numPr>
          <w:ilvl w:val="0"/>
          <w:numId w:val="1"/>
        </w:numPr>
        <w:rPr>
          <w:sz w:val="18"/>
          <w:szCs w:val="18"/>
          <w:lang w:val="en-US"/>
        </w:rPr>
      </w:pPr>
      <w:r w:rsidRPr="00AF14DB">
        <w:rPr>
          <w:sz w:val="18"/>
          <w:szCs w:val="18"/>
          <w:lang w:val="en-US"/>
        </w:rPr>
        <w:t>Established data quality checks, reconciliation processes, and validation frameworks to enhance reporting accuracy and integrity.</w:t>
      </w:r>
    </w:p>
    <w:p w14:paraId="4A3EDD28" w14:textId="780C9EE4" w:rsidR="00DA4929" w:rsidRPr="00AF14DB" w:rsidRDefault="00DA4929" w:rsidP="00D355E2">
      <w:pPr>
        <w:pStyle w:val="Normal1"/>
        <w:rPr>
          <w:color w:val="auto"/>
          <w:sz w:val="18"/>
          <w:szCs w:val="18"/>
          <w:lang w:val="en-US" w:eastAsia="en-US"/>
        </w:rPr>
      </w:pPr>
    </w:p>
    <w:p w14:paraId="39BA6931" w14:textId="308F0F38" w:rsidR="00621A13" w:rsidRPr="00AF14DB" w:rsidRDefault="00621A13" w:rsidP="00621A13">
      <w:pPr>
        <w:pStyle w:val="Normal1"/>
        <w:rPr>
          <w:b/>
          <w:bCs/>
          <w:sz w:val="18"/>
          <w:szCs w:val="18"/>
          <w:lang w:val="en-US"/>
        </w:rPr>
      </w:pPr>
      <w:r w:rsidRPr="00AF14DB">
        <w:rPr>
          <w:b/>
          <w:bCs/>
          <w:sz w:val="18"/>
          <w:szCs w:val="18"/>
          <w:lang w:val="en-US"/>
        </w:rPr>
        <w:t xml:space="preserve">Senior ETL </w:t>
      </w:r>
      <w:r w:rsidR="008D2CF6" w:rsidRPr="00AF14DB">
        <w:rPr>
          <w:b/>
          <w:bCs/>
          <w:sz w:val="18"/>
          <w:szCs w:val="18"/>
          <w:lang w:val="en-US"/>
        </w:rPr>
        <w:t>Lead</w:t>
      </w:r>
      <w:r w:rsidR="00B85EA2" w:rsidRPr="00AF14DB">
        <w:rPr>
          <w:b/>
          <w:bCs/>
          <w:sz w:val="18"/>
          <w:szCs w:val="18"/>
          <w:lang w:val="en-US"/>
        </w:rPr>
        <w:t xml:space="preserve"> </w:t>
      </w:r>
      <w:r w:rsidRPr="00AF14DB">
        <w:rPr>
          <w:b/>
          <w:bCs/>
          <w:sz w:val="18"/>
          <w:szCs w:val="18"/>
          <w:lang w:val="en-US"/>
        </w:rPr>
        <w:t>– Kaiser Permanente, Pleasanton, CA</w:t>
      </w:r>
      <w:r w:rsidR="00C90485">
        <w:rPr>
          <w:b/>
          <w:bCs/>
          <w:sz w:val="18"/>
          <w:szCs w:val="18"/>
          <w:lang w:val="en-US"/>
        </w:rPr>
        <w:tab/>
      </w:r>
      <w:r w:rsidR="00C90485">
        <w:rPr>
          <w:b/>
          <w:bCs/>
          <w:sz w:val="18"/>
          <w:szCs w:val="18"/>
          <w:lang w:val="en-US"/>
        </w:rPr>
        <w:tab/>
      </w:r>
      <w:r w:rsidR="00C90485">
        <w:rPr>
          <w:b/>
          <w:bCs/>
          <w:sz w:val="18"/>
          <w:szCs w:val="18"/>
          <w:lang w:val="en-US"/>
        </w:rPr>
        <w:tab/>
      </w:r>
      <w:r w:rsidR="00C90485">
        <w:rPr>
          <w:b/>
          <w:bCs/>
          <w:sz w:val="18"/>
          <w:szCs w:val="18"/>
          <w:lang w:val="en-US"/>
        </w:rPr>
        <w:tab/>
      </w:r>
      <w:r w:rsidRPr="00CC0DF2">
        <w:rPr>
          <w:b/>
          <w:bCs/>
          <w:color w:val="auto"/>
          <w:sz w:val="18"/>
          <w:szCs w:val="18"/>
          <w:lang w:val="en-US" w:eastAsia="en-US"/>
        </w:rPr>
        <w:t>Jan 2020 – Mar 2021</w:t>
      </w:r>
      <w:r w:rsidRPr="00AF14DB">
        <w:rPr>
          <w:b/>
          <w:bCs/>
          <w:sz w:val="18"/>
          <w:szCs w:val="18"/>
          <w:lang w:val="en-US"/>
        </w:rPr>
        <w:t xml:space="preserve"> </w:t>
      </w:r>
    </w:p>
    <w:p w14:paraId="6805EAED" w14:textId="77777777" w:rsidR="000B5F4A" w:rsidRPr="006948A6" w:rsidRDefault="000B5F4A" w:rsidP="000B5F4A">
      <w:pPr>
        <w:pStyle w:val="Normal1"/>
        <w:numPr>
          <w:ilvl w:val="0"/>
          <w:numId w:val="6"/>
        </w:numPr>
        <w:jc w:val="both"/>
        <w:rPr>
          <w:sz w:val="18"/>
          <w:szCs w:val="18"/>
          <w:lang w:val="en-US"/>
        </w:rPr>
      </w:pPr>
      <w:r w:rsidRPr="006948A6">
        <w:rPr>
          <w:sz w:val="18"/>
          <w:szCs w:val="18"/>
          <w:lang w:val="en-US"/>
        </w:rPr>
        <w:t>Implemented data governance and data quality controls for healthcare payer datasets, including eligibility, provider, and claims data, ensuring regulatory reporting accuracy and compliance with Health Insurance Portability and Accountability Act (HIPAA).</w:t>
      </w:r>
    </w:p>
    <w:p w14:paraId="461262A2" w14:textId="77777777" w:rsidR="000B5F4A" w:rsidRPr="006948A6" w:rsidRDefault="000B5F4A" w:rsidP="000B5F4A">
      <w:pPr>
        <w:pStyle w:val="Normal1"/>
        <w:numPr>
          <w:ilvl w:val="0"/>
          <w:numId w:val="6"/>
        </w:numPr>
        <w:jc w:val="both"/>
        <w:rPr>
          <w:sz w:val="18"/>
          <w:szCs w:val="18"/>
          <w:lang w:val="en-US"/>
        </w:rPr>
      </w:pPr>
      <w:r w:rsidRPr="006948A6">
        <w:rPr>
          <w:sz w:val="18"/>
          <w:szCs w:val="18"/>
          <w:lang w:val="en-US"/>
        </w:rPr>
        <w:t>Developed ETL-based reconciliation and validation processes to identify KPEG and Centers for Medicare &amp; Medicaid Services reporting errors, enabling regional teams to resolve discrepancies and improve CMS submission quality.</w:t>
      </w:r>
    </w:p>
    <w:p w14:paraId="4A5EC734" w14:textId="77777777" w:rsidR="000B5F4A" w:rsidRPr="006948A6" w:rsidRDefault="000B5F4A" w:rsidP="000B5F4A">
      <w:pPr>
        <w:pStyle w:val="Normal1"/>
        <w:numPr>
          <w:ilvl w:val="0"/>
          <w:numId w:val="6"/>
        </w:numPr>
        <w:jc w:val="both"/>
        <w:rPr>
          <w:sz w:val="18"/>
          <w:szCs w:val="18"/>
          <w:lang w:val="en-US"/>
        </w:rPr>
      </w:pPr>
      <w:r w:rsidRPr="006948A6">
        <w:rPr>
          <w:sz w:val="18"/>
          <w:szCs w:val="18"/>
          <w:lang w:val="en-US"/>
        </w:rPr>
        <w:t>Designed metadata-driven reconciliation workflows to validate Critical Data Elements (CDEs) prior to regulatory submission, ensuring consistency, completeness, and traceability across enterprise healthcare data systems.</w:t>
      </w:r>
    </w:p>
    <w:p w14:paraId="310CF460" w14:textId="77777777" w:rsidR="000B5F4A" w:rsidRPr="006948A6" w:rsidRDefault="000B5F4A" w:rsidP="000B5F4A">
      <w:pPr>
        <w:pStyle w:val="Normal1"/>
        <w:numPr>
          <w:ilvl w:val="0"/>
          <w:numId w:val="6"/>
        </w:numPr>
        <w:jc w:val="both"/>
        <w:rPr>
          <w:sz w:val="18"/>
          <w:szCs w:val="18"/>
          <w:lang w:val="en-US"/>
        </w:rPr>
      </w:pPr>
      <w:r w:rsidRPr="006948A6">
        <w:rPr>
          <w:sz w:val="18"/>
          <w:szCs w:val="18"/>
          <w:lang w:val="en-US"/>
        </w:rPr>
        <w:t>Partnered with business users, data stewards, and compliance teams to define governance policies, data standards, and data quality rules supporting regulatory reporting and operational analytics.</w:t>
      </w:r>
    </w:p>
    <w:p w14:paraId="5907E296" w14:textId="77777777" w:rsidR="000B5F4A" w:rsidRPr="006948A6" w:rsidRDefault="000B5F4A" w:rsidP="000B5F4A">
      <w:pPr>
        <w:pStyle w:val="Normal1"/>
        <w:numPr>
          <w:ilvl w:val="0"/>
          <w:numId w:val="6"/>
        </w:numPr>
        <w:jc w:val="both"/>
        <w:rPr>
          <w:sz w:val="18"/>
          <w:szCs w:val="18"/>
          <w:lang w:val="en-US"/>
        </w:rPr>
      </w:pPr>
      <w:r w:rsidRPr="006948A6">
        <w:rPr>
          <w:sz w:val="18"/>
          <w:szCs w:val="18"/>
          <w:lang w:val="en-US"/>
        </w:rPr>
        <w:t>Built automated ETL pipelines to integrate and standardize payer data from multiple enterprise systems, enabling cross-functional teams to access trusted and governed datasets.</w:t>
      </w:r>
    </w:p>
    <w:p w14:paraId="1E8C7AEC" w14:textId="77777777" w:rsidR="000B5F4A" w:rsidRPr="006948A6" w:rsidRDefault="000B5F4A" w:rsidP="000B5F4A">
      <w:pPr>
        <w:pStyle w:val="Normal1"/>
        <w:numPr>
          <w:ilvl w:val="0"/>
          <w:numId w:val="6"/>
        </w:numPr>
        <w:jc w:val="both"/>
        <w:rPr>
          <w:sz w:val="18"/>
          <w:szCs w:val="18"/>
          <w:lang w:val="en-US"/>
        </w:rPr>
      </w:pPr>
      <w:r w:rsidRPr="006948A6">
        <w:rPr>
          <w:sz w:val="18"/>
          <w:szCs w:val="18"/>
          <w:lang w:val="en-US"/>
        </w:rPr>
        <w:t>Documented data lineage, source-to-target mappings, and metadata for critical healthcare datasets, improving transparency and governance across regulatory reporting workflows.</w:t>
      </w:r>
    </w:p>
    <w:p w14:paraId="5DFC0289" w14:textId="77777777" w:rsidR="00F130F8" w:rsidRPr="00AF14DB" w:rsidRDefault="00F130F8" w:rsidP="00F130F8">
      <w:pPr>
        <w:pStyle w:val="Normal1"/>
        <w:ind w:left="720"/>
        <w:rPr>
          <w:bCs/>
          <w:color w:val="auto"/>
          <w:sz w:val="18"/>
          <w:szCs w:val="18"/>
          <w:lang w:val="en-US" w:eastAsia="en-US"/>
        </w:rPr>
      </w:pPr>
    </w:p>
    <w:p w14:paraId="1194C2F3" w14:textId="7B47A6B1" w:rsidR="00621A13" w:rsidRPr="00AF14DB" w:rsidRDefault="008D2CF6" w:rsidP="00621A13">
      <w:pPr>
        <w:pStyle w:val="Normal1"/>
        <w:rPr>
          <w:b/>
          <w:bCs/>
          <w:sz w:val="18"/>
          <w:szCs w:val="18"/>
          <w:lang w:val="en-US"/>
        </w:rPr>
      </w:pPr>
      <w:r w:rsidRPr="00AF14DB">
        <w:rPr>
          <w:b/>
          <w:bCs/>
          <w:sz w:val="18"/>
          <w:szCs w:val="18"/>
          <w:lang w:val="en-US"/>
        </w:rPr>
        <w:t xml:space="preserve">ETL </w:t>
      </w:r>
      <w:r w:rsidR="00EB1482" w:rsidRPr="00AF14DB">
        <w:rPr>
          <w:b/>
          <w:bCs/>
          <w:sz w:val="18"/>
          <w:szCs w:val="18"/>
          <w:lang w:val="en-US"/>
        </w:rPr>
        <w:t xml:space="preserve">Developer </w:t>
      </w:r>
      <w:r w:rsidR="00621A13" w:rsidRPr="00AF14DB">
        <w:rPr>
          <w:b/>
          <w:bCs/>
          <w:sz w:val="18"/>
          <w:szCs w:val="18"/>
          <w:lang w:val="en-US"/>
        </w:rPr>
        <w:t>– Bank of the West, San Ramon, CA</w:t>
      </w:r>
      <w:r w:rsidR="00C90485">
        <w:rPr>
          <w:b/>
          <w:bCs/>
          <w:sz w:val="18"/>
          <w:szCs w:val="18"/>
          <w:lang w:val="en-US"/>
        </w:rPr>
        <w:tab/>
      </w:r>
      <w:r w:rsidR="00C90485">
        <w:rPr>
          <w:b/>
          <w:bCs/>
          <w:sz w:val="18"/>
          <w:szCs w:val="18"/>
          <w:lang w:val="en-US"/>
        </w:rPr>
        <w:tab/>
      </w:r>
      <w:r w:rsidR="00C90485">
        <w:rPr>
          <w:b/>
          <w:bCs/>
          <w:sz w:val="18"/>
          <w:szCs w:val="18"/>
          <w:lang w:val="en-US"/>
        </w:rPr>
        <w:tab/>
      </w:r>
      <w:r w:rsidR="00C90485">
        <w:rPr>
          <w:b/>
          <w:bCs/>
          <w:sz w:val="18"/>
          <w:szCs w:val="18"/>
          <w:lang w:val="en-US"/>
        </w:rPr>
        <w:tab/>
      </w:r>
      <w:r w:rsidR="00621A13" w:rsidRPr="00CC0DF2">
        <w:rPr>
          <w:b/>
          <w:bCs/>
          <w:color w:val="auto"/>
          <w:sz w:val="18"/>
          <w:szCs w:val="18"/>
          <w:lang w:val="en-US" w:eastAsia="en-US"/>
        </w:rPr>
        <w:t>Nov 2017 – Dec 2019</w:t>
      </w:r>
      <w:r w:rsidR="00621A13" w:rsidRPr="00AF14DB">
        <w:rPr>
          <w:b/>
          <w:bCs/>
          <w:sz w:val="18"/>
          <w:szCs w:val="18"/>
          <w:lang w:val="en-US"/>
        </w:rPr>
        <w:t xml:space="preserve"> </w:t>
      </w:r>
    </w:p>
    <w:p w14:paraId="1307949C" w14:textId="77777777" w:rsidR="00621A13" w:rsidRPr="00AF14DB" w:rsidRDefault="00621A13" w:rsidP="00433FA9">
      <w:pPr>
        <w:pStyle w:val="Normal1"/>
        <w:numPr>
          <w:ilvl w:val="0"/>
          <w:numId w:val="4"/>
        </w:numPr>
        <w:rPr>
          <w:sz w:val="18"/>
          <w:szCs w:val="18"/>
          <w:lang w:val="en-US"/>
        </w:rPr>
      </w:pPr>
      <w:r w:rsidRPr="00AF14DB">
        <w:rPr>
          <w:sz w:val="18"/>
          <w:szCs w:val="18"/>
          <w:lang w:val="en-US"/>
        </w:rPr>
        <w:t>Managed CCAR regulatory reporting for capital adequacy and stress testing by reconciling GL data, integrating financial data from 10+ disparate systems, and optimizing hierarchy structures for accurate aggregation.</w:t>
      </w:r>
    </w:p>
    <w:p w14:paraId="24DCDE38" w14:textId="77777777" w:rsidR="00621A13" w:rsidRPr="00AF14DB" w:rsidRDefault="00621A13" w:rsidP="00433FA9">
      <w:pPr>
        <w:pStyle w:val="Normal1"/>
        <w:numPr>
          <w:ilvl w:val="0"/>
          <w:numId w:val="4"/>
        </w:numPr>
        <w:rPr>
          <w:sz w:val="18"/>
          <w:szCs w:val="18"/>
          <w:lang w:val="en-US"/>
        </w:rPr>
      </w:pPr>
      <w:r w:rsidRPr="00AF14DB">
        <w:rPr>
          <w:sz w:val="18"/>
          <w:szCs w:val="18"/>
          <w:lang w:val="en-US"/>
        </w:rPr>
        <w:t>Developed centralized finance data governance framework aligning business priorities with CDE definitions, improving traceability, audit readiness, and change management effectiveness.</w:t>
      </w:r>
    </w:p>
    <w:p w14:paraId="4845D100" w14:textId="77777777" w:rsidR="00621A13" w:rsidRPr="00AF14DB" w:rsidRDefault="00621A13" w:rsidP="00433FA9">
      <w:pPr>
        <w:pStyle w:val="Normal1"/>
        <w:numPr>
          <w:ilvl w:val="0"/>
          <w:numId w:val="4"/>
        </w:numPr>
        <w:rPr>
          <w:sz w:val="18"/>
          <w:szCs w:val="18"/>
          <w:lang w:val="en-US"/>
        </w:rPr>
      </w:pPr>
      <w:r w:rsidRPr="00AF14DB">
        <w:rPr>
          <w:sz w:val="18"/>
          <w:szCs w:val="18"/>
          <w:lang w:val="en-US"/>
        </w:rPr>
        <w:t>Partnered with finance, risk, and compliance teams to design functional data quality rules for core financial metrics, ensuring completeness, accuracy, and timeliness of submissions.</w:t>
      </w:r>
    </w:p>
    <w:p w14:paraId="396FD1DB" w14:textId="77777777" w:rsidR="00621A13" w:rsidRPr="00AF14DB" w:rsidRDefault="00621A13" w:rsidP="00433FA9">
      <w:pPr>
        <w:pStyle w:val="Normal1"/>
        <w:numPr>
          <w:ilvl w:val="0"/>
          <w:numId w:val="4"/>
        </w:numPr>
        <w:rPr>
          <w:sz w:val="18"/>
          <w:szCs w:val="18"/>
          <w:lang w:val="en-US"/>
        </w:rPr>
      </w:pPr>
      <w:r w:rsidRPr="00AF14DB">
        <w:rPr>
          <w:sz w:val="18"/>
          <w:szCs w:val="18"/>
          <w:lang w:val="en-US"/>
        </w:rPr>
        <w:t>Analyzed downstream impacts of hierarchy and source changes, facilitating effective communication and mitigation plans across finance and technology teams.</w:t>
      </w:r>
    </w:p>
    <w:p w14:paraId="11D284C5" w14:textId="77777777" w:rsidR="00621A13" w:rsidRPr="00AF14DB" w:rsidRDefault="00621A13" w:rsidP="00433FA9">
      <w:pPr>
        <w:pStyle w:val="Normal1"/>
        <w:numPr>
          <w:ilvl w:val="0"/>
          <w:numId w:val="4"/>
        </w:numPr>
        <w:rPr>
          <w:sz w:val="18"/>
          <w:szCs w:val="18"/>
          <w:lang w:val="en-US"/>
        </w:rPr>
      </w:pPr>
      <w:r w:rsidRPr="00AF14DB">
        <w:rPr>
          <w:sz w:val="18"/>
          <w:szCs w:val="18"/>
          <w:lang w:val="en-US"/>
        </w:rPr>
        <w:t>Streamlined complex SQL and ETL processes, improving capital reporting efficiency by 50%.</w:t>
      </w:r>
    </w:p>
    <w:p w14:paraId="26FD7B1B" w14:textId="77777777" w:rsidR="00B978C8" w:rsidRPr="001C1888" w:rsidRDefault="00B978C8" w:rsidP="001C1888">
      <w:pPr>
        <w:rPr>
          <w:rFonts w:ascii="Arial" w:eastAsia="Arial" w:hAnsi="Arial" w:cs="Arial"/>
          <w:b/>
          <w:color w:val="000000"/>
          <w:sz w:val="18"/>
          <w:szCs w:val="18"/>
        </w:rPr>
      </w:pPr>
    </w:p>
    <w:p w14:paraId="2CF31E2F" w14:textId="0F39732C" w:rsidR="00D355E2" w:rsidRPr="001C1888" w:rsidRDefault="00D355E2" w:rsidP="000B3184">
      <w:pPr>
        <w:spacing w:after="0"/>
        <w:rPr>
          <w:rFonts w:ascii="Arial" w:eastAsia="Arial" w:hAnsi="Arial" w:cs="Arial"/>
          <w:b/>
          <w:color w:val="000000"/>
          <w:sz w:val="18"/>
          <w:szCs w:val="18"/>
        </w:rPr>
      </w:pPr>
      <w:r w:rsidRPr="001C1888">
        <w:rPr>
          <w:rFonts w:ascii="Arial" w:eastAsia="Arial" w:hAnsi="Arial" w:cs="Arial"/>
          <w:b/>
          <w:color w:val="000000"/>
          <w:sz w:val="18"/>
          <w:szCs w:val="18"/>
        </w:rPr>
        <w:t>Technology</w:t>
      </w:r>
      <w:r w:rsidR="002523DE" w:rsidRPr="001C1888">
        <w:rPr>
          <w:rFonts w:ascii="Arial" w:eastAsia="Arial" w:hAnsi="Arial" w:cs="Arial"/>
          <w:b/>
          <w:color w:val="000000"/>
          <w:sz w:val="18"/>
          <w:szCs w:val="18"/>
        </w:rPr>
        <w:t xml:space="preserve"> </w:t>
      </w:r>
      <w:r w:rsidRPr="001C1888">
        <w:rPr>
          <w:rFonts w:ascii="Arial" w:eastAsia="Arial" w:hAnsi="Arial" w:cs="Arial"/>
          <w:b/>
          <w:color w:val="000000"/>
          <w:sz w:val="18"/>
          <w:szCs w:val="18"/>
        </w:rPr>
        <w:t>Lead – Infosys (BlueShield of California)</w:t>
      </w:r>
      <w:r w:rsidR="001C1888">
        <w:rPr>
          <w:rFonts w:ascii="Arial" w:eastAsia="Arial" w:hAnsi="Arial" w:cs="Arial"/>
          <w:b/>
          <w:color w:val="000000"/>
          <w:sz w:val="18"/>
          <w:szCs w:val="18"/>
        </w:rPr>
        <w:tab/>
      </w:r>
      <w:r w:rsidR="001C1888">
        <w:rPr>
          <w:rFonts w:ascii="Arial" w:eastAsia="Arial" w:hAnsi="Arial" w:cs="Arial"/>
          <w:b/>
          <w:color w:val="000000"/>
          <w:sz w:val="18"/>
          <w:szCs w:val="18"/>
        </w:rPr>
        <w:tab/>
      </w:r>
      <w:r w:rsidR="001C1888">
        <w:rPr>
          <w:rFonts w:ascii="Arial" w:eastAsia="Arial" w:hAnsi="Arial" w:cs="Arial"/>
          <w:b/>
          <w:color w:val="000000"/>
          <w:sz w:val="18"/>
          <w:szCs w:val="18"/>
        </w:rPr>
        <w:tab/>
      </w:r>
      <w:r w:rsidRPr="00CC0DF2">
        <w:rPr>
          <w:rFonts w:ascii="Arial" w:eastAsia="Arial" w:hAnsi="Arial" w:cs="Arial"/>
          <w:b/>
          <w:bCs/>
          <w:sz w:val="18"/>
          <w:szCs w:val="18"/>
        </w:rPr>
        <w:t>India &amp; US | Jun 2010 – Oct 2017</w:t>
      </w:r>
    </w:p>
    <w:p w14:paraId="594618A9" w14:textId="77777777" w:rsidR="000B3184" w:rsidRPr="000B3184" w:rsidRDefault="000B3184" w:rsidP="000B3184">
      <w:pPr>
        <w:pStyle w:val="Normal1"/>
        <w:numPr>
          <w:ilvl w:val="0"/>
          <w:numId w:val="4"/>
        </w:numPr>
        <w:rPr>
          <w:sz w:val="18"/>
          <w:szCs w:val="18"/>
          <w:lang w:val="en-US"/>
        </w:rPr>
      </w:pPr>
      <w:r w:rsidRPr="000B3184">
        <w:rPr>
          <w:sz w:val="18"/>
          <w:szCs w:val="18"/>
          <w:lang w:val="en-US"/>
        </w:rPr>
        <w:t>Developed and optimized ETL pipelines, reconciliation tools, and regulatory audit processes, ensuring compliance with HIPAA.</w:t>
      </w:r>
    </w:p>
    <w:p w14:paraId="712D029A" w14:textId="77777777" w:rsidR="000B3184" w:rsidRPr="000B3184" w:rsidRDefault="000B3184" w:rsidP="000B3184">
      <w:pPr>
        <w:pStyle w:val="Normal1"/>
        <w:numPr>
          <w:ilvl w:val="0"/>
          <w:numId w:val="4"/>
        </w:numPr>
        <w:rPr>
          <w:sz w:val="18"/>
          <w:szCs w:val="18"/>
          <w:lang w:val="en-US"/>
        </w:rPr>
      </w:pPr>
      <w:r w:rsidRPr="000B3184">
        <w:rPr>
          <w:sz w:val="18"/>
          <w:szCs w:val="18"/>
          <w:lang w:val="en-US"/>
        </w:rPr>
        <w:t xml:space="preserve">Designed and implemented customer data marts, dashboards, and reporting frameworks for multiple clients, improving data accuracy and accessibility. </w:t>
      </w:r>
    </w:p>
    <w:p w14:paraId="66C9CDC5" w14:textId="77777777" w:rsidR="000B3184" w:rsidRPr="000B3184" w:rsidRDefault="000B3184" w:rsidP="000B3184">
      <w:pPr>
        <w:pStyle w:val="Normal1"/>
        <w:numPr>
          <w:ilvl w:val="0"/>
          <w:numId w:val="4"/>
        </w:numPr>
        <w:rPr>
          <w:sz w:val="18"/>
          <w:szCs w:val="18"/>
          <w:lang w:val="en-US"/>
        </w:rPr>
      </w:pPr>
      <w:r w:rsidRPr="000B3184">
        <w:rPr>
          <w:sz w:val="18"/>
          <w:szCs w:val="18"/>
          <w:lang w:val="en-US"/>
        </w:rPr>
        <w:t xml:space="preserve">Built metadata-driven solutions and optimized Informatica mappings, enhancing EDW performance. </w:t>
      </w:r>
    </w:p>
    <w:p w14:paraId="66E7FA45" w14:textId="77777777" w:rsidR="000B3184" w:rsidRPr="001E51B8" w:rsidRDefault="000B3184" w:rsidP="000B3184">
      <w:pPr>
        <w:pStyle w:val="Normal1"/>
        <w:numPr>
          <w:ilvl w:val="0"/>
          <w:numId w:val="4"/>
        </w:numPr>
        <w:rPr>
          <w:sz w:val="18"/>
          <w:szCs w:val="18"/>
          <w:lang w:val="en-US"/>
        </w:rPr>
      </w:pPr>
      <w:r w:rsidRPr="001E51B8">
        <w:rPr>
          <w:sz w:val="18"/>
          <w:szCs w:val="18"/>
          <w:lang w:val="en-US"/>
        </w:rPr>
        <w:t>Designed and developed net-new customer data marts, integrating data from multiple books of record.</w:t>
      </w:r>
    </w:p>
    <w:p w14:paraId="6C7924FF" w14:textId="77777777" w:rsidR="000B3184" w:rsidRPr="001E51B8" w:rsidRDefault="000B3184" w:rsidP="000B3184">
      <w:pPr>
        <w:pStyle w:val="Normal1"/>
        <w:numPr>
          <w:ilvl w:val="0"/>
          <w:numId w:val="4"/>
        </w:numPr>
        <w:rPr>
          <w:sz w:val="18"/>
          <w:szCs w:val="18"/>
          <w:lang w:val="en-US"/>
        </w:rPr>
      </w:pPr>
      <w:r w:rsidRPr="001E51B8">
        <w:rPr>
          <w:sz w:val="18"/>
          <w:szCs w:val="18"/>
          <w:lang w:val="en-US"/>
        </w:rPr>
        <w:t>Established data quality monitoring dashboards for real-time data accuracy tracking.</w:t>
      </w:r>
    </w:p>
    <w:p w14:paraId="0A3B515C" w14:textId="2C443DD1" w:rsidR="000B3184" w:rsidRPr="000B3184" w:rsidRDefault="000B3184" w:rsidP="000B3184">
      <w:pPr>
        <w:pStyle w:val="Normal1"/>
        <w:numPr>
          <w:ilvl w:val="0"/>
          <w:numId w:val="4"/>
        </w:numPr>
        <w:rPr>
          <w:sz w:val="18"/>
          <w:szCs w:val="18"/>
          <w:lang w:val="en-US"/>
        </w:rPr>
      </w:pPr>
      <w:r w:rsidRPr="001E51B8">
        <w:rPr>
          <w:sz w:val="18"/>
          <w:szCs w:val="18"/>
          <w:lang w:val="en-US"/>
        </w:rPr>
        <w:t>Optimized SQL queries and ETL processes to improve data processing efficiency and reduce latency.</w:t>
      </w:r>
    </w:p>
    <w:p w14:paraId="722A25A5" w14:textId="77777777" w:rsidR="00BD1A34" w:rsidRPr="00AF14DB" w:rsidRDefault="00BD1A34" w:rsidP="00BD1A34">
      <w:pPr>
        <w:pBdr>
          <w:top w:val="nil"/>
          <w:left w:val="nil"/>
          <w:bottom w:val="nil"/>
          <w:right w:val="nil"/>
          <w:between w:val="nil"/>
        </w:pBdr>
        <w:spacing w:after="0" w:line="240" w:lineRule="auto"/>
        <w:jc w:val="both"/>
        <w:rPr>
          <w:rFonts w:ascii="Arial" w:eastAsia="Arial" w:hAnsi="Arial" w:cs="Arial"/>
          <w:color w:val="000000"/>
          <w:sz w:val="18"/>
          <w:szCs w:val="18"/>
        </w:rPr>
      </w:pPr>
    </w:p>
    <w:p w14:paraId="293F3170" w14:textId="77777777" w:rsidR="00A16213" w:rsidRPr="00AF14DB" w:rsidRDefault="00A16213" w:rsidP="00A16213">
      <w:pPr>
        <w:jc w:val="center"/>
        <w:rPr>
          <w:rFonts w:ascii="Arial" w:eastAsia="Arial" w:hAnsi="Arial" w:cs="Arial"/>
          <w:color w:val="000000"/>
          <w:sz w:val="18"/>
          <w:szCs w:val="18"/>
        </w:rPr>
      </w:pPr>
      <w:r w:rsidRPr="00AF14DB">
        <w:rPr>
          <w:rFonts w:ascii="Arial" w:eastAsia="Arial" w:hAnsi="Arial" w:cs="Arial"/>
          <w:b/>
          <w:color w:val="000000"/>
          <w:sz w:val="18"/>
          <w:szCs w:val="18"/>
          <w:u w:val="single"/>
        </w:rPr>
        <w:t>EDUCATION &amp; CERTIFICATIONS</w:t>
      </w:r>
    </w:p>
    <w:p w14:paraId="78585227" w14:textId="77777777" w:rsidR="00A16213" w:rsidRPr="00AF14DB" w:rsidRDefault="00A16213" w:rsidP="00433FA9">
      <w:pPr>
        <w:pStyle w:val="Normal1"/>
        <w:numPr>
          <w:ilvl w:val="0"/>
          <w:numId w:val="1"/>
        </w:numPr>
        <w:rPr>
          <w:color w:val="auto"/>
          <w:sz w:val="18"/>
          <w:szCs w:val="18"/>
          <w:lang w:val="en-US" w:eastAsia="en-US"/>
        </w:rPr>
      </w:pPr>
      <w:bookmarkStart w:id="2" w:name="_Hlk134461285"/>
      <w:r w:rsidRPr="00AF14DB">
        <w:rPr>
          <w:color w:val="auto"/>
          <w:sz w:val="18"/>
          <w:szCs w:val="18"/>
          <w:lang w:val="en-US" w:eastAsia="en-US"/>
        </w:rPr>
        <w:t>BE in Electrical and Electronics Engineering (Honors), Punjab University, Chandigarh, India.</w:t>
      </w:r>
    </w:p>
    <w:p w14:paraId="6F549268" w14:textId="77777777" w:rsidR="00A16213" w:rsidRPr="00AF14DB" w:rsidRDefault="00A16213" w:rsidP="00433FA9">
      <w:pPr>
        <w:pStyle w:val="Normal1"/>
        <w:numPr>
          <w:ilvl w:val="0"/>
          <w:numId w:val="1"/>
        </w:numPr>
        <w:rPr>
          <w:color w:val="auto"/>
          <w:sz w:val="18"/>
          <w:szCs w:val="18"/>
          <w:lang w:val="en-US" w:eastAsia="en-US"/>
        </w:rPr>
      </w:pPr>
      <w:bookmarkStart w:id="3" w:name="_Hlk134461541"/>
      <w:bookmarkEnd w:id="2"/>
      <w:r w:rsidRPr="00AF14DB">
        <w:rPr>
          <w:color w:val="auto"/>
          <w:sz w:val="18"/>
          <w:szCs w:val="18"/>
          <w:lang w:val="en-US" w:eastAsia="en-US"/>
        </w:rPr>
        <w:t>Microsoft SQL Server Certification</w:t>
      </w:r>
    </w:p>
    <w:p w14:paraId="37037F66" w14:textId="471B85F2" w:rsidR="008D74ED" w:rsidRPr="00AF14DB" w:rsidRDefault="00A16213" w:rsidP="00291F96">
      <w:pPr>
        <w:pStyle w:val="Normal1"/>
        <w:numPr>
          <w:ilvl w:val="0"/>
          <w:numId w:val="1"/>
        </w:numPr>
        <w:rPr>
          <w:color w:val="auto"/>
          <w:sz w:val="18"/>
          <w:szCs w:val="18"/>
          <w:lang w:val="en-US" w:eastAsia="en-US"/>
        </w:rPr>
      </w:pPr>
      <w:r w:rsidRPr="00AF14DB">
        <w:rPr>
          <w:color w:val="auto"/>
          <w:sz w:val="18"/>
          <w:szCs w:val="18"/>
          <w:lang w:val="en-US" w:eastAsia="en-US"/>
        </w:rPr>
        <w:t>Python Data Structures – University of Michigan</w:t>
      </w:r>
      <w:bookmarkEnd w:id="3"/>
    </w:p>
    <w:sectPr w:rsidR="008D74ED" w:rsidRPr="00AF14DB" w:rsidSect="00DF200D">
      <w:headerReference w:type="default" r:id="rId10"/>
      <w:footerReference w:type="even" r:id="rId11"/>
      <w:footerReference w:type="default" r:id="rId12"/>
      <w:footerReference w:type="first" r:id="rId13"/>
      <w:pgSz w:w="12240" w:h="15840" w:code="1"/>
      <w:pgMar w:top="990" w:right="1440" w:bottom="540" w:left="1440" w:header="432"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36043DC" w14:textId="77777777" w:rsidR="00A61879" w:rsidRDefault="00A61879">
      <w:pPr>
        <w:spacing w:after="0" w:line="240" w:lineRule="auto"/>
      </w:pPr>
      <w:r>
        <w:separator/>
      </w:r>
    </w:p>
  </w:endnote>
  <w:endnote w:type="continuationSeparator" w:id="0">
    <w:p w14:paraId="3C79172B" w14:textId="77777777" w:rsidR="00A61879" w:rsidRDefault="00A618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DejaVu Sans">
    <w:altName w:val="Yu Gothic"/>
    <w:charset w:val="80"/>
    <w:family w:val="auto"/>
    <w:pitch w:val="default"/>
  </w:font>
  <w:font w:name="Lohit Hindi">
    <w:altName w:val="Yu Gothic"/>
    <w:charset w:val="8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6C1986" w14:textId="0B601195" w:rsidR="007814EE" w:rsidRDefault="007814EE">
    <w:pPr>
      <w:pStyle w:val="Footer"/>
    </w:pPr>
    <w:r>
      <w:rPr>
        <w:noProof/>
      </w:rPr>
      <mc:AlternateContent>
        <mc:Choice Requires="wps">
          <w:drawing>
            <wp:anchor distT="0" distB="0" distL="0" distR="0" simplePos="0" relativeHeight="251659264" behindDoc="0" locked="0" layoutInCell="1" allowOverlap="1" wp14:anchorId="7F8F2AC9" wp14:editId="2F6D7069">
              <wp:simplePos x="635" y="635"/>
              <wp:positionH relativeFrom="page">
                <wp:align>center</wp:align>
              </wp:positionH>
              <wp:positionV relativeFrom="page">
                <wp:align>bottom</wp:align>
              </wp:positionV>
              <wp:extent cx="443865" cy="443865"/>
              <wp:effectExtent l="0" t="0" r="15875" b="0"/>
              <wp:wrapNone/>
              <wp:docPr id="490070250" name="Text Box 2" descr="Internal">
                <a:extLst xmlns:a="http://schemas.openxmlformats.org/drawingml/2006/main">
                  <a:ext uri="{5AE41FA2-C0FF-4470-9BD4-5FADCA87CBE2}">
                    <aclsh:classification xmlns:aclsh="http://schemas.microsoft.com/office/drawing/2020/classificationShape"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4C92FF0" w14:textId="5540D2CB" w:rsidR="007814EE" w:rsidRPr="007814EE" w:rsidRDefault="007814EE" w:rsidP="007814EE">
                          <w:pPr>
                            <w:spacing w:after="0"/>
                            <w:rPr>
                              <w:noProof/>
                              <w:color w:val="000000"/>
                              <w:sz w:val="18"/>
                              <w:szCs w:val="18"/>
                            </w:rPr>
                          </w:pPr>
                          <w:r w:rsidRPr="007814EE">
                            <w:rPr>
                              <w:noProof/>
                              <w:color w:val="000000"/>
                              <w:sz w:val="18"/>
                              <w:szCs w:val="18"/>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7F8F2AC9" id="_x0000_t202" coordsize="21600,21600" o:spt="202" path="m,l,21600r21600,l21600,xe">
              <v:stroke joinstyle="miter"/>
              <v:path gradientshapeok="t" o:connecttype="rect"/>
            </v:shapetype>
            <v:shape id="Text Box 2" o:spid="_x0000_s1026" type="#_x0000_t202" alt="Internal" style="position:absolute;margin-left:0;margin-top:0;width:34.95pt;height:34.9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filled="f" stroked="f">
              <v:textbox style="mso-fit-shape-to-text:t" inset="0,0,0,15pt">
                <w:txbxContent>
                  <w:p w14:paraId="24C92FF0" w14:textId="5540D2CB" w:rsidR="007814EE" w:rsidRPr="007814EE" w:rsidRDefault="007814EE" w:rsidP="007814EE">
                    <w:pPr>
                      <w:spacing w:after="0"/>
                      <w:rPr>
                        <w:noProof/>
                        <w:color w:val="000000"/>
                        <w:sz w:val="18"/>
                        <w:szCs w:val="18"/>
                      </w:rPr>
                    </w:pPr>
                    <w:r w:rsidRPr="007814EE">
                      <w:rPr>
                        <w:noProof/>
                        <w:color w:val="000000"/>
                        <w:sz w:val="18"/>
                        <w:szCs w:val="18"/>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632D2A" w14:textId="46A99BC2" w:rsidR="007814EE" w:rsidRDefault="007814EE">
    <w:pPr>
      <w:pStyle w:val="Footer"/>
    </w:pPr>
    <w:r>
      <w:rPr>
        <w:noProof/>
      </w:rPr>
      <mc:AlternateContent>
        <mc:Choice Requires="wps">
          <w:drawing>
            <wp:anchor distT="0" distB="0" distL="0" distR="0" simplePos="0" relativeHeight="251660288" behindDoc="0" locked="0" layoutInCell="1" allowOverlap="1" wp14:anchorId="73C94CFF" wp14:editId="53EEAB4E">
              <wp:simplePos x="914400" y="9613900"/>
              <wp:positionH relativeFrom="page">
                <wp:align>center</wp:align>
              </wp:positionH>
              <wp:positionV relativeFrom="page">
                <wp:align>bottom</wp:align>
              </wp:positionV>
              <wp:extent cx="443865" cy="443865"/>
              <wp:effectExtent l="0" t="0" r="15875" b="0"/>
              <wp:wrapNone/>
              <wp:docPr id="1751753585" name="Text Box 3" descr="Internal">
                <a:extLst xmlns:a="http://schemas.openxmlformats.org/drawingml/2006/main">
                  <a:ext uri="{5AE41FA2-C0FF-4470-9BD4-5FADCA87CBE2}">
                    <aclsh:classification xmlns:aclsh="http://schemas.microsoft.com/office/drawing/2020/classificationShape"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9955BC8" w14:textId="41EEB1B1" w:rsidR="007814EE" w:rsidRPr="007814EE" w:rsidRDefault="007814EE" w:rsidP="007814EE">
                          <w:pPr>
                            <w:spacing w:after="0"/>
                            <w:rPr>
                              <w:noProof/>
                              <w:color w:val="000000"/>
                              <w:sz w:val="18"/>
                              <w:szCs w:val="18"/>
                            </w:rPr>
                          </w:pPr>
                          <w:r w:rsidRPr="007814EE">
                            <w:rPr>
                              <w:noProof/>
                              <w:color w:val="000000"/>
                              <w:sz w:val="18"/>
                              <w:szCs w:val="18"/>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73C94CFF" id="_x0000_t202" coordsize="21600,21600" o:spt="202" path="m,l,21600r21600,l21600,xe">
              <v:stroke joinstyle="miter"/>
              <v:path gradientshapeok="t" o:connecttype="rect"/>
            </v:shapetype>
            <v:shape id="Text Box 3" o:spid="_x0000_s1027" type="#_x0000_t202" alt="Internal" style="position:absolute;margin-left:0;margin-top:0;width:34.95pt;height:34.9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textbox style="mso-fit-shape-to-text:t" inset="0,0,0,15pt">
                <w:txbxContent>
                  <w:p w14:paraId="09955BC8" w14:textId="41EEB1B1" w:rsidR="007814EE" w:rsidRPr="007814EE" w:rsidRDefault="007814EE" w:rsidP="007814EE">
                    <w:pPr>
                      <w:spacing w:after="0"/>
                      <w:rPr>
                        <w:noProof/>
                        <w:color w:val="000000"/>
                        <w:sz w:val="18"/>
                        <w:szCs w:val="18"/>
                      </w:rPr>
                    </w:pPr>
                    <w:r w:rsidRPr="007814EE">
                      <w:rPr>
                        <w:noProof/>
                        <w:color w:val="000000"/>
                        <w:sz w:val="18"/>
                        <w:szCs w:val="18"/>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49BBD4" w14:textId="5AE0FEED" w:rsidR="007814EE" w:rsidRDefault="007814EE">
    <w:pPr>
      <w:pStyle w:val="Footer"/>
    </w:pPr>
    <w:r>
      <w:rPr>
        <w:noProof/>
      </w:rPr>
      <mc:AlternateContent>
        <mc:Choice Requires="wps">
          <w:drawing>
            <wp:anchor distT="0" distB="0" distL="0" distR="0" simplePos="0" relativeHeight="251658240" behindDoc="0" locked="0" layoutInCell="1" allowOverlap="1" wp14:anchorId="04A0B879" wp14:editId="1CE4EC2A">
              <wp:simplePos x="635" y="635"/>
              <wp:positionH relativeFrom="page">
                <wp:align>center</wp:align>
              </wp:positionH>
              <wp:positionV relativeFrom="page">
                <wp:align>bottom</wp:align>
              </wp:positionV>
              <wp:extent cx="443865" cy="443865"/>
              <wp:effectExtent l="0" t="0" r="15875" b="0"/>
              <wp:wrapNone/>
              <wp:docPr id="782435386" name="Text Box 1" descr="Internal">
                <a:extLst xmlns:a="http://schemas.openxmlformats.org/drawingml/2006/main">
                  <a:ext uri="{5AE41FA2-C0FF-4470-9BD4-5FADCA87CBE2}">
                    <aclsh:classification xmlns:aclsh="http://schemas.microsoft.com/office/drawing/2020/classificationShape"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3E1C6D8" w14:textId="179638BE" w:rsidR="007814EE" w:rsidRPr="007814EE" w:rsidRDefault="007814EE" w:rsidP="007814EE">
                          <w:pPr>
                            <w:spacing w:after="0"/>
                            <w:rPr>
                              <w:noProof/>
                              <w:color w:val="000000"/>
                              <w:sz w:val="18"/>
                              <w:szCs w:val="18"/>
                            </w:rPr>
                          </w:pPr>
                          <w:r w:rsidRPr="007814EE">
                            <w:rPr>
                              <w:noProof/>
                              <w:color w:val="000000"/>
                              <w:sz w:val="18"/>
                              <w:szCs w:val="18"/>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04A0B879" id="_x0000_t202" coordsize="21600,21600" o:spt="202" path="m,l,21600r21600,l21600,xe">
              <v:stroke joinstyle="miter"/>
              <v:path gradientshapeok="t" o:connecttype="rect"/>
            </v:shapetype>
            <v:shape id="Text Box 1" o:spid="_x0000_s1028" type="#_x0000_t202" alt="Internal" style="position:absolute;margin-left:0;margin-top:0;width:34.95pt;height:34.9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filled="f" stroked="f">
              <v:textbox style="mso-fit-shape-to-text:t" inset="0,0,0,15pt">
                <w:txbxContent>
                  <w:p w14:paraId="53E1C6D8" w14:textId="179638BE" w:rsidR="007814EE" w:rsidRPr="007814EE" w:rsidRDefault="007814EE" w:rsidP="007814EE">
                    <w:pPr>
                      <w:spacing w:after="0"/>
                      <w:rPr>
                        <w:noProof/>
                        <w:color w:val="000000"/>
                        <w:sz w:val="18"/>
                        <w:szCs w:val="18"/>
                      </w:rPr>
                    </w:pPr>
                    <w:r w:rsidRPr="007814EE">
                      <w:rPr>
                        <w:noProof/>
                        <w:color w:val="000000"/>
                        <w:sz w:val="18"/>
                        <w:szCs w:val="18"/>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4BECF84" w14:textId="77777777" w:rsidR="00A61879" w:rsidRDefault="00A61879">
      <w:pPr>
        <w:spacing w:after="0" w:line="240" w:lineRule="auto"/>
      </w:pPr>
      <w:r>
        <w:separator/>
      </w:r>
    </w:p>
  </w:footnote>
  <w:footnote w:type="continuationSeparator" w:id="0">
    <w:p w14:paraId="63988F11" w14:textId="77777777" w:rsidR="00A61879" w:rsidRDefault="00A618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112" w14:textId="77777777" w:rsidR="00C420C4" w:rsidRDefault="00C420C4">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0A3C8D"/>
    <w:multiLevelType w:val="hybridMultilevel"/>
    <w:tmpl w:val="69545D08"/>
    <w:lvl w:ilvl="0" w:tplc="3892C93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765530"/>
    <w:multiLevelType w:val="multilevel"/>
    <w:tmpl w:val="A9468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9F2F78"/>
    <w:multiLevelType w:val="multilevel"/>
    <w:tmpl w:val="9DDA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CE2A55"/>
    <w:multiLevelType w:val="multilevel"/>
    <w:tmpl w:val="606EC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230CCA"/>
    <w:multiLevelType w:val="hybridMultilevel"/>
    <w:tmpl w:val="3704E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1DD6335"/>
    <w:multiLevelType w:val="hybridMultilevel"/>
    <w:tmpl w:val="6C3A8DF2"/>
    <w:lvl w:ilvl="0" w:tplc="04B4D14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F821546">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35E607A">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E247A1C">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7C0374A">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0FE53C6">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9DE025C">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11261AC">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EA0ED92">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64D75260"/>
    <w:multiLevelType w:val="multilevel"/>
    <w:tmpl w:val="EEC0F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6"/>
  </w:num>
  <w:num w:numId="3">
    <w:abstractNumId w:val="3"/>
  </w:num>
  <w:num w:numId="4">
    <w:abstractNumId w:val="2"/>
  </w:num>
  <w:num w:numId="5">
    <w:abstractNumId w:val="1"/>
  </w:num>
  <w:num w:numId="6">
    <w:abstractNumId w:val="4"/>
  </w:num>
  <w:num w:numId="7">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20C4"/>
    <w:rsid w:val="00005379"/>
    <w:rsid w:val="00012797"/>
    <w:rsid w:val="000135AB"/>
    <w:rsid w:val="0001461A"/>
    <w:rsid w:val="00014F50"/>
    <w:rsid w:val="00022237"/>
    <w:rsid w:val="00023DF8"/>
    <w:rsid w:val="0003352A"/>
    <w:rsid w:val="00042665"/>
    <w:rsid w:val="00060B6E"/>
    <w:rsid w:val="00061096"/>
    <w:rsid w:val="000610DE"/>
    <w:rsid w:val="000746A9"/>
    <w:rsid w:val="00076B30"/>
    <w:rsid w:val="00076D26"/>
    <w:rsid w:val="00082413"/>
    <w:rsid w:val="00094F26"/>
    <w:rsid w:val="000A2900"/>
    <w:rsid w:val="000A52C5"/>
    <w:rsid w:val="000B1CDD"/>
    <w:rsid w:val="000B3184"/>
    <w:rsid w:val="000B5F4A"/>
    <w:rsid w:val="000B73BC"/>
    <w:rsid w:val="000B74F9"/>
    <w:rsid w:val="000C0D39"/>
    <w:rsid w:val="000D30FB"/>
    <w:rsid w:val="000D7B5C"/>
    <w:rsid w:val="000E616E"/>
    <w:rsid w:val="000F304D"/>
    <w:rsid w:val="000F3ECD"/>
    <w:rsid w:val="000F4D16"/>
    <w:rsid w:val="0010069C"/>
    <w:rsid w:val="00104507"/>
    <w:rsid w:val="00110D1C"/>
    <w:rsid w:val="001141C0"/>
    <w:rsid w:val="001151EF"/>
    <w:rsid w:val="00117034"/>
    <w:rsid w:val="00121119"/>
    <w:rsid w:val="001242A5"/>
    <w:rsid w:val="001275B8"/>
    <w:rsid w:val="00133BBF"/>
    <w:rsid w:val="001369A7"/>
    <w:rsid w:val="00136FB4"/>
    <w:rsid w:val="00140BDA"/>
    <w:rsid w:val="001432CE"/>
    <w:rsid w:val="0014539B"/>
    <w:rsid w:val="00150572"/>
    <w:rsid w:val="00163CAF"/>
    <w:rsid w:val="001741F8"/>
    <w:rsid w:val="0018345F"/>
    <w:rsid w:val="00184003"/>
    <w:rsid w:val="0018483A"/>
    <w:rsid w:val="00192E39"/>
    <w:rsid w:val="0019673B"/>
    <w:rsid w:val="001A22BE"/>
    <w:rsid w:val="001A74B7"/>
    <w:rsid w:val="001B1700"/>
    <w:rsid w:val="001B40AB"/>
    <w:rsid w:val="001B547B"/>
    <w:rsid w:val="001B7115"/>
    <w:rsid w:val="001B77FD"/>
    <w:rsid w:val="001B7B5C"/>
    <w:rsid w:val="001C1888"/>
    <w:rsid w:val="001C4E93"/>
    <w:rsid w:val="001C6D6D"/>
    <w:rsid w:val="001D0BEC"/>
    <w:rsid w:val="001D2A33"/>
    <w:rsid w:val="001D4DB8"/>
    <w:rsid w:val="001D7E21"/>
    <w:rsid w:val="001E328D"/>
    <w:rsid w:val="001E6393"/>
    <w:rsid w:val="001E65E4"/>
    <w:rsid w:val="001F283A"/>
    <w:rsid w:val="001F375A"/>
    <w:rsid w:val="001F75B3"/>
    <w:rsid w:val="001F789D"/>
    <w:rsid w:val="002041EF"/>
    <w:rsid w:val="00204410"/>
    <w:rsid w:val="00205D09"/>
    <w:rsid w:val="00217E72"/>
    <w:rsid w:val="002208B6"/>
    <w:rsid w:val="00225D04"/>
    <w:rsid w:val="002267C6"/>
    <w:rsid w:val="00230403"/>
    <w:rsid w:val="00233CEF"/>
    <w:rsid w:val="002357E6"/>
    <w:rsid w:val="00237973"/>
    <w:rsid w:val="00241A5A"/>
    <w:rsid w:val="00245859"/>
    <w:rsid w:val="00246EF2"/>
    <w:rsid w:val="00250C28"/>
    <w:rsid w:val="002523DE"/>
    <w:rsid w:val="002567BD"/>
    <w:rsid w:val="00256BF7"/>
    <w:rsid w:val="00264632"/>
    <w:rsid w:val="00270753"/>
    <w:rsid w:val="00271C07"/>
    <w:rsid w:val="00274025"/>
    <w:rsid w:val="00274839"/>
    <w:rsid w:val="00274A5F"/>
    <w:rsid w:val="00282B0E"/>
    <w:rsid w:val="00282B19"/>
    <w:rsid w:val="00283761"/>
    <w:rsid w:val="00284416"/>
    <w:rsid w:val="00284E1E"/>
    <w:rsid w:val="00287186"/>
    <w:rsid w:val="002901C4"/>
    <w:rsid w:val="002913F1"/>
    <w:rsid w:val="00291F96"/>
    <w:rsid w:val="002927A3"/>
    <w:rsid w:val="00292D0B"/>
    <w:rsid w:val="002934E2"/>
    <w:rsid w:val="0029426B"/>
    <w:rsid w:val="002A1AC9"/>
    <w:rsid w:val="002A3FC7"/>
    <w:rsid w:val="002A605B"/>
    <w:rsid w:val="002A6D02"/>
    <w:rsid w:val="002B00CD"/>
    <w:rsid w:val="002B0345"/>
    <w:rsid w:val="002B2A28"/>
    <w:rsid w:val="002B3C7C"/>
    <w:rsid w:val="002B40D7"/>
    <w:rsid w:val="002B53D8"/>
    <w:rsid w:val="002C0957"/>
    <w:rsid w:val="002C17C5"/>
    <w:rsid w:val="002C1FA2"/>
    <w:rsid w:val="002C694A"/>
    <w:rsid w:val="002D01B6"/>
    <w:rsid w:val="002D13F2"/>
    <w:rsid w:val="002D1672"/>
    <w:rsid w:val="002D3517"/>
    <w:rsid w:val="002D58C6"/>
    <w:rsid w:val="002D6E67"/>
    <w:rsid w:val="002E0545"/>
    <w:rsid w:val="002E09BF"/>
    <w:rsid w:val="002E0E7C"/>
    <w:rsid w:val="002E3519"/>
    <w:rsid w:val="002F0398"/>
    <w:rsid w:val="002F4EC5"/>
    <w:rsid w:val="002F64E7"/>
    <w:rsid w:val="00301FBD"/>
    <w:rsid w:val="003041C8"/>
    <w:rsid w:val="00305AA1"/>
    <w:rsid w:val="003131FA"/>
    <w:rsid w:val="0031337E"/>
    <w:rsid w:val="00316C0B"/>
    <w:rsid w:val="00316E8E"/>
    <w:rsid w:val="00317449"/>
    <w:rsid w:val="0033327A"/>
    <w:rsid w:val="00340EA8"/>
    <w:rsid w:val="00344A22"/>
    <w:rsid w:val="00350838"/>
    <w:rsid w:val="00363AFA"/>
    <w:rsid w:val="00370138"/>
    <w:rsid w:val="00375C66"/>
    <w:rsid w:val="00376AD0"/>
    <w:rsid w:val="00387B51"/>
    <w:rsid w:val="00390CAE"/>
    <w:rsid w:val="003937D6"/>
    <w:rsid w:val="003941FD"/>
    <w:rsid w:val="0039470A"/>
    <w:rsid w:val="003A4F0B"/>
    <w:rsid w:val="003B7A5B"/>
    <w:rsid w:val="003E050C"/>
    <w:rsid w:val="003E1EB0"/>
    <w:rsid w:val="003E3871"/>
    <w:rsid w:val="003F4668"/>
    <w:rsid w:val="003F5035"/>
    <w:rsid w:val="00400D25"/>
    <w:rsid w:val="00402D35"/>
    <w:rsid w:val="00402DB8"/>
    <w:rsid w:val="004104BF"/>
    <w:rsid w:val="00410A6B"/>
    <w:rsid w:val="00410A99"/>
    <w:rsid w:val="00413525"/>
    <w:rsid w:val="00420D92"/>
    <w:rsid w:val="00421077"/>
    <w:rsid w:val="00421281"/>
    <w:rsid w:val="0042179E"/>
    <w:rsid w:val="00421906"/>
    <w:rsid w:val="00422093"/>
    <w:rsid w:val="004250FD"/>
    <w:rsid w:val="00433433"/>
    <w:rsid w:val="00433B58"/>
    <w:rsid w:val="00433FA9"/>
    <w:rsid w:val="00434FD8"/>
    <w:rsid w:val="004363CC"/>
    <w:rsid w:val="004414DA"/>
    <w:rsid w:val="0044283A"/>
    <w:rsid w:val="00447BF3"/>
    <w:rsid w:val="00453F1C"/>
    <w:rsid w:val="0046795A"/>
    <w:rsid w:val="00467D7C"/>
    <w:rsid w:val="00474E2A"/>
    <w:rsid w:val="00483D92"/>
    <w:rsid w:val="00490BD3"/>
    <w:rsid w:val="00492EF0"/>
    <w:rsid w:val="0049461E"/>
    <w:rsid w:val="00496D61"/>
    <w:rsid w:val="004A261E"/>
    <w:rsid w:val="004A6B62"/>
    <w:rsid w:val="004B27C6"/>
    <w:rsid w:val="004B2C8D"/>
    <w:rsid w:val="004C35F7"/>
    <w:rsid w:val="004C38F2"/>
    <w:rsid w:val="004D1B3C"/>
    <w:rsid w:val="004E2117"/>
    <w:rsid w:val="004E539A"/>
    <w:rsid w:val="00504996"/>
    <w:rsid w:val="0051475F"/>
    <w:rsid w:val="00520A22"/>
    <w:rsid w:val="005353DE"/>
    <w:rsid w:val="005374DE"/>
    <w:rsid w:val="0054189F"/>
    <w:rsid w:val="00541B4F"/>
    <w:rsid w:val="0055079E"/>
    <w:rsid w:val="00551165"/>
    <w:rsid w:val="00552BFD"/>
    <w:rsid w:val="005538D9"/>
    <w:rsid w:val="0055545A"/>
    <w:rsid w:val="0056653E"/>
    <w:rsid w:val="00567517"/>
    <w:rsid w:val="0058536C"/>
    <w:rsid w:val="00591570"/>
    <w:rsid w:val="005A0CC5"/>
    <w:rsid w:val="005A7FCF"/>
    <w:rsid w:val="005B3AB4"/>
    <w:rsid w:val="005B5D91"/>
    <w:rsid w:val="005C36CE"/>
    <w:rsid w:val="005C4EFF"/>
    <w:rsid w:val="005C6B98"/>
    <w:rsid w:val="005C6EA8"/>
    <w:rsid w:val="005D5147"/>
    <w:rsid w:val="005E27AB"/>
    <w:rsid w:val="006030A6"/>
    <w:rsid w:val="006059A1"/>
    <w:rsid w:val="006076B4"/>
    <w:rsid w:val="006111B3"/>
    <w:rsid w:val="0061289F"/>
    <w:rsid w:val="006153BC"/>
    <w:rsid w:val="00616D4B"/>
    <w:rsid w:val="00621A13"/>
    <w:rsid w:val="00624CA2"/>
    <w:rsid w:val="0062660D"/>
    <w:rsid w:val="00631893"/>
    <w:rsid w:val="00631EFE"/>
    <w:rsid w:val="00635DA5"/>
    <w:rsid w:val="006469F0"/>
    <w:rsid w:val="00652339"/>
    <w:rsid w:val="006536CB"/>
    <w:rsid w:val="00677F5B"/>
    <w:rsid w:val="00682CBB"/>
    <w:rsid w:val="00691078"/>
    <w:rsid w:val="00691BE9"/>
    <w:rsid w:val="0069296D"/>
    <w:rsid w:val="006930E1"/>
    <w:rsid w:val="006948A6"/>
    <w:rsid w:val="00697959"/>
    <w:rsid w:val="006A27F2"/>
    <w:rsid w:val="006A46C8"/>
    <w:rsid w:val="006B25B7"/>
    <w:rsid w:val="006B26D3"/>
    <w:rsid w:val="006B6E62"/>
    <w:rsid w:val="006C1D4C"/>
    <w:rsid w:val="006D03D0"/>
    <w:rsid w:val="006D18BE"/>
    <w:rsid w:val="006D220D"/>
    <w:rsid w:val="006D37F8"/>
    <w:rsid w:val="006F477C"/>
    <w:rsid w:val="0070014E"/>
    <w:rsid w:val="00706A11"/>
    <w:rsid w:val="00713882"/>
    <w:rsid w:val="00715A0D"/>
    <w:rsid w:val="00715EAA"/>
    <w:rsid w:val="007277DD"/>
    <w:rsid w:val="00727B88"/>
    <w:rsid w:val="00732658"/>
    <w:rsid w:val="00734A36"/>
    <w:rsid w:val="00735A7D"/>
    <w:rsid w:val="00736745"/>
    <w:rsid w:val="007534A5"/>
    <w:rsid w:val="0076267B"/>
    <w:rsid w:val="007636A9"/>
    <w:rsid w:val="00764044"/>
    <w:rsid w:val="00770FC3"/>
    <w:rsid w:val="0077612E"/>
    <w:rsid w:val="007767AB"/>
    <w:rsid w:val="00777277"/>
    <w:rsid w:val="00777EE3"/>
    <w:rsid w:val="007814EE"/>
    <w:rsid w:val="00782C42"/>
    <w:rsid w:val="00782CAA"/>
    <w:rsid w:val="0078354F"/>
    <w:rsid w:val="00791258"/>
    <w:rsid w:val="007913D3"/>
    <w:rsid w:val="007923D4"/>
    <w:rsid w:val="007932BD"/>
    <w:rsid w:val="00794112"/>
    <w:rsid w:val="007A3FAB"/>
    <w:rsid w:val="007A5F38"/>
    <w:rsid w:val="007B3381"/>
    <w:rsid w:val="007B6D46"/>
    <w:rsid w:val="007C109C"/>
    <w:rsid w:val="007C16F5"/>
    <w:rsid w:val="007C210B"/>
    <w:rsid w:val="007C2B22"/>
    <w:rsid w:val="007C4C9B"/>
    <w:rsid w:val="007D13B7"/>
    <w:rsid w:val="007D505D"/>
    <w:rsid w:val="007D5086"/>
    <w:rsid w:val="007D617F"/>
    <w:rsid w:val="007D7085"/>
    <w:rsid w:val="007E6BA1"/>
    <w:rsid w:val="007F198B"/>
    <w:rsid w:val="007F570C"/>
    <w:rsid w:val="008003AE"/>
    <w:rsid w:val="00805094"/>
    <w:rsid w:val="008066F8"/>
    <w:rsid w:val="00807130"/>
    <w:rsid w:val="00814236"/>
    <w:rsid w:val="008155B2"/>
    <w:rsid w:val="00822CBF"/>
    <w:rsid w:val="0084279F"/>
    <w:rsid w:val="00842B29"/>
    <w:rsid w:val="00847D84"/>
    <w:rsid w:val="00851D1D"/>
    <w:rsid w:val="00854771"/>
    <w:rsid w:val="008562C8"/>
    <w:rsid w:val="00867774"/>
    <w:rsid w:val="00876F71"/>
    <w:rsid w:val="008858E7"/>
    <w:rsid w:val="00890031"/>
    <w:rsid w:val="00893199"/>
    <w:rsid w:val="00895DD7"/>
    <w:rsid w:val="008A6289"/>
    <w:rsid w:val="008B47C9"/>
    <w:rsid w:val="008C2872"/>
    <w:rsid w:val="008C2ACC"/>
    <w:rsid w:val="008C322E"/>
    <w:rsid w:val="008C59D5"/>
    <w:rsid w:val="008C6D6F"/>
    <w:rsid w:val="008C7510"/>
    <w:rsid w:val="008D2CF6"/>
    <w:rsid w:val="008D5A01"/>
    <w:rsid w:val="008D74ED"/>
    <w:rsid w:val="008E20A1"/>
    <w:rsid w:val="008E24E7"/>
    <w:rsid w:val="008E6CB6"/>
    <w:rsid w:val="008E7BCE"/>
    <w:rsid w:val="008F4901"/>
    <w:rsid w:val="00900535"/>
    <w:rsid w:val="009041A5"/>
    <w:rsid w:val="00907E97"/>
    <w:rsid w:val="009101DB"/>
    <w:rsid w:val="00912278"/>
    <w:rsid w:val="009206FC"/>
    <w:rsid w:val="009231E0"/>
    <w:rsid w:val="00923EFC"/>
    <w:rsid w:val="00935EF7"/>
    <w:rsid w:val="00936990"/>
    <w:rsid w:val="00937238"/>
    <w:rsid w:val="009372DC"/>
    <w:rsid w:val="009407FF"/>
    <w:rsid w:val="0094140F"/>
    <w:rsid w:val="00943C0B"/>
    <w:rsid w:val="00945079"/>
    <w:rsid w:val="009520A9"/>
    <w:rsid w:val="0095296A"/>
    <w:rsid w:val="00953EA5"/>
    <w:rsid w:val="0095402E"/>
    <w:rsid w:val="0095782F"/>
    <w:rsid w:val="009579FB"/>
    <w:rsid w:val="00971BEE"/>
    <w:rsid w:val="00975D7B"/>
    <w:rsid w:val="0097795A"/>
    <w:rsid w:val="00981E51"/>
    <w:rsid w:val="009839FF"/>
    <w:rsid w:val="00983FE0"/>
    <w:rsid w:val="00995F56"/>
    <w:rsid w:val="00997015"/>
    <w:rsid w:val="009B1FF5"/>
    <w:rsid w:val="009B2633"/>
    <w:rsid w:val="009B5997"/>
    <w:rsid w:val="009B6DA7"/>
    <w:rsid w:val="009C6B92"/>
    <w:rsid w:val="009C730D"/>
    <w:rsid w:val="009C7E5E"/>
    <w:rsid w:val="009D1ED7"/>
    <w:rsid w:val="009D38B1"/>
    <w:rsid w:val="009D606B"/>
    <w:rsid w:val="009E00C4"/>
    <w:rsid w:val="009F10A0"/>
    <w:rsid w:val="009F11F6"/>
    <w:rsid w:val="00A04704"/>
    <w:rsid w:val="00A14AFB"/>
    <w:rsid w:val="00A16213"/>
    <w:rsid w:val="00A252A2"/>
    <w:rsid w:val="00A311CD"/>
    <w:rsid w:val="00A32C4D"/>
    <w:rsid w:val="00A34712"/>
    <w:rsid w:val="00A355A9"/>
    <w:rsid w:val="00A501EA"/>
    <w:rsid w:val="00A50A12"/>
    <w:rsid w:val="00A5297D"/>
    <w:rsid w:val="00A52DBB"/>
    <w:rsid w:val="00A55136"/>
    <w:rsid w:val="00A576FA"/>
    <w:rsid w:val="00A61879"/>
    <w:rsid w:val="00A662AC"/>
    <w:rsid w:val="00A7098F"/>
    <w:rsid w:val="00A7256B"/>
    <w:rsid w:val="00A72B03"/>
    <w:rsid w:val="00A73F8D"/>
    <w:rsid w:val="00A76F67"/>
    <w:rsid w:val="00A80EDD"/>
    <w:rsid w:val="00A83E25"/>
    <w:rsid w:val="00A902D3"/>
    <w:rsid w:val="00A96262"/>
    <w:rsid w:val="00A96CBB"/>
    <w:rsid w:val="00AA2E55"/>
    <w:rsid w:val="00AA6A06"/>
    <w:rsid w:val="00AB035C"/>
    <w:rsid w:val="00AB58ED"/>
    <w:rsid w:val="00AB5C62"/>
    <w:rsid w:val="00AB68B4"/>
    <w:rsid w:val="00AC3AC7"/>
    <w:rsid w:val="00AC3FC6"/>
    <w:rsid w:val="00AC4A01"/>
    <w:rsid w:val="00AD075B"/>
    <w:rsid w:val="00AE47F6"/>
    <w:rsid w:val="00AE502C"/>
    <w:rsid w:val="00AE7FAD"/>
    <w:rsid w:val="00AF14DB"/>
    <w:rsid w:val="00AF2A84"/>
    <w:rsid w:val="00AF2F23"/>
    <w:rsid w:val="00AF49E9"/>
    <w:rsid w:val="00AF51E9"/>
    <w:rsid w:val="00B03EA2"/>
    <w:rsid w:val="00B13411"/>
    <w:rsid w:val="00B21695"/>
    <w:rsid w:val="00B238EF"/>
    <w:rsid w:val="00B25A89"/>
    <w:rsid w:val="00B3457D"/>
    <w:rsid w:val="00B436E2"/>
    <w:rsid w:val="00B471B6"/>
    <w:rsid w:val="00B5075A"/>
    <w:rsid w:val="00B50812"/>
    <w:rsid w:val="00B54255"/>
    <w:rsid w:val="00B557E1"/>
    <w:rsid w:val="00B57E26"/>
    <w:rsid w:val="00B623D9"/>
    <w:rsid w:val="00B6282F"/>
    <w:rsid w:val="00B66F06"/>
    <w:rsid w:val="00B67E0D"/>
    <w:rsid w:val="00B71A86"/>
    <w:rsid w:val="00B80397"/>
    <w:rsid w:val="00B80992"/>
    <w:rsid w:val="00B84D16"/>
    <w:rsid w:val="00B85EA2"/>
    <w:rsid w:val="00B978C8"/>
    <w:rsid w:val="00BA2161"/>
    <w:rsid w:val="00BB5711"/>
    <w:rsid w:val="00BB58DB"/>
    <w:rsid w:val="00BC4011"/>
    <w:rsid w:val="00BD0E6F"/>
    <w:rsid w:val="00BD18FC"/>
    <w:rsid w:val="00BD1A34"/>
    <w:rsid w:val="00BD3059"/>
    <w:rsid w:val="00BD4EB2"/>
    <w:rsid w:val="00BD5EDB"/>
    <w:rsid w:val="00BD625B"/>
    <w:rsid w:val="00BE4E6E"/>
    <w:rsid w:val="00BF3DFE"/>
    <w:rsid w:val="00C005DC"/>
    <w:rsid w:val="00C030FE"/>
    <w:rsid w:val="00C032E0"/>
    <w:rsid w:val="00C04292"/>
    <w:rsid w:val="00C065F0"/>
    <w:rsid w:val="00C067A3"/>
    <w:rsid w:val="00C10331"/>
    <w:rsid w:val="00C11F79"/>
    <w:rsid w:val="00C23052"/>
    <w:rsid w:val="00C32FA8"/>
    <w:rsid w:val="00C37BFA"/>
    <w:rsid w:val="00C40D4E"/>
    <w:rsid w:val="00C420C4"/>
    <w:rsid w:val="00C42F4E"/>
    <w:rsid w:val="00C54E2B"/>
    <w:rsid w:val="00C62220"/>
    <w:rsid w:val="00C65146"/>
    <w:rsid w:val="00C67C35"/>
    <w:rsid w:val="00C73F34"/>
    <w:rsid w:val="00C75EFD"/>
    <w:rsid w:val="00C7728A"/>
    <w:rsid w:val="00C842B7"/>
    <w:rsid w:val="00C84A83"/>
    <w:rsid w:val="00C90485"/>
    <w:rsid w:val="00C941C6"/>
    <w:rsid w:val="00C975C9"/>
    <w:rsid w:val="00C97DD5"/>
    <w:rsid w:val="00CA375E"/>
    <w:rsid w:val="00CA4F09"/>
    <w:rsid w:val="00CB1579"/>
    <w:rsid w:val="00CB253D"/>
    <w:rsid w:val="00CB47D3"/>
    <w:rsid w:val="00CB7967"/>
    <w:rsid w:val="00CC0DF2"/>
    <w:rsid w:val="00CC21EC"/>
    <w:rsid w:val="00CC283C"/>
    <w:rsid w:val="00CC5BBE"/>
    <w:rsid w:val="00CD347F"/>
    <w:rsid w:val="00CD3E2E"/>
    <w:rsid w:val="00CE092A"/>
    <w:rsid w:val="00D05702"/>
    <w:rsid w:val="00D07855"/>
    <w:rsid w:val="00D07FE3"/>
    <w:rsid w:val="00D13D63"/>
    <w:rsid w:val="00D20415"/>
    <w:rsid w:val="00D214B2"/>
    <w:rsid w:val="00D23BB1"/>
    <w:rsid w:val="00D33354"/>
    <w:rsid w:val="00D355E2"/>
    <w:rsid w:val="00D36240"/>
    <w:rsid w:val="00D368EF"/>
    <w:rsid w:val="00D419FA"/>
    <w:rsid w:val="00D5347B"/>
    <w:rsid w:val="00D55F2C"/>
    <w:rsid w:val="00D5678D"/>
    <w:rsid w:val="00D71DE2"/>
    <w:rsid w:val="00D7459F"/>
    <w:rsid w:val="00D74A6B"/>
    <w:rsid w:val="00D7603C"/>
    <w:rsid w:val="00D771CB"/>
    <w:rsid w:val="00D85558"/>
    <w:rsid w:val="00D869F0"/>
    <w:rsid w:val="00D93ADF"/>
    <w:rsid w:val="00DA4929"/>
    <w:rsid w:val="00DA5AC0"/>
    <w:rsid w:val="00DA7C0E"/>
    <w:rsid w:val="00DB2AAA"/>
    <w:rsid w:val="00DB50E6"/>
    <w:rsid w:val="00DC1E3B"/>
    <w:rsid w:val="00DC1EC9"/>
    <w:rsid w:val="00DC7973"/>
    <w:rsid w:val="00DD350B"/>
    <w:rsid w:val="00DE3586"/>
    <w:rsid w:val="00DE3C12"/>
    <w:rsid w:val="00DF200D"/>
    <w:rsid w:val="00DF20E3"/>
    <w:rsid w:val="00E0227E"/>
    <w:rsid w:val="00E03138"/>
    <w:rsid w:val="00E05997"/>
    <w:rsid w:val="00E12095"/>
    <w:rsid w:val="00E13AC3"/>
    <w:rsid w:val="00E14494"/>
    <w:rsid w:val="00E14924"/>
    <w:rsid w:val="00E1587D"/>
    <w:rsid w:val="00E24919"/>
    <w:rsid w:val="00E3077A"/>
    <w:rsid w:val="00E30A74"/>
    <w:rsid w:val="00E34E78"/>
    <w:rsid w:val="00E35708"/>
    <w:rsid w:val="00E403BD"/>
    <w:rsid w:val="00E404F4"/>
    <w:rsid w:val="00E433D6"/>
    <w:rsid w:val="00E44DAB"/>
    <w:rsid w:val="00E45EA6"/>
    <w:rsid w:val="00E57CB8"/>
    <w:rsid w:val="00E64DCF"/>
    <w:rsid w:val="00E678C0"/>
    <w:rsid w:val="00E74732"/>
    <w:rsid w:val="00E81B3B"/>
    <w:rsid w:val="00E87533"/>
    <w:rsid w:val="00E91B49"/>
    <w:rsid w:val="00E970D6"/>
    <w:rsid w:val="00EA0345"/>
    <w:rsid w:val="00EB0C41"/>
    <w:rsid w:val="00EB1482"/>
    <w:rsid w:val="00EC3B3A"/>
    <w:rsid w:val="00EC433A"/>
    <w:rsid w:val="00EE393D"/>
    <w:rsid w:val="00EE6711"/>
    <w:rsid w:val="00EF1D34"/>
    <w:rsid w:val="00EF2056"/>
    <w:rsid w:val="00EF25FF"/>
    <w:rsid w:val="00EF26DF"/>
    <w:rsid w:val="00EF3291"/>
    <w:rsid w:val="00EF75BD"/>
    <w:rsid w:val="00F03B59"/>
    <w:rsid w:val="00F04359"/>
    <w:rsid w:val="00F065BA"/>
    <w:rsid w:val="00F130F8"/>
    <w:rsid w:val="00F1318F"/>
    <w:rsid w:val="00F14D60"/>
    <w:rsid w:val="00F15AC1"/>
    <w:rsid w:val="00F3632C"/>
    <w:rsid w:val="00F46906"/>
    <w:rsid w:val="00F63E28"/>
    <w:rsid w:val="00F6551E"/>
    <w:rsid w:val="00F67DDD"/>
    <w:rsid w:val="00F755BB"/>
    <w:rsid w:val="00F841C6"/>
    <w:rsid w:val="00F8443B"/>
    <w:rsid w:val="00F8707E"/>
    <w:rsid w:val="00FA0084"/>
    <w:rsid w:val="00FA1FEB"/>
    <w:rsid w:val="00FA3599"/>
    <w:rsid w:val="00FA6AC7"/>
    <w:rsid w:val="00FA7677"/>
    <w:rsid w:val="00FA7822"/>
    <w:rsid w:val="00FB1EFB"/>
    <w:rsid w:val="00FB7ED6"/>
    <w:rsid w:val="00FC5354"/>
    <w:rsid w:val="00FD4594"/>
    <w:rsid w:val="00FD4F71"/>
    <w:rsid w:val="00FD5564"/>
    <w:rsid w:val="00FD7EA4"/>
    <w:rsid w:val="00FF01A1"/>
    <w:rsid w:val="00FF3500"/>
    <w:rsid w:val="00FF79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59533"/>
  <w15:docId w15:val="{0C9620B4-2C6E-47D5-A6A5-13ACE0CC9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1C53"/>
  </w:style>
  <w:style w:type="paragraph" w:styleId="Heading1">
    <w:name w:val="heading 1"/>
    <w:basedOn w:val="Normal"/>
    <w:next w:val="Normal"/>
    <w:link w:val="Heading1Char"/>
    <w:uiPriority w:val="9"/>
    <w:qFormat/>
    <w:rsid w:val="00E90442"/>
    <w:pPr>
      <w:keepNext/>
      <w:spacing w:before="240" w:after="60" w:line="276" w:lineRule="auto"/>
      <w:outlineLvl w:val="0"/>
    </w:pPr>
    <w:rPr>
      <w:rFonts w:ascii="Cambria" w:eastAsia="Times New Roman" w:hAnsi="Cambria" w:cs="Times New Roman"/>
      <w:b/>
      <w:bCs/>
      <w:kern w:val="32"/>
      <w:sz w:val="32"/>
      <w:szCs w:val="32"/>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link w:val="Heading3Char"/>
    <w:semiHidden/>
    <w:unhideWhenUsed/>
    <w:qFormat/>
    <w:rsid w:val="00E90442"/>
    <w:pPr>
      <w:keepNext/>
      <w:spacing w:after="0" w:line="240" w:lineRule="auto"/>
      <w:jc w:val="both"/>
      <w:outlineLvl w:val="2"/>
    </w:pPr>
    <w:rPr>
      <w:rFonts w:ascii="Times New Roman" w:eastAsia="Times New Roman" w:hAnsi="Times New Roman" w:cs="Times New Roman"/>
      <w:i/>
      <w:szCs w:val="20"/>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NormalWeb">
    <w:name w:val="Normal (Web)"/>
    <w:basedOn w:val="Normal"/>
    <w:uiPriority w:val="99"/>
    <w:unhideWhenUsed/>
    <w:rsid w:val="00FC1C53"/>
    <w:pPr>
      <w:spacing w:before="100" w:beforeAutospacing="1" w:after="100" w:afterAutospacing="1" w:line="240" w:lineRule="auto"/>
    </w:pPr>
    <w:rPr>
      <w:rFonts w:ascii="Times New Roman" w:eastAsiaTheme="minorEastAsia" w:hAnsi="Times New Roman" w:cs="Times New Roman"/>
      <w:sz w:val="24"/>
      <w:szCs w:val="24"/>
    </w:rPr>
  </w:style>
  <w:style w:type="paragraph" w:styleId="ListParagraph">
    <w:name w:val="List Paragraph"/>
    <w:basedOn w:val="Normal"/>
    <w:uiPriority w:val="34"/>
    <w:qFormat/>
    <w:rsid w:val="00FC1C53"/>
    <w:pPr>
      <w:spacing w:after="0" w:line="240" w:lineRule="auto"/>
      <w:ind w:left="720"/>
      <w:contextualSpacing/>
    </w:pPr>
    <w:rPr>
      <w:rFonts w:ascii="Times New Roman" w:eastAsiaTheme="minorEastAsia" w:hAnsi="Times New Roman" w:cs="Times New Roman"/>
      <w:sz w:val="24"/>
      <w:szCs w:val="24"/>
    </w:rPr>
  </w:style>
  <w:style w:type="paragraph" w:styleId="BodyText2">
    <w:name w:val="Body Text 2"/>
    <w:basedOn w:val="Normal"/>
    <w:link w:val="BodyText2Char"/>
    <w:uiPriority w:val="99"/>
    <w:unhideWhenUsed/>
    <w:rsid w:val="00E90442"/>
    <w:pPr>
      <w:spacing w:after="120" w:line="48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uiPriority w:val="99"/>
    <w:rsid w:val="00E90442"/>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E90442"/>
    <w:rPr>
      <w:rFonts w:ascii="Cambria" w:eastAsia="Times New Roman" w:hAnsi="Cambria" w:cs="Times New Roman"/>
      <w:b/>
      <w:bCs/>
      <w:kern w:val="32"/>
      <w:sz w:val="32"/>
      <w:szCs w:val="32"/>
    </w:rPr>
  </w:style>
  <w:style w:type="character" w:customStyle="1" w:styleId="Heading3Char">
    <w:name w:val="Heading 3 Char"/>
    <w:basedOn w:val="DefaultParagraphFont"/>
    <w:link w:val="Heading3"/>
    <w:semiHidden/>
    <w:rsid w:val="00E90442"/>
    <w:rPr>
      <w:rFonts w:ascii="Times New Roman" w:eastAsia="Times New Roman" w:hAnsi="Times New Roman" w:cs="Times New Roman"/>
      <w:i/>
      <w:szCs w:val="20"/>
    </w:rPr>
  </w:style>
  <w:style w:type="paragraph" w:styleId="Footer">
    <w:name w:val="footer"/>
    <w:basedOn w:val="Normal"/>
    <w:link w:val="FooterChar"/>
    <w:unhideWhenUsed/>
    <w:rsid w:val="00E90442"/>
    <w:pPr>
      <w:tabs>
        <w:tab w:val="center" w:pos="4680"/>
        <w:tab w:val="right" w:pos="9360"/>
      </w:tabs>
      <w:spacing w:after="0" w:line="240" w:lineRule="auto"/>
    </w:pPr>
    <w:rPr>
      <w:rFonts w:cs="Times New Roman"/>
    </w:rPr>
  </w:style>
  <w:style w:type="character" w:customStyle="1" w:styleId="FooterChar">
    <w:name w:val="Footer Char"/>
    <w:basedOn w:val="DefaultParagraphFont"/>
    <w:link w:val="Footer"/>
    <w:rsid w:val="00E90442"/>
    <w:rPr>
      <w:rFonts w:ascii="Calibri" w:eastAsia="Calibri" w:hAnsi="Calibri" w:cs="Times New Roman"/>
    </w:rPr>
  </w:style>
  <w:style w:type="table" w:styleId="TableGrid">
    <w:name w:val="Table Grid"/>
    <w:basedOn w:val="TableNormal"/>
    <w:uiPriority w:val="59"/>
    <w:rsid w:val="003D23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1E42D6"/>
    <w:pPr>
      <w:spacing w:after="0" w:line="240" w:lineRule="auto"/>
    </w:pPr>
  </w:style>
  <w:style w:type="paragraph" w:styleId="BalloonText">
    <w:name w:val="Balloon Text"/>
    <w:basedOn w:val="Normal"/>
    <w:link w:val="BalloonTextChar"/>
    <w:uiPriority w:val="99"/>
    <w:semiHidden/>
    <w:unhideWhenUsed/>
    <w:rsid w:val="001E42D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E42D6"/>
    <w:rPr>
      <w:rFonts w:ascii="Segoe UI" w:hAnsi="Segoe UI" w:cs="Segoe UI"/>
      <w:sz w:val="18"/>
      <w:szCs w:val="18"/>
    </w:rPr>
  </w:style>
  <w:style w:type="paragraph" w:styleId="Header">
    <w:name w:val="header"/>
    <w:basedOn w:val="Normal"/>
    <w:link w:val="HeaderChar"/>
    <w:uiPriority w:val="99"/>
    <w:unhideWhenUsed/>
    <w:rsid w:val="00163C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3C30"/>
  </w:style>
  <w:style w:type="character" w:styleId="Hyperlink">
    <w:name w:val="Hyperlink"/>
    <w:basedOn w:val="DefaultParagraphFont"/>
    <w:uiPriority w:val="99"/>
    <w:unhideWhenUsed/>
    <w:rsid w:val="00654DB9"/>
    <w:rPr>
      <w:color w:val="0000FF" w:themeColor="hyperlink"/>
      <w:u w:val="single"/>
    </w:rPr>
  </w:style>
  <w:style w:type="character" w:styleId="CommentReference">
    <w:name w:val="annotation reference"/>
    <w:basedOn w:val="DefaultParagraphFont"/>
    <w:uiPriority w:val="99"/>
    <w:semiHidden/>
    <w:unhideWhenUsed/>
    <w:rsid w:val="000E6AF4"/>
    <w:rPr>
      <w:sz w:val="16"/>
      <w:szCs w:val="16"/>
    </w:rPr>
  </w:style>
  <w:style w:type="paragraph" w:styleId="CommentText">
    <w:name w:val="annotation text"/>
    <w:basedOn w:val="Normal"/>
    <w:link w:val="CommentTextChar"/>
    <w:uiPriority w:val="99"/>
    <w:semiHidden/>
    <w:unhideWhenUsed/>
    <w:rsid w:val="000E6AF4"/>
    <w:pPr>
      <w:spacing w:line="240" w:lineRule="auto"/>
    </w:pPr>
    <w:rPr>
      <w:sz w:val="20"/>
      <w:szCs w:val="20"/>
    </w:rPr>
  </w:style>
  <w:style w:type="character" w:customStyle="1" w:styleId="CommentTextChar">
    <w:name w:val="Comment Text Char"/>
    <w:basedOn w:val="DefaultParagraphFont"/>
    <w:link w:val="CommentText"/>
    <w:uiPriority w:val="99"/>
    <w:semiHidden/>
    <w:rsid w:val="000E6AF4"/>
    <w:rPr>
      <w:sz w:val="20"/>
      <w:szCs w:val="20"/>
    </w:rPr>
  </w:style>
  <w:style w:type="paragraph" w:styleId="CommentSubject">
    <w:name w:val="annotation subject"/>
    <w:basedOn w:val="CommentText"/>
    <w:next w:val="CommentText"/>
    <w:link w:val="CommentSubjectChar"/>
    <w:uiPriority w:val="99"/>
    <w:semiHidden/>
    <w:unhideWhenUsed/>
    <w:rsid w:val="000E6AF4"/>
    <w:rPr>
      <w:b/>
      <w:bCs/>
    </w:rPr>
  </w:style>
  <w:style w:type="character" w:customStyle="1" w:styleId="CommentSubjectChar">
    <w:name w:val="Comment Subject Char"/>
    <w:basedOn w:val="CommentTextChar"/>
    <w:link w:val="CommentSubject"/>
    <w:uiPriority w:val="99"/>
    <w:semiHidden/>
    <w:rsid w:val="000E6AF4"/>
    <w:rPr>
      <w:b/>
      <w:bCs/>
      <w:sz w:val="20"/>
      <w:szCs w:val="20"/>
    </w:rPr>
  </w:style>
  <w:style w:type="paragraph" w:styleId="BodyText">
    <w:name w:val="Body Text"/>
    <w:basedOn w:val="Normal"/>
    <w:link w:val="BodyTextChar"/>
    <w:uiPriority w:val="99"/>
    <w:semiHidden/>
    <w:unhideWhenUsed/>
    <w:rsid w:val="00425CCF"/>
    <w:pPr>
      <w:spacing w:after="120"/>
    </w:pPr>
  </w:style>
  <w:style w:type="character" w:customStyle="1" w:styleId="BodyTextChar">
    <w:name w:val="Body Text Char"/>
    <w:basedOn w:val="DefaultParagraphFont"/>
    <w:link w:val="BodyText"/>
    <w:uiPriority w:val="99"/>
    <w:semiHidden/>
    <w:rsid w:val="00425CCF"/>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character" w:customStyle="1" w:styleId="span">
    <w:name w:val="span"/>
    <w:basedOn w:val="DefaultParagraphFont"/>
    <w:rsid w:val="008F4901"/>
    <w:rPr>
      <w:bdr w:val="none" w:sz="0" w:space="0" w:color="auto"/>
      <w:vertAlign w:val="baseline"/>
    </w:rPr>
  </w:style>
  <w:style w:type="paragraph" w:customStyle="1" w:styleId="documentulli">
    <w:name w:val="document_ul_li"/>
    <w:basedOn w:val="Normal"/>
    <w:rsid w:val="008F4901"/>
    <w:pPr>
      <w:pBdr>
        <w:left w:val="none" w:sz="0" w:space="3" w:color="auto"/>
      </w:pBdr>
      <w:spacing w:after="0" w:line="240" w:lineRule="atLeast"/>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6F477C"/>
    <w:rPr>
      <w:color w:val="605E5C"/>
      <w:shd w:val="clear" w:color="auto" w:fill="E1DFDD"/>
    </w:rPr>
  </w:style>
  <w:style w:type="paragraph" w:customStyle="1" w:styleId="Standard">
    <w:name w:val="Standard"/>
    <w:qFormat/>
    <w:rsid w:val="00867774"/>
    <w:pPr>
      <w:widowControl w:val="0"/>
      <w:suppressAutoHyphens/>
      <w:autoSpaceDN w:val="0"/>
      <w:textAlignment w:val="baseline"/>
    </w:pPr>
    <w:rPr>
      <w:rFonts w:ascii="Times New Roman" w:eastAsia="DejaVu Sans" w:hAnsi="Times New Roman" w:cs="Lohit Hindi"/>
      <w:kern w:val="3"/>
      <w:sz w:val="24"/>
      <w:szCs w:val="24"/>
      <w:lang w:eastAsia="zh-CN" w:bidi="hi-IN"/>
    </w:rPr>
  </w:style>
  <w:style w:type="paragraph" w:customStyle="1" w:styleId="Normal1">
    <w:name w:val="Normal1"/>
    <w:rsid w:val="001369A7"/>
    <w:pPr>
      <w:widowControl w:val="0"/>
      <w:spacing w:after="0" w:line="276" w:lineRule="auto"/>
      <w:contextualSpacing/>
    </w:pPr>
    <w:rPr>
      <w:rFonts w:ascii="Arial" w:eastAsia="Arial" w:hAnsi="Arial" w:cs="Arial"/>
      <w:color w:val="000000"/>
      <w:szCs w:val="20"/>
      <w:lang w:val="fr-FR" w:eastAsia="fr-FR"/>
    </w:rPr>
  </w:style>
  <w:style w:type="paragraph" w:customStyle="1" w:styleId="Default">
    <w:name w:val="Default"/>
    <w:rsid w:val="00854771"/>
    <w:pPr>
      <w:autoSpaceDE w:val="0"/>
      <w:autoSpaceDN w:val="0"/>
      <w:adjustRightInd w:val="0"/>
      <w:spacing w:after="0" w:line="240" w:lineRule="auto"/>
    </w:pPr>
    <w:rPr>
      <w:rFonts w:ascii="Arial" w:hAnsi="Arial" w:cs="Arial"/>
      <w:color w:val="000000"/>
      <w:sz w:val="24"/>
      <w:szCs w:val="24"/>
    </w:rPr>
  </w:style>
  <w:style w:type="character" w:styleId="Strong">
    <w:name w:val="Strong"/>
    <w:basedOn w:val="DefaultParagraphFont"/>
    <w:uiPriority w:val="22"/>
    <w:qFormat/>
    <w:rsid w:val="0061289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050810">
      <w:bodyDiv w:val="1"/>
      <w:marLeft w:val="0"/>
      <w:marRight w:val="0"/>
      <w:marTop w:val="0"/>
      <w:marBottom w:val="0"/>
      <w:divBdr>
        <w:top w:val="none" w:sz="0" w:space="0" w:color="auto"/>
        <w:left w:val="none" w:sz="0" w:space="0" w:color="auto"/>
        <w:bottom w:val="none" w:sz="0" w:space="0" w:color="auto"/>
        <w:right w:val="none" w:sz="0" w:space="0" w:color="auto"/>
      </w:divBdr>
    </w:div>
    <w:div w:id="112753715">
      <w:bodyDiv w:val="1"/>
      <w:marLeft w:val="0"/>
      <w:marRight w:val="0"/>
      <w:marTop w:val="0"/>
      <w:marBottom w:val="0"/>
      <w:divBdr>
        <w:top w:val="none" w:sz="0" w:space="0" w:color="auto"/>
        <w:left w:val="none" w:sz="0" w:space="0" w:color="auto"/>
        <w:bottom w:val="none" w:sz="0" w:space="0" w:color="auto"/>
        <w:right w:val="none" w:sz="0" w:space="0" w:color="auto"/>
      </w:divBdr>
    </w:div>
    <w:div w:id="227691952">
      <w:bodyDiv w:val="1"/>
      <w:marLeft w:val="0"/>
      <w:marRight w:val="0"/>
      <w:marTop w:val="0"/>
      <w:marBottom w:val="0"/>
      <w:divBdr>
        <w:top w:val="none" w:sz="0" w:space="0" w:color="auto"/>
        <w:left w:val="none" w:sz="0" w:space="0" w:color="auto"/>
        <w:bottom w:val="none" w:sz="0" w:space="0" w:color="auto"/>
        <w:right w:val="none" w:sz="0" w:space="0" w:color="auto"/>
      </w:divBdr>
    </w:div>
    <w:div w:id="380135160">
      <w:bodyDiv w:val="1"/>
      <w:marLeft w:val="0"/>
      <w:marRight w:val="0"/>
      <w:marTop w:val="0"/>
      <w:marBottom w:val="0"/>
      <w:divBdr>
        <w:top w:val="none" w:sz="0" w:space="0" w:color="auto"/>
        <w:left w:val="none" w:sz="0" w:space="0" w:color="auto"/>
        <w:bottom w:val="none" w:sz="0" w:space="0" w:color="auto"/>
        <w:right w:val="none" w:sz="0" w:space="0" w:color="auto"/>
      </w:divBdr>
    </w:div>
    <w:div w:id="642737471">
      <w:bodyDiv w:val="1"/>
      <w:marLeft w:val="0"/>
      <w:marRight w:val="0"/>
      <w:marTop w:val="0"/>
      <w:marBottom w:val="0"/>
      <w:divBdr>
        <w:top w:val="none" w:sz="0" w:space="0" w:color="auto"/>
        <w:left w:val="none" w:sz="0" w:space="0" w:color="auto"/>
        <w:bottom w:val="none" w:sz="0" w:space="0" w:color="auto"/>
        <w:right w:val="none" w:sz="0" w:space="0" w:color="auto"/>
      </w:divBdr>
    </w:div>
    <w:div w:id="678040362">
      <w:bodyDiv w:val="1"/>
      <w:marLeft w:val="0"/>
      <w:marRight w:val="0"/>
      <w:marTop w:val="0"/>
      <w:marBottom w:val="0"/>
      <w:divBdr>
        <w:top w:val="none" w:sz="0" w:space="0" w:color="auto"/>
        <w:left w:val="none" w:sz="0" w:space="0" w:color="auto"/>
        <w:bottom w:val="none" w:sz="0" w:space="0" w:color="auto"/>
        <w:right w:val="none" w:sz="0" w:space="0" w:color="auto"/>
      </w:divBdr>
    </w:div>
    <w:div w:id="996420859">
      <w:bodyDiv w:val="1"/>
      <w:marLeft w:val="0"/>
      <w:marRight w:val="0"/>
      <w:marTop w:val="0"/>
      <w:marBottom w:val="0"/>
      <w:divBdr>
        <w:top w:val="none" w:sz="0" w:space="0" w:color="auto"/>
        <w:left w:val="none" w:sz="0" w:space="0" w:color="auto"/>
        <w:bottom w:val="none" w:sz="0" w:space="0" w:color="auto"/>
        <w:right w:val="none" w:sz="0" w:space="0" w:color="auto"/>
      </w:divBdr>
    </w:div>
    <w:div w:id="1021934724">
      <w:bodyDiv w:val="1"/>
      <w:marLeft w:val="0"/>
      <w:marRight w:val="0"/>
      <w:marTop w:val="0"/>
      <w:marBottom w:val="0"/>
      <w:divBdr>
        <w:top w:val="none" w:sz="0" w:space="0" w:color="auto"/>
        <w:left w:val="none" w:sz="0" w:space="0" w:color="auto"/>
        <w:bottom w:val="none" w:sz="0" w:space="0" w:color="auto"/>
        <w:right w:val="none" w:sz="0" w:space="0" w:color="auto"/>
      </w:divBdr>
    </w:div>
    <w:div w:id="1307783584">
      <w:bodyDiv w:val="1"/>
      <w:marLeft w:val="0"/>
      <w:marRight w:val="0"/>
      <w:marTop w:val="0"/>
      <w:marBottom w:val="0"/>
      <w:divBdr>
        <w:top w:val="none" w:sz="0" w:space="0" w:color="auto"/>
        <w:left w:val="none" w:sz="0" w:space="0" w:color="auto"/>
        <w:bottom w:val="none" w:sz="0" w:space="0" w:color="auto"/>
        <w:right w:val="none" w:sz="0" w:space="0" w:color="auto"/>
      </w:divBdr>
    </w:div>
    <w:div w:id="1374889936">
      <w:bodyDiv w:val="1"/>
      <w:marLeft w:val="0"/>
      <w:marRight w:val="0"/>
      <w:marTop w:val="0"/>
      <w:marBottom w:val="0"/>
      <w:divBdr>
        <w:top w:val="none" w:sz="0" w:space="0" w:color="auto"/>
        <w:left w:val="none" w:sz="0" w:space="0" w:color="auto"/>
        <w:bottom w:val="none" w:sz="0" w:space="0" w:color="auto"/>
        <w:right w:val="none" w:sz="0" w:space="0" w:color="auto"/>
      </w:divBdr>
    </w:div>
    <w:div w:id="1587570611">
      <w:bodyDiv w:val="1"/>
      <w:marLeft w:val="0"/>
      <w:marRight w:val="0"/>
      <w:marTop w:val="0"/>
      <w:marBottom w:val="0"/>
      <w:divBdr>
        <w:top w:val="none" w:sz="0" w:space="0" w:color="auto"/>
        <w:left w:val="none" w:sz="0" w:space="0" w:color="auto"/>
        <w:bottom w:val="none" w:sz="0" w:space="0" w:color="auto"/>
        <w:right w:val="none" w:sz="0" w:space="0" w:color="auto"/>
      </w:divBdr>
    </w:div>
    <w:div w:id="1898589635">
      <w:bodyDiv w:val="1"/>
      <w:marLeft w:val="0"/>
      <w:marRight w:val="0"/>
      <w:marTop w:val="0"/>
      <w:marBottom w:val="0"/>
      <w:divBdr>
        <w:top w:val="none" w:sz="0" w:space="0" w:color="auto"/>
        <w:left w:val="none" w:sz="0" w:space="0" w:color="auto"/>
        <w:bottom w:val="none" w:sz="0" w:space="0" w:color="auto"/>
        <w:right w:val="none" w:sz="0" w:space="0" w:color="auto"/>
      </w:divBdr>
    </w:div>
    <w:div w:id="1919828857">
      <w:bodyDiv w:val="1"/>
      <w:marLeft w:val="0"/>
      <w:marRight w:val="0"/>
      <w:marTop w:val="0"/>
      <w:marBottom w:val="0"/>
      <w:divBdr>
        <w:top w:val="none" w:sz="0" w:space="0" w:color="auto"/>
        <w:left w:val="none" w:sz="0" w:space="0" w:color="auto"/>
        <w:bottom w:val="none" w:sz="0" w:space="0" w:color="auto"/>
        <w:right w:val="none" w:sz="0" w:space="0" w:color="auto"/>
      </w:divBdr>
    </w:div>
    <w:div w:id="2098549406">
      <w:bodyDiv w:val="1"/>
      <w:marLeft w:val="0"/>
      <w:marRight w:val="0"/>
      <w:marTop w:val="0"/>
      <w:marBottom w:val="0"/>
      <w:divBdr>
        <w:top w:val="none" w:sz="0" w:space="0" w:color="auto"/>
        <w:left w:val="none" w:sz="0" w:space="0" w:color="auto"/>
        <w:bottom w:val="none" w:sz="0" w:space="0" w:color="auto"/>
        <w:right w:val="none" w:sz="0" w:space="0" w:color="auto"/>
      </w:divBdr>
    </w:div>
    <w:div w:id="21312399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www.linkedin.com/in/malika-mittal-724822117"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KJxkVef87WqIt4vj6CV4jwVOMZQ==">AMUW2mVmYbpD2vPmaUaTYjmRnMHNYQnUzO1WAVr3CCdBLe5vuzwjfCk27JDAJoifmBIWeriCNFQES9zo5UVGiSjLQFU9UxPvUkZRXLXmfy3ASuMORZk6RWVM9Qp9b+PMTFZf+WZleHge</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7A27077-9626-4D83-95C8-37CED74250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1181</Words>
  <Characters>6734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salesforce inc</Company>
  <LinksUpToDate>false</LinksUpToDate>
  <CharactersWithSpaces>7900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Malika Mittal</dc:creator>
  <cp:keywords/>
  <dc:description/>
  <cp:lastModifiedBy>Sharan L</cp:lastModifiedBy>
  <cp:revision>2</cp:revision>
  <cp:lastPrinted>2025-09-02T02:44:00Z</cp:lastPrinted>
  <dcterms:created xsi:type="dcterms:W3CDTF">2026-03-06T19:36:00Z</dcterms:created>
  <dcterms:modified xsi:type="dcterms:W3CDTF">2026-03-06T19:36:00Z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2ea3043a,1d35e0ea,6869a371</vt:lpwstr>
  </property>
  <property fmtid="{D5CDD505-2E9C-101B-9397-08002B2CF9AE}" pid="3" name="ClassificationContentMarkingFooterFontProps">
    <vt:lpwstr>#000000,9,Calibri</vt:lpwstr>
  </property>
  <property fmtid="{D5CDD505-2E9C-101B-9397-08002B2CF9AE}" pid="4" name="ClassificationContentMarkingFooterText">
    <vt:lpwstr>Internal</vt:lpwstr>
  </property>
  <property fmtid="{D5CDD505-2E9C-101B-9397-08002B2CF9AE}" pid="5" name="MSIP_Label_5c37e178-1fe1-45cf-b7ba-70044a82bd09_Enabled">
    <vt:lpwstr>true</vt:lpwstr>
  </property>
  <property fmtid="{D5CDD505-2E9C-101B-9397-08002B2CF9AE}" pid="6" name="MSIP_Label_5c37e178-1fe1-45cf-b7ba-70044a82bd09_SetDate">
    <vt:lpwstr>2025-03-08T21:37:47Z</vt:lpwstr>
  </property>
  <property fmtid="{D5CDD505-2E9C-101B-9397-08002B2CF9AE}" pid="7" name="MSIP_Label_5c37e178-1fe1-45cf-b7ba-70044a82bd09_Method">
    <vt:lpwstr>Standard</vt:lpwstr>
  </property>
  <property fmtid="{D5CDD505-2E9C-101B-9397-08002B2CF9AE}" pid="8" name="MSIP_Label_5c37e178-1fe1-45cf-b7ba-70044a82bd09_Name">
    <vt:lpwstr>Internal</vt:lpwstr>
  </property>
  <property fmtid="{D5CDD505-2E9C-101B-9397-08002B2CF9AE}" pid="9" name="MSIP_Label_5c37e178-1fe1-45cf-b7ba-70044a82bd09_SiteId">
    <vt:lpwstr>c5d48277-da06-408e-9d69-7bce38483418</vt:lpwstr>
  </property>
  <property fmtid="{D5CDD505-2E9C-101B-9397-08002B2CF9AE}" pid="10" name="MSIP_Label_5c37e178-1fe1-45cf-b7ba-70044a82bd09_ActionId">
    <vt:lpwstr>0afc22e0-bfb0-4378-9913-0dc424ac1326</vt:lpwstr>
  </property>
  <property fmtid="{D5CDD505-2E9C-101B-9397-08002B2CF9AE}" pid="11" name="MSIP_Label_5c37e178-1fe1-45cf-b7ba-70044a82bd09_ContentBits">
    <vt:lpwstr>2</vt:lpwstr>
  </property>
</Properties>
</file>