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4D84" w14:textId="7706D3CE" w:rsidR="008C2C20" w:rsidRPr="0041368F" w:rsidRDefault="00F7398E" w:rsidP="008C2C20">
      <w:pPr>
        <w:pStyle w:val="Heading1"/>
        <w:spacing w:before="0" w:after="0"/>
        <w:rPr>
          <w:rFonts w:ascii="Times New Roman" w:hAnsi="Times New Roman" w:cs="Times New Roman"/>
          <w:b/>
          <w:bCs/>
          <w:color w:val="1C1E29"/>
          <w:sz w:val="28"/>
          <w:szCs w:val="28"/>
        </w:rPr>
      </w:pPr>
      <w:bookmarkStart w:id="0" w:name="_Hlk205891093"/>
      <w:r>
        <w:rPr>
          <w:rFonts w:ascii="Times New Roman" w:hAnsi="Times New Roman" w:cs="Times New Roman"/>
          <w:b/>
          <w:bCs/>
          <w:noProof/>
          <w:color w:val="1C1E29"/>
          <w:sz w:val="28"/>
          <w:szCs w:val="28"/>
          <w14:ligatures w14:val="standardContextual"/>
        </w:rPr>
        <w:drawing>
          <wp:anchor distT="0" distB="0" distL="114300" distR="114300" simplePos="0" relativeHeight="251661312" behindDoc="0" locked="0" layoutInCell="1" allowOverlap="1" wp14:anchorId="5E999218" wp14:editId="375601AE">
            <wp:simplePos x="0" y="0"/>
            <wp:positionH relativeFrom="column">
              <wp:posOffset>4304395</wp:posOffset>
            </wp:positionH>
            <wp:positionV relativeFrom="paragraph">
              <wp:posOffset>-127000</wp:posOffset>
            </wp:positionV>
            <wp:extent cx="1655927" cy="678180"/>
            <wp:effectExtent l="0" t="0" r="1905" b="7620"/>
            <wp:wrapNone/>
            <wp:docPr id="2005574560" name="Picture 1" descr="A logo for a project management institute&#10;&#10;AI-generated content may be incorrect.">
              <a:hlinkClick xmlns:a="http://schemas.openxmlformats.org/drawingml/2006/main" r:id="rId7" tooltip="https://www.credly.com/badges/97e915fc-4534-40b6-a6c2-c2e7db8319bb/linked_in_profil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9592" name="Picture 1" descr="A logo for a project management institute&#10;&#10;AI-generated content may be incorrect.">
                      <a:hlinkClick r:id="rId7" tooltip="https://www.credly.com/badges/97e915fc-4534-40b6-a6c2-c2e7db8319bb/linked_in_profile"/>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0072" cy="679878"/>
                    </a:xfrm>
                    <a:prstGeom prst="rect">
                      <a:avLst/>
                    </a:prstGeom>
                  </pic:spPr>
                </pic:pic>
              </a:graphicData>
            </a:graphic>
            <wp14:sizeRelH relativeFrom="margin">
              <wp14:pctWidth>0</wp14:pctWidth>
            </wp14:sizeRelH>
            <wp14:sizeRelV relativeFrom="margin">
              <wp14:pctHeight>0</wp14:pctHeight>
            </wp14:sizeRelV>
          </wp:anchor>
        </w:drawing>
      </w:r>
      <w:r w:rsidR="00712107">
        <w:rPr>
          <w:rFonts w:ascii="Times New Roman" w:hAnsi="Times New Roman" w:cs="Times New Roman"/>
          <w:b/>
          <w:bCs/>
          <w:noProof/>
          <w:color w:val="1C1E29"/>
          <w:sz w:val="28"/>
          <w:szCs w:val="28"/>
          <w14:ligatures w14:val="standardContextual"/>
        </w:rPr>
        <w:drawing>
          <wp:anchor distT="0" distB="0" distL="114300" distR="114300" simplePos="0" relativeHeight="251659264" behindDoc="0" locked="0" layoutInCell="1" allowOverlap="1" wp14:anchorId="57B9AD6F" wp14:editId="512EA318">
            <wp:simplePos x="0" y="0"/>
            <wp:positionH relativeFrom="margin">
              <wp:posOffset>6149340</wp:posOffset>
            </wp:positionH>
            <wp:positionV relativeFrom="margin">
              <wp:posOffset>-129540</wp:posOffset>
            </wp:positionV>
            <wp:extent cx="678180" cy="678180"/>
            <wp:effectExtent l="0" t="0" r="7620" b="7620"/>
            <wp:wrapSquare wrapText="bothSides"/>
            <wp:docPr id="1888170318" name="Picture 1" descr="A circular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0318" name="Picture 1" descr="A circular logo with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8180" cy="678180"/>
                    </a:xfrm>
                    <a:prstGeom prst="rect">
                      <a:avLst/>
                    </a:prstGeom>
                  </pic:spPr>
                </pic:pic>
              </a:graphicData>
            </a:graphic>
            <wp14:sizeRelH relativeFrom="margin">
              <wp14:pctWidth>0</wp14:pctWidth>
            </wp14:sizeRelH>
            <wp14:sizeRelV relativeFrom="margin">
              <wp14:pctHeight>0</wp14:pctHeight>
            </wp14:sizeRelV>
          </wp:anchor>
        </w:drawing>
      </w:r>
      <w:r w:rsidR="00ED787C">
        <w:rPr>
          <w:rFonts w:ascii="Times New Roman" w:hAnsi="Times New Roman" w:cs="Times New Roman"/>
          <w:b/>
          <w:bCs/>
          <w:color w:val="1C1E29"/>
          <w:sz w:val="28"/>
          <w:szCs w:val="28"/>
        </w:rPr>
        <w:t>Akshat</w:t>
      </w:r>
      <w:r w:rsidR="0012789B">
        <w:rPr>
          <w:rFonts w:ascii="Times New Roman" w:hAnsi="Times New Roman" w:cs="Times New Roman"/>
          <w:b/>
          <w:bCs/>
          <w:color w:val="1C1E29"/>
          <w:sz w:val="28"/>
          <w:szCs w:val="28"/>
        </w:rPr>
        <w:t xml:space="preserve"> S</w:t>
      </w:r>
      <w:r w:rsidR="008C2C20">
        <w:rPr>
          <w:rFonts w:ascii="Times New Roman" w:hAnsi="Times New Roman" w:cs="Times New Roman"/>
          <w:b/>
          <w:bCs/>
          <w:color w:val="1C1E29"/>
          <w:sz w:val="28"/>
          <w:szCs w:val="28"/>
        </w:rPr>
        <w:t xml:space="preserve">                                                                   </w:t>
      </w:r>
    </w:p>
    <w:p w14:paraId="7D0C4CB1" w14:textId="3FEE2B32" w:rsidR="00507180" w:rsidRPr="00712107" w:rsidRDefault="005604A5" w:rsidP="00712107">
      <w:pPr>
        <w:pStyle w:val="Heading1"/>
        <w:spacing w:before="0" w:after="0"/>
        <w:rPr>
          <w:rFonts w:ascii="Times New Roman" w:hAnsi="Times New Roman" w:cs="Times New Roman"/>
          <w:b/>
          <w:bCs/>
          <w:color w:val="1C1E29"/>
          <w:sz w:val="28"/>
          <w:szCs w:val="28"/>
        </w:rPr>
      </w:pPr>
      <w:r>
        <w:rPr>
          <w:rFonts w:ascii="Times New Roman" w:hAnsi="Times New Roman" w:cs="Times New Roman"/>
          <w:b/>
          <w:bCs/>
          <w:color w:val="1C1E29"/>
          <w:sz w:val="28"/>
          <w:szCs w:val="28"/>
        </w:rPr>
        <w:t xml:space="preserve">Senior </w:t>
      </w:r>
      <w:r w:rsidR="00ED787C">
        <w:rPr>
          <w:rFonts w:ascii="Times New Roman" w:hAnsi="Times New Roman" w:cs="Times New Roman"/>
          <w:b/>
          <w:bCs/>
          <w:color w:val="1C1E29"/>
          <w:sz w:val="28"/>
          <w:szCs w:val="28"/>
        </w:rPr>
        <w:t xml:space="preserve">Business </w:t>
      </w:r>
      <w:r>
        <w:rPr>
          <w:rFonts w:ascii="Times New Roman" w:hAnsi="Times New Roman" w:cs="Times New Roman"/>
          <w:b/>
          <w:bCs/>
          <w:color w:val="1C1E29"/>
          <w:sz w:val="28"/>
          <w:szCs w:val="28"/>
        </w:rPr>
        <w:t xml:space="preserve">System </w:t>
      </w:r>
      <w:r w:rsidR="00ED787C">
        <w:rPr>
          <w:rFonts w:ascii="Times New Roman" w:hAnsi="Times New Roman" w:cs="Times New Roman"/>
          <w:b/>
          <w:bCs/>
          <w:color w:val="1C1E29"/>
          <w:sz w:val="28"/>
          <w:szCs w:val="28"/>
        </w:rPr>
        <w:t>Analyst</w:t>
      </w:r>
    </w:p>
    <w:tbl>
      <w:tblPr>
        <w:tblW w:w="10854"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0854"/>
      </w:tblGrid>
      <w:tr w:rsidR="008C2C20" w:rsidRPr="001A0B2B" w14:paraId="1880B77C" w14:textId="77777777">
        <w:trPr>
          <w:trHeight w:val="614"/>
        </w:trPr>
        <w:tc>
          <w:tcPr>
            <w:tcW w:w="10854" w:type="dxa"/>
            <w:tcBorders>
              <w:top w:val="single" w:sz="2" w:space="0" w:color="auto"/>
              <w:left w:val="single" w:sz="2" w:space="0" w:color="auto"/>
              <w:bottom w:val="single" w:sz="2" w:space="0" w:color="auto"/>
              <w:right w:val="single" w:sz="2" w:space="0" w:color="auto"/>
            </w:tcBorders>
          </w:tcPr>
          <w:tbl>
            <w:tblPr>
              <w:tblW w:w="10612" w:type="dxa"/>
              <w:tblInd w:w="3" w:type="dxa"/>
              <w:tblLook w:val="0000" w:firstRow="0" w:lastRow="0" w:firstColumn="0" w:lastColumn="0" w:noHBand="0" w:noVBand="0"/>
            </w:tblPr>
            <w:tblGrid>
              <w:gridCol w:w="10612"/>
            </w:tblGrid>
            <w:tr w:rsidR="00DE7E0E" w:rsidRPr="00255258" w14:paraId="6917500C" w14:textId="77777777" w:rsidTr="00DE7E0E">
              <w:trPr>
                <w:trHeight w:val="786"/>
              </w:trPr>
              <w:tc>
                <w:tcPr>
                  <w:tcW w:w="10612" w:type="dxa"/>
                </w:tcPr>
                <w:p w14:paraId="6E41B05A" w14:textId="7EF20ADE" w:rsidR="00DE7E0E" w:rsidRPr="00255258" w:rsidRDefault="00BE78E9" w:rsidP="00BE78E9">
                  <w:pPr>
                    <w:jc w:val="both"/>
                    <w:rPr>
                      <w:b/>
                      <w:bCs/>
                      <w:color w:val="000000" w:themeColor="text1"/>
                      <w:sz w:val="20"/>
                      <w:szCs w:val="20"/>
                    </w:rPr>
                  </w:pPr>
                  <w:r w:rsidRPr="00BE78E9">
                    <w:rPr>
                      <w:b/>
                      <w:bCs/>
                      <w:color w:val="000000" w:themeColor="text1"/>
                      <w:sz w:val="20"/>
                      <w:szCs w:val="20"/>
                    </w:rPr>
                    <w:t xml:space="preserve">PMP®-certified Senior Business Analyst </w:t>
                  </w:r>
                  <w:r w:rsidR="00593528">
                    <w:rPr>
                      <w:b/>
                      <w:bCs/>
                      <w:color w:val="000000" w:themeColor="text1"/>
                      <w:sz w:val="20"/>
                      <w:szCs w:val="20"/>
                    </w:rPr>
                    <w:t xml:space="preserve"> </w:t>
                  </w:r>
                  <w:r w:rsidRPr="00BE78E9">
                    <w:rPr>
                      <w:b/>
                      <w:bCs/>
                      <w:color w:val="000000" w:themeColor="text1"/>
                      <w:sz w:val="20"/>
                      <w:szCs w:val="20"/>
                    </w:rPr>
                    <w:t>8+ years of experience across Fixed Income, Money Market, and Derivatives trade lifecycle management, focusing on Subledger and Main Ledger accounting, trade event posting, reconciliation, and settlement processing. Proven expertise in configuring Accounting Entry Rules (AET), managing journal postings, resolving balance breaks, and reconciling Balance Sheet and P&amp;L accounts for Fixed Income trades. Strong command of trade lifecycle events, including booking, confirmation, settlement, and post-trade adjustments across investment-banking back-office systems</w:t>
                  </w:r>
                  <w:r w:rsidR="00DE7E0E" w:rsidRPr="6C577D04">
                    <w:rPr>
                      <w:b/>
                      <w:bCs/>
                      <w:color w:val="000000" w:themeColor="text1"/>
                      <w:sz w:val="20"/>
                      <w:szCs w:val="20"/>
                    </w:rPr>
                    <w:t>.</w:t>
                  </w:r>
                </w:p>
              </w:tc>
            </w:tr>
          </w:tbl>
          <w:p w14:paraId="0F4656E8" w14:textId="656EF8C7" w:rsidR="008C2C20" w:rsidRPr="00255258" w:rsidRDefault="008C2C20" w:rsidP="000F1788">
            <w:pPr>
              <w:jc w:val="both"/>
              <w:rPr>
                <w:b/>
                <w:bCs/>
                <w:color w:val="000000" w:themeColor="text1"/>
                <w:sz w:val="20"/>
                <w:szCs w:val="20"/>
              </w:rPr>
            </w:pPr>
          </w:p>
        </w:tc>
      </w:tr>
    </w:tbl>
    <w:p w14:paraId="1D0BC22D" w14:textId="77777777" w:rsidR="008C2C20" w:rsidRDefault="008C2C20" w:rsidP="008C2C20">
      <w:pPr>
        <w:pStyle w:val="Heading1"/>
        <w:spacing w:before="0" w:after="0"/>
        <w:jc w:val="both"/>
        <w:rPr>
          <w:rFonts w:ascii="Times New Roman" w:hAnsi="Times New Roman" w:cs="Times New Roman"/>
          <w:b/>
          <w:bCs/>
          <w:sz w:val="20"/>
          <w:szCs w:val="20"/>
          <w:u w:val="single"/>
        </w:rPr>
      </w:pPr>
    </w:p>
    <w:p w14:paraId="6724FFAD" w14:textId="77777777" w:rsidR="008C2C20" w:rsidRPr="00412594" w:rsidRDefault="008C2C20" w:rsidP="008C2C20">
      <w:pPr>
        <w:pStyle w:val="Heading1"/>
        <w:spacing w:before="0" w:after="0"/>
        <w:jc w:val="both"/>
        <w:rPr>
          <w:rFonts w:ascii="Times New Roman" w:hAnsi="Times New Roman" w:cs="Times New Roman"/>
          <w:b/>
          <w:bCs/>
          <w:sz w:val="20"/>
          <w:szCs w:val="20"/>
          <w:u w:val="single"/>
        </w:rPr>
      </w:pPr>
      <w:r w:rsidRPr="00594058">
        <w:rPr>
          <w:rFonts w:ascii="Times New Roman" w:hAnsi="Times New Roman" w:cs="Times New Roman"/>
          <w:b/>
          <w:bCs/>
          <w:sz w:val="20"/>
          <w:szCs w:val="20"/>
          <w:u w:val="single"/>
        </w:rPr>
        <w:t>PROFESSIONAL SUMMARY</w:t>
      </w:r>
    </w:p>
    <w:p w14:paraId="789E071F" w14:textId="797B5951"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Extensive experience across global compliance and regulatory frameworks</w:t>
      </w:r>
      <w:r w:rsidRPr="002F781E">
        <w:rPr>
          <w:sz w:val="20"/>
          <w:szCs w:val="20"/>
        </w:rPr>
        <w:t xml:space="preserve">, including </w:t>
      </w:r>
      <w:r w:rsidRPr="002F781E">
        <w:rPr>
          <w:rStyle w:val="Strong"/>
          <w:rFonts w:eastAsiaTheme="majorEastAsia"/>
          <w:sz w:val="20"/>
          <w:szCs w:val="20"/>
        </w:rPr>
        <w:t>KYC, AML, SOX, GAAP, IFRS, Basel III, CCAR, EMIR, MiFID II</w:t>
      </w:r>
      <w:r w:rsidRPr="002F781E">
        <w:rPr>
          <w:sz w:val="20"/>
          <w:szCs w:val="20"/>
        </w:rPr>
        <w:t>, and U.S. financial and insurance regulatory mandates.</w:t>
      </w:r>
    </w:p>
    <w:p w14:paraId="618417E3" w14:textId="55621F1E"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Demonstrated strong analytical, communication, and stakeholder-management capabilities</w:t>
      </w:r>
      <w:r w:rsidRPr="002F781E">
        <w:rPr>
          <w:sz w:val="20"/>
          <w:szCs w:val="20"/>
        </w:rPr>
        <w:t>, enabling effective collaboration with executives, finance leaders, auditors,</w:t>
      </w:r>
      <w:r>
        <w:rPr>
          <w:sz w:val="20"/>
          <w:szCs w:val="20"/>
        </w:rPr>
        <w:t xml:space="preserve"> </w:t>
      </w:r>
      <w:r w:rsidRPr="002F781E">
        <w:rPr>
          <w:sz w:val="20"/>
          <w:szCs w:val="20"/>
        </w:rPr>
        <w:t>engineers, and operations teams across complex, regulated enterprise environments.</w:t>
      </w:r>
    </w:p>
    <w:p w14:paraId="23954166" w14:textId="43BB8F04"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Highly skilled in defining AS-IS and TO-BE business states</w:t>
      </w:r>
      <w:r w:rsidRPr="002F781E">
        <w:rPr>
          <w:sz w:val="20"/>
          <w:szCs w:val="20"/>
        </w:rPr>
        <w:t xml:space="preserve">, conducting </w:t>
      </w:r>
      <w:r w:rsidRPr="002F781E">
        <w:rPr>
          <w:rStyle w:val="Strong"/>
          <w:rFonts w:eastAsiaTheme="majorEastAsia"/>
          <w:sz w:val="20"/>
          <w:szCs w:val="20"/>
        </w:rPr>
        <w:t>gap, feasibility, risk, and cost-benefit analyses</w:t>
      </w:r>
      <w:r w:rsidRPr="002F781E">
        <w:rPr>
          <w:sz w:val="20"/>
          <w:szCs w:val="20"/>
        </w:rPr>
        <w:t xml:space="preserve"> to support system modernization, process optimization, and data-driven decision-making initiatives.</w:t>
      </w:r>
    </w:p>
    <w:p w14:paraId="2FFAA90B" w14:textId="0D6A6CBD"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Proficient in enterprise change-management practices</w:t>
      </w:r>
      <w:r w:rsidRPr="002F781E">
        <w:rPr>
          <w:sz w:val="20"/>
          <w:szCs w:val="20"/>
        </w:rPr>
        <w:t>, managing change requests, impact assessments, dependency analysis, and governance approvals while maintaining alignment across scope, schedule, cost, quality, and regulatory constraints.</w:t>
      </w:r>
    </w:p>
    <w:p w14:paraId="3E33CD4F" w14:textId="46DA51CC"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Deep expertise across SDLC methodologies</w:t>
      </w:r>
      <w:r w:rsidRPr="002F781E">
        <w:rPr>
          <w:sz w:val="20"/>
          <w:szCs w:val="20"/>
        </w:rPr>
        <w:t xml:space="preserve">, including </w:t>
      </w:r>
      <w:r w:rsidRPr="002F781E">
        <w:rPr>
          <w:rStyle w:val="Strong"/>
          <w:rFonts w:eastAsiaTheme="majorEastAsia"/>
          <w:sz w:val="20"/>
          <w:szCs w:val="20"/>
        </w:rPr>
        <w:t>Agile Scrum, SAFe, hybrid Waterfall-Agile, Kanban, and Scrumban</w:t>
      </w:r>
      <w:r w:rsidRPr="002F781E">
        <w:rPr>
          <w:sz w:val="20"/>
          <w:szCs w:val="20"/>
        </w:rPr>
        <w:t>, supporting regulated delivery models with strong documentation and audit traceability.</w:t>
      </w:r>
    </w:p>
    <w:p w14:paraId="64582005" w14:textId="4080CF5C"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Led structured requirements-elicitation efforts</w:t>
      </w:r>
      <w:r w:rsidRPr="002F781E">
        <w:rPr>
          <w:sz w:val="20"/>
          <w:szCs w:val="20"/>
        </w:rPr>
        <w:t xml:space="preserve"> through workshops, interviews, JAD sessions, SWOT analysis, surveys, and prototyping to translate complex stakeholder needs into actionable functional and technical requirements.</w:t>
      </w:r>
    </w:p>
    <w:p w14:paraId="23D1553B" w14:textId="289FC481"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Produced comprehensive delivery artifacts</w:t>
      </w:r>
      <w:r w:rsidRPr="002F781E">
        <w:rPr>
          <w:sz w:val="20"/>
          <w:szCs w:val="20"/>
        </w:rPr>
        <w:t xml:space="preserve">, including </w:t>
      </w:r>
      <w:r w:rsidRPr="002F781E">
        <w:rPr>
          <w:rStyle w:val="Strong"/>
          <w:rFonts w:eastAsiaTheme="majorEastAsia"/>
          <w:sz w:val="20"/>
          <w:szCs w:val="20"/>
        </w:rPr>
        <w:t>BRDs, FRDs, SRS, RTMs, WBS, risk registers, and project charters</w:t>
      </w:r>
      <w:r w:rsidRPr="002F781E">
        <w:rPr>
          <w:sz w:val="20"/>
          <w:szCs w:val="20"/>
        </w:rPr>
        <w:t>, ensuring traceability, governance compliance, and clarity across cross-functional delivery teams.</w:t>
      </w:r>
    </w:p>
    <w:p w14:paraId="30BF841D" w14:textId="144258AA"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Extensive experience supporting front-to-back financial workflows</w:t>
      </w:r>
      <w:r w:rsidRPr="002F781E">
        <w:rPr>
          <w:sz w:val="20"/>
          <w:szCs w:val="20"/>
        </w:rPr>
        <w:t>, covering trade capture, confirmation, settlement, reconciliation, P&amp;L attribution, and subledger-to-general-ledger alignment across multiple financial products.</w:t>
      </w:r>
    </w:p>
    <w:p w14:paraId="3E3C118B" w14:textId="50503664"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Designed wireframes and functional prototypes</w:t>
      </w:r>
      <w:r w:rsidRPr="002F781E">
        <w:rPr>
          <w:sz w:val="20"/>
          <w:szCs w:val="20"/>
        </w:rPr>
        <w:t xml:space="preserve"> using </w:t>
      </w:r>
      <w:r w:rsidRPr="002F781E">
        <w:rPr>
          <w:rStyle w:val="Strong"/>
          <w:rFonts w:eastAsiaTheme="majorEastAsia"/>
          <w:sz w:val="20"/>
          <w:szCs w:val="20"/>
        </w:rPr>
        <w:t>Visio and Balsamiq</w:t>
      </w:r>
      <w:r w:rsidRPr="002F781E">
        <w:rPr>
          <w:sz w:val="20"/>
          <w:szCs w:val="20"/>
        </w:rPr>
        <w:t>, enabling early validation of user experience, system behavior, and functional acceptance prior to development and testing phases.</w:t>
      </w:r>
    </w:p>
    <w:p w14:paraId="2179E680" w14:textId="304382DB"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Applied UML and BPMN modeling techniques</w:t>
      </w:r>
      <w:r w:rsidRPr="002F781E">
        <w:rPr>
          <w:sz w:val="20"/>
          <w:szCs w:val="20"/>
        </w:rPr>
        <w:t>, including use-case, activity, sequence, class, and swim-lane diagrams, to document complex workflows and improve shared understanding between business and technical teams.</w:t>
      </w:r>
    </w:p>
    <w:p w14:paraId="5C8C90A5" w14:textId="28FFCDF2"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Led and facilitated Scrum ceremonies end-to-end</w:t>
      </w:r>
      <w:r w:rsidRPr="002F781E">
        <w:rPr>
          <w:sz w:val="20"/>
          <w:szCs w:val="20"/>
        </w:rPr>
        <w:t>, including sprint planning, backlog grooming, daily stand-ups, reviews, and retrospectives, ensuring delivery cadence, transparency, and continuous improvement.</w:t>
      </w:r>
    </w:p>
    <w:p w14:paraId="1795E31C" w14:textId="788C9434"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Authored detailed user stories and acceptance criteria</w:t>
      </w:r>
      <w:r w:rsidRPr="002F781E">
        <w:rPr>
          <w:sz w:val="20"/>
          <w:szCs w:val="20"/>
        </w:rPr>
        <w:t>, supporting DOR and DOD definitions, story-point estimation, backlog prioritization, and vertical slicing using industry-standard Agile techniques.</w:t>
      </w:r>
    </w:p>
    <w:p w14:paraId="6C36627D" w14:textId="441E802F"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Worked closely with Product Owners</w:t>
      </w:r>
      <w:r w:rsidRPr="002F781E">
        <w:rPr>
          <w:sz w:val="20"/>
          <w:szCs w:val="20"/>
        </w:rPr>
        <w:t xml:space="preserve"> to define scope, MVPs, releasable features, KPIs, and delivery roadmaps aligned with business value, regulatory obligations, and enterprise priorities.</w:t>
      </w:r>
    </w:p>
    <w:p w14:paraId="7D6D53E3" w14:textId="61285720"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Supported robust change-request governance</w:t>
      </w:r>
      <w:r w:rsidRPr="002F781E">
        <w:rPr>
          <w:sz w:val="20"/>
          <w:szCs w:val="20"/>
        </w:rPr>
        <w:t>, performing business and technical impact analysis, coordinating approvals, and ensuring controlled implementation across production and regulated environments.</w:t>
      </w:r>
    </w:p>
    <w:p w14:paraId="66381CAE" w14:textId="63A34E79"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Implemented ITSM practices aligned with ITIL principles</w:t>
      </w:r>
      <w:r w:rsidRPr="002F781E">
        <w:rPr>
          <w:sz w:val="20"/>
          <w:szCs w:val="20"/>
        </w:rPr>
        <w:t>, supporting incident, problem, and change management processes to maintain system stability, compliance, and operational resilience.</w:t>
      </w:r>
    </w:p>
    <w:p w14:paraId="11B12ABC" w14:textId="0B066EB9"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Advanced proficiency with Microsoft Project, Excel, Word, and PowerPoint</w:t>
      </w:r>
      <w:r w:rsidRPr="002F781E">
        <w:rPr>
          <w:sz w:val="20"/>
          <w:szCs w:val="20"/>
        </w:rPr>
        <w:t>, supporting project planning, financial analysis, documentation, executive reporting, and stakeholder communications.</w:t>
      </w:r>
    </w:p>
    <w:p w14:paraId="54C13ADF" w14:textId="10D25EDD"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Deep expertise in subledger and general-ledger configurations</w:t>
      </w:r>
      <w:r w:rsidRPr="002F781E">
        <w:rPr>
          <w:sz w:val="20"/>
          <w:szCs w:val="20"/>
        </w:rPr>
        <w:t>, including event posting, accounting rule setup, reconciliation logic, and subledger-migration initiatives supporting financial accuracy.</w:t>
      </w:r>
    </w:p>
    <w:p w14:paraId="13FC6F48" w14:textId="718E0BD7"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Hands-on experience configuring Accounting Entry Templates (AET)</w:t>
      </w:r>
      <w:r w:rsidRPr="002F781E">
        <w:rPr>
          <w:sz w:val="20"/>
          <w:szCs w:val="20"/>
        </w:rPr>
        <w:t>, validating debit-credit mappings, resolving posting failures, and ensuring accounting integrity across high-volume financial transactions.</w:t>
      </w:r>
    </w:p>
    <w:p w14:paraId="5645D0B5" w14:textId="716922DA"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Designed and validated accounting-rule engines and reconciliation frameworks</w:t>
      </w:r>
      <w:r w:rsidRPr="002F781E">
        <w:rPr>
          <w:sz w:val="20"/>
          <w:szCs w:val="20"/>
        </w:rPr>
        <w:t>, supporting accurate journal postings, audit evidence generation, and scalable processing across complex financial workflows.</w:t>
      </w:r>
    </w:p>
    <w:p w14:paraId="4F648865" w14:textId="696AE6D3"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Performed multi-level reconciliations</w:t>
      </w:r>
      <w:r w:rsidRPr="002F781E">
        <w:rPr>
          <w:sz w:val="20"/>
          <w:szCs w:val="20"/>
        </w:rPr>
        <w:t xml:space="preserve"> at book, account, and instrument levels, partnering with Financial Control and Product Control teams to resolve breaks and maintain reporting accuracy.</w:t>
      </w:r>
    </w:p>
    <w:p w14:paraId="5ED15FF5" w14:textId="45262091"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Conducted detailed balance-sheet and P&amp;L analysis</w:t>
      </w:r>
      <w:r w:rsidRPr="002F781E">
        <w:rPr>
          <w:sz w:val="20"/>
          <w:szCs w:val="20"/>
        </w:rPr>
        <w:t>, identifying discrepancies, performing manual adjustments, and supporting period-end close activities with auditable documentation.</w:t>
      </w:r>
    </w:p>
    <w:p w14:paraId="4225A853" w14:textId="69349DC1"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Extensive experience with data governance and documentation</w:t>
      </w:r>
      <w:r w:rsidRPr="002F781E">
        <w:rPr>
          <w:sz w:val="20"/>
          <w:szCs w:val="20"/>
        </w:rPr>
        <w:t>, producing data dictionaries, glossaries, mapping specifications, and lineage artifacts to support audits and regulatory reviews.</w:t>
      </w:r>
    </w:p>
    <w:p w14:paraId="39B755E3" w14:textId="2294D2A0"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Proficient across relational databases and data platforms</w:t>
      </w:r>
      <w:r w:rsidRPr="002F781E">
        <w:rPr>
          <w:sz w:val="20"/>
          <w:szCs w:val="20"/>
        </w:rPr>
        <w:t>, including data warehouses, data marts, and operational data stores supporting enterprise analytics and reporting use cases.</w:t>
      </w:r>
    </w:p>
    <w:p w14:paraId="071BF59F" w14:textId="20FB7319"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Advanced SQL expertise across PL/SQL, MySQL, and PostgreSQL</w:t>
      </w:r>
      <w:r w:rsidRPr="002F781E">
        <w:rPr>
          <w:sz w:val="20"/>
          <w:szCs w:val="20"/>
        </w:rPr>
        <w:t>, developing complex queries, joins, procedures, and views for large-scale financial data analysis.</w:t>
      </w:r>
    </w:p>
    <w:p w14:paraId="56AA901B" w14:textId="697B404D"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Validated REST and SOAP APIs using Postman and Swagger</w:t>
      </w:r>
      <w:r w:rsidRPr="002F781E">
        <w:rPr>
          <w:sz w:val="20"/>
          <w:szCs w:val="20"/>
        </w:rPr>
        <w:t>, ensuring accurate request-response handling, security compliance, and reliable system integrations.</w:t>
      </w:r>
    </w:p>
    <w:p w14:paraId="68673040" w14:textId="385EA8FC" w:rsidR="002F781E"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lastRenderedPageBreak/>
        <w:t>Led UAT, smoke, and sanity testing efforts</w:t>
      </w:r>
      <w:r w:rsidRPr="002F781E">
        <w:rPr>
          <w:sz w:val="20"/>
          <w:szCs w:val="20"/>
        </w:rPr>
        <w:t>, creating test plans, scripts, scenarios, and closure reports while managing defects through JIRA and Azure DevOps.</w:t>
      </w:r>
    </w:p>
    <w:p w14:paraId="2E9D9631" w14:textId="22858B50" w:rsidR="00E6395B" w:rsidRPr="002F781E" w:rsidRDefault="002F781E" w:rsidP="002F781E">
      <w:pPr>
        <w:pStyle w:val="NormalWeb"/>
        <w:numPr>
          <w:ilvl w:val="0"/>
          <w:numId w:val="58"/>
        </w:numPr>
        <w:spacing w:before="0" w:beforeAutospacing="0" w:after="0" w:afterAutospacing="0"/>
        <w:rPr>
          <w:sz w:val="20"/>
          <w:szCs w:val="20"/>
        </w:rPr>
      </w:pPr>
      <w:r w:rsidRPr="002F781E">
        <w:rPr>
          <w:rStyle w:val="Strong"/>
          <w:rFonts w:eastAsiaTheme="majorEastAsia"/>
          <w:sz w:val="20"/>
          <w:szCs w:val="20"/>
        </w:rPr>
        <w:t>Developed executive dashboards and analytical reports</w:t>
      </w:r>
      <w:r w:rsidRPr="002F781E">
        <w:rPr>
          <w:sz w:val="20"/>
          <w:szCs w:val="20"/>
        </w:rPr>
        <w:t xml:space="preserve"> using </w:t>
      </w:r>
      <w:r w:rsidRPr="002F781E">
        <w:rPr>
          <w:rStyle w:val="Strong"/>
          <w:rFonts w:eastAsiaTheme="majorEastAsia"/>
          <w:sz w:val="20"/>
          <w:szCs w:val="20"/>
        </w:rPr>
        <w:t>Power BI, Tableau, and Excel</w:t>
      </w:r>
      <w:r w:rsidRPr="002F781E">
        <w:rPr>
          <w:sz w:val="20"/>
          <w:szCs w:val="20"/>
        </w:rPr>
        <w:t>, including advanced DAX calculations to deliver actionable business insights.</w:t>
      </w:r>
    </w:p>
    <w:p w14:paraId="00E836E2" w14:textId="55AB7B14" w:rsidR="008C2C20" w:rsidRDefault="008C2C20" w:rsidP="008C2C20">
      <w:pPr>
        <w:jc w:val="both"/>
        <w:rPr>
          <w:b/>
          <w:bCs/>
          <w:color w:val="0F4761" w:themeColor="accent1" w:themeShade="BF"/>
          <w:sz w:val="20"/>
          <w:szCs w:val="20"/>
          <w:u w:val="single"/>
        </w:rPr>
      </w:pPr>
      <w:r w:rsidRPr="00594058">
        <w:rPr>
          <w:b/>
          <w:bCs/>
          <w:color w:val="0F4761" w:themeColor="accent1" w:themeShade="BF"/>
          <w:sz w:val="20"/>
          <w:szCs w:val="20"/>
          <w:u w:val="single"/>
        </w:rPr>
        <w:t>TECHNICAL SKILLS</w:t>
      </w:r>
    </w:p>
    <w:p w14:paraId="678E37BE" w14:textId="77777777" w:rsidR="008C2C20" w:rsidRPr="00594058" w:rsidRDefault="008C2C20" w:rsidP="008C2C20">
      <w:pPr>
        <w:jc w:val="both"/>
        <w:rPr>
          <w:b/>
          <w:bCs/>
          <w:color w:val="0F4761" w:themeColor="accent1" w:themeShade="BF"/>
          <w:sz w:val="20"/>
          <w:szCs w:val="20"/>
          <w:u w:val="single"/>
        </w:rPr>
      </w:pPr>
    </w:p>
    <w:tbl>
      <w:tblPr>
        <w:tblStyle w:val="GridTable6Colorful1"/>
        <w:tblW w:w="10773" w:type="dxa"/>
        <w:tblInd w:w="-5" w:type="dxa"/>
        <w:tblLook w:val="04A0" w:firstRow="1" w:lastRow="0" w:firstColumn="1" w:lastColumn="0" w:noHBand="0" w:noVBand="1"/>
      </w:tblPr>
      <w:tblGrid>
        <w:gridCol w:w="2430"/>
        <w:gridCol w:w="8343"/>
      </w:tblGrid>
      <w:tr w:rsidR="008C2C20" w:rsidRPr="001A0B2B" w14:paraId="0151BBCF" w14:textId="77777777">
        <w:trPr>
          <w:cnfStyle w:val="100000000000" w:firstRow="1" w:lastRow="0" w:firstColumn="0" w:lastColumn="0" w:oddVBand="0" w:evenVBand="0" w:oddHBand="0"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2430" w:type="dxa"/>
          </w:tcPr>
          <w:p w14:paraId="55FD6457" w14:textId="77777777" w:rsidR="008C2C20" w:rsidRPr="001A0B2B" w:rsidRDefault="008C2C20">
            <w:pPr>
              <w:tabs>
                <w:tab w:val="left" w:pos="2327"/>
              </w:tabs>
              <w:jc w:val="both"/>
              <w:rPr>
                <w:bCs w:val="0"/>
                <w:sz w:val="20"/>
                <w:szCs w:val="20"/>
              </w:rPr>
            </w:pPr>
            <w:r w:rsidRPr="001A0B2B">
              <w:rPr>
                <w:bCs w:val="0"/>
                <w:sz w:val="20"/>
                <w:szCs w:val="20"/>
              </w:rPr>
              <w:t>SDLC Methodologies</w:t>
            </w:r>
          </w:p>
        </w:tc>
        <w:tc>
          <w:tcPr>
            <w:tcW w:w="8343" w:type="dxa"/>
          </w:tcPr>
          <w:p w14:paraId="74FF4D9F" w14:textId="77777777" w:rsidR="008C2C20" w:rsidRPr="00A323C3" w:rsidRDefault="008C2C20">
            <w:pPr>
              <w:tabs>
                <w:tab w:val="left" w:pos="2327"/>
              </w:tabs>
              <w:jc w:val="both"/>
              <w:cnfStyle w:val="100000000000" w:firstRow="1" w:lastRow="0" w:firstColumn="0" w:lastColumn="0" w:oddVBand="0" w:evenVBand="0" w:oddHBand="0" w:evenHBand="0" w:firstRowFirstColumn="0" w:firstRowLastColumn="0" w:lastRowFirstColumn="0" w:lastRowLastColumn="0"/>
              <w:rPr>
                <w:bCs w:val="0"/>
                <w:sz w:val="20"/>
                <w:szCs w:val="20"/>
              </w:rPr>
            </w:pPr>
            <w:r w:rsidRPr="00A323C3">
              <w:rPr>
                <w:bCs w:val="0"/>
                <w:sz w:val="20"/>
                <w:szCs w:val="20"/>
              </w:rPr>
              <w:t>Agile-Scrum, SAFe, Scrum-Waterfall, Waterfall, XP, RUP, Spiral, Kanban.</w:t>
            </w:r>
          </w:p>
        </w:tc>
      </w:tr>
      <w:tr w:rsidR="008C2C20" w:rsidRPr="001A0B2B" w14:paraId="31C5553D" w14:textId="77777777">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430" w:type="dxa"/>
          </w:tcPr>
          <w:p w14:paraId="379EAF2B" w14:textId="77777777" w:rsidR="008C2C20" w:rsidRPr="001A0B2B" w:rsidRDefault="008C2C20">
            <w:pPr>
              <w:tabs>
                <w:tab w:val="left" w:pos="2327"/>
              </w:tabs>
              <w:jc w:val="both"/>
              <w:rPr>
                <w:bCs w:val="0"/>
                <w:sz w:val="20"/>
                <w:szCs w:val="20"/>
              </w:rPr>
            </w:pPr>
            <w:r w:rsidRPr="00893577">
              <w:rPr>
                <w:bCs w:val="0"/>
                <w:sz w:val="20"/>
                <w:szCs w:val="20"/>
              </w:rPr>
              <w:t>Project Initiation &amp; Planning</w:t>
            </w:r>
          </w:p>
        </w:tc>
        <w:tc>
          <w:tcPr>
            <w:tcW w:w="8343" w:type="dxa"/>
          </w:tcPr>
          <w:p w14:paraId="5DB2DC96" w14:textId="77777777"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bCs/>
                <w:sz w:val="20"/>
                <w:szCs w:val="20"/>
              </w:rPr>
            </w:pPr>
            <w:r w:rsidRPr="00893577">
              <w:rPr>
                <w:b/>
                <w:bCs/>
                <w:sz w:val="20"/>
                <w:szCs w:val="20"/>
              </w:rPr>
              <w:t>Project Charters, WBS, Scope Statements, Cost Estimates, Stakeholder Registers</w:t>
            </w:r>
          </w:p>
        </w:tc>
      </w:tr>
      <w:tr w:rsidR="008C2C20" w:rsidRPr="001A0B2B" w14:paraId="03844DD6" w14:textId="77777777">
        <w:trPr>
          <w:trHeight w:val="274"/>
        </w:trPr>
        <w:tc>
          <w:tcPr>
            <w:cnfStyle w:val="001000000000" w:firstRow="0" w:lastRow="0" w:firstColumn="1" w:lastColumn="0" w:oddVBand="0" w:evenVBand="0" w:oddHBand="0" w:evenHBand="0" w:firstRowFirstColumn="0" w:firstRowLastColumn="0" w:lastRowFirstColumn="0" w:lastRowLastColumn="0"/>
            <w:tcW w:w="2430" w:type="dxa"/>
          </w:tcPr>
          <w:p w14:paraId="7A63CA77" w14:textId="77777777" w:rsidR="008C2C20" w:rsidRPr="001A0B2B" w:rsidRDefault="008C2C20">
            <w:pPr>
              <w:tabs>
                <w:tab w:val="left" w:pos="2327"/>
              </w:tabs>
              <w:jc w:val="both"/>
              <w:rPr>
                <w:bCs w:val="0"/>
                <w:sz w:val="20"/>
                <w:szCs w:val="20"/>
              </w:rPr>
            </w:pPr>
            <w:r w:rsidRPr="00893577">
              <w:rPr>
                <w:bCs w:val="0"/>
                <w:sz w:val="20"/>
                <w:szCs w:val="20"/>
              </w:rPr>
              <w:t>Execution &amp; Delivery</w:t>
            </w:r>
          </w:p>
        </w:tc>
        <w:tc>
          <w:tcPr>
            <w:tcW w:w="8343" w:type="dxa"/>
          </w:tcPr>
          <w:p w14:paraId="615B381B" w14:textId="77777777" w:rsidR="008C2C20" w:rsidRPr="001A0B2B" w:rsidRDefault="008C2C20">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893577">
              <w:rPr>
                <w:b/>
                <w:sz w:val="20"/>
                <w:szCs w:val="20"/>
              </w:rPr>
              <w:t>Agile Sprint Execution, Resource Management, Vendor Coordination, Procurement Management</w:t>
            </w:r>
          </w:p>
        </w:tc>
      </w:tr>
      <w:tr w:rsidR="008C2C20" w:rsidRPr="001A0B2B" w14:paraId="1821CBA5" w14:textId="77777777">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430" w:type="dxa"/>
          </w:tcPr>
          <w:p w14:paraId="05AABF0C" w14:textId="1CD5BC8F" w:rsidR="008C2C20" w:rsidRPr="001A0B2B" w:rsidRDefault="008C2C20">
            <w:pPr>
              <w:tabs>
                <w:tab w:val="left" w:pos="2327"/>
              </w:tabs>
              <w:jc w:val="both"/>
              <w:rPr>
                <w:sz w:val="20"/>
                <w:szCs w:val="20"/>
              </w:rPr>
            </w:pPr>
            <w:r w:rsidRPr="00893577">
              <w:rPr>
                <w:sz w:val="20"/>
                <w:szCs w:val="20"/>
              </w:rPr>
              <w:t xml:space="preserve">Monitoring &amp; </w:t>
            </w:r>
            <w:r w:rsidR="0053643E" w:rsidRPr="00893577">
              <w:rPr>
                <w:sz w:val="20"/>
                <w:szCs w:val="20"/>
              </w:rPr>
              <w:t>controlling</w:t>
            </w:r>
          </w:p>
        </w:tc>
        <w:tc>
          <w:tcPr>
            <w:tcW w:w="8343" w:type="dxa"/>
          </w:tcPr>
          <w:p w14:paraId="026FDA99" w14:textId="77777777"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893577">
              <w:rPr>
                <w:b/>
                <w:sz w:val="20"/>
                <w:szCs w:val="20"/>
              </w:rPr>
              <w:t>Schedule Tracking (MS Project), Risk &amp; Issue Management, Change Requests, Quality Assurance</w:t>
            </w:r>
          </w:p>
        </w:tc>
      </w:tr>
      <w:tr w:rsidR="008C2C20" w:rsidRPr="001A0B2B" w14:paraId="2206871E" w14:textId="77777777">
        <w:trPr>
          <w:trHeight w:val="208"/>
        </w:trPr>
        <w:tc>
          <w:tcPr>
            <w:cnfStyle w:val="001000000000" w:firstRow="0" w:lastRow="0" w:firstColumn="1" w:lastColumn="0" w:oddVBand="0" w:evenVBand="0" w:oddHBand="0" w:evenHBand="0" w:firstRowFirstColumn="0" w:firstRowLastColumn="0" w:lastRowFirstColumn="0" w:lastRowLastColumn="0"/>
            <w:tcW w:w="2430" w:type="dxa"/>
          </w:tcPr>
          <w:p w14:paraId="638E24ED" w14:textId="77777777" w:rsidR="008C2C20" w:rsidRPr="001A0B2B" w:rsidRDefault="008C2C20">
            <w:pPr>
              <w:tabs>
                <w:tab w:val="left" w:pos="2327"/>
              </w:tabs>
              <w:jc w:val="both"/>
              <w:rPr>
                <w:bCs w:val="0"/>
                <w:sz w:val="20"/>
                <w:szCs w:val="20"/>
              </w:rPr>
            </w:pPr>
            <w:r w:rsidRPr="00893577">
              <w:rPr>
                <w:bCs w:val="0"/>
                <w:sz w:val="20"/>
                <w:szCs w:val="20"/>
              </w:rPr>
              <w:t>Closing &amp; Handover</w:t>
            </w:r>
          </w:p>
        </w:tc>
        <w:tc>
          <w:tcPr>
            <w:tcW w:w="8343" w:type="dxa"/>
          </w:tcPr>
          <w:p w14:paraId="5F2B7A7A" w14:textId="77777777" w:rsidR="008C2C20" w:rsidRPr="001A0B2B" w:rsidRDefault="008C2C20">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893577">
              <w:rPr>
                <w:b/>
                <w:sz w:val="20"/>
                <w:szCs w:val="20"/>
              </w:rPr>
              <w:t>Lessons Learned, Release Documentation, Post-Implementation Review, Knowledge Transfer</w:t>
            </w:r>
          </w:p>
        </w:tc>
      </w:tr>
      <w:tr w:rsidR="008C2C20" w:rsidRPr="001A0B2B" w14:paraId="7743CBD9" w14:textId="77777777">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430" w:type="dxa"/>
          </w:tcPr>
          <w:p w14:paraId="6F7A59D8" w14:textId="77777777" w:rsidR="008C2C20" w:rsidRPr="001A0B2B" w:rsidRDefault="008C2C20">
            <w:pPr>
              <w:tabs>
                <w:tab w:val="left" w:pos="2327"/>
              </w:tabs>
              <w:jc w:val="both"/>
              <w:rPr>
                <w:bCs w:val="0"/>
                <w:sz w:val="20"/>
                <w:szCs w:val="20"/>
              </w:rPr>
            </w:pPr>
            <w:r w:rsidRPr="001A0B2B">
              <w:rPr>
                <w:sz w:val="20"/>
                <w:szCs w:val="20"/>
              </w:rPr>
              <w:t>Testing Tools</w:t>
            </w:r>
          </w:p>
        </w:tc>
        <w:tc>
          <w:tcPr>
            <w:tcW w:w="8343" w:type="dxa"/>
          </w:tcPr>
          <w:p w14:paraId="43D5AC67" w14:textId="77777777"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bookmarkStart w:id="1" w:name="_Int_8YBgCLmf"/>
            <w:r w:rsidRPr="001A0B2B">
              <w:rPr>
                <w:b/>
                <w:sz w:val="20"/>
                <w:szCs w:val="20"/>
              </w:rPr>
              <w:t>POSTMAN</w:t>
            </w:r>
            <w:bookmarkEnd w:id="1"/>
            <w:r w:rsidRPr="001A0B2B">
              <w:rPr>
                <w:b/>
                <w:sz w:val="20"/>
                <w:szCs w:val="20"/>
              </w:rPr>
              <w:t>, Swagger, SOAP UI,</w:t>
            </w:r>
            <w:r>
              <w:rPr>
                <w:b/>
                <w:sz w:val="20"/>
                <w:szCs w:val="20"/>
              </w:rPr>
              <w:t xml:space="preserve"> </w:t>
            </w:r>
            <w:r w:rsidRPr="001A0B2B">
              <w:rPr>
                <w:b/>
                <w:sz w:val="20"/>
                <w:szCs w:val="20"/>
              </w:rPr>
              <w:t>Selenium.</w:t>
            </w:r>
          </w:p>
        </w:tc>
      </w:tr>
      <w:tr w:rsidR="008C2C20" w:rsidRPr="001A0B2B" w14:paraId="6C42F78C" w14:textId="77777777">
        <w:trPr>
          <w:trHeight w:val="272"/>
        </w:trPr>
        <w:tc>
          <w:tcPr>
            <w:cnfStyle w:val="001000000000" w:firstRow="0" w:lastRow="0" w:firstColumn="1" w:lastColumn="0" w:oddVBand="0" w:evenVBand="0" w:oddHBand="0" w:evenHBand="0" w:firstRowFirstColumn="0" w:firstRowLastColumn="0" w:lastRowFirstColumn="0" w:lastRowLastColumn="0"/>
            <w:tcW w:w="2430" w:type="dxa"/>
          </w:tcPr>
          <w:p w14:paraId="7EF03B44" w14:textId="77777777" w:rsidR="008C2C20" w:rsidRPr="001A0B2B" w:rsidRDefault="008C2C20">
            <w:pPr>
              <w:tabs>
                <w:tab w:val="left" w:pos="2327"/>
              </w:tabs>
              <w:jc w:val="both"/>
              <w:rPr>
                <w:bCs w:val="0"/>
                <w:sz w:val="20"/>
                <w:szCs w:val="20"/>
              </w:rPr>
            </w:pPr>
            <w:r w:rsidRPr="001A0B2B">
              <w:rPr>
                <w:bCs w:val="0"/>
                <w:sz w:val="20"/>
                <w:szCs w:val="20"/>
              </w:rPr>
              <w:t>Databases and ETL Tools</w:t>
            </w:r>
          </w:p>
        </w:tc>
        <w:tc>
          <w:tcPr>
            <w:tcW w:w="8343" w:type="dxa"/>
          </w:tcPr>
          <w:p w14:paraId="611E8E38" w14:textId="77777777" w:rsidR="008C2C20" w:rsidRPr="001A0B2B" w:rsidRDefault="008C2C20">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r w:rsidRPr="001A0B2B">
              <w:rPr>
                <w:b/>
                <w:sz w:val="20"/>
                <w:szCs w:val="20"/>
              </w:rPr>
              <w:t>MySQL,</w:t>
            </w:r>
            <w:r>
              <w:rPr>
                <w:b/>
                <w:sz w:val="20"/>
                <w:szCs w:val="20"/>
              </w:rPr>
              <w:t xml:space="preserve"> </w:t>
            </w:r>
            <w:r w:rsidRPr="001A0B2B">
              <w:rPr>
                <w:b/>
                <w:sz w:val="20"/>
                <w:szCs w:val="20"/>
              </w:rPr>
              <w:t>NoSQL</w:t>
            </w:r>
            <w:r>
              <w:rPr>
                <w:b/>
                <w:sz w:val="20"/>
                <w:szCs w:val="20"/>
              </w:rPr>
              <w:t>, MongoDB, Azure Data Factory</w:t>
            </w:r>
            <w:r w:rsidRPr="001A0B2B">
              <w:rPr>
                <w:b/>
                <w:sz w:val="20"/>
                <w:szCs w:val="20"/>
              </w:rPr>
              <w:t>, Azure Cosmos, AWS Dynamo DB,</w:t>
            </w:r>
            <w:r>
              <w:rPr>
                <w:b/>
                <w:sz w:val="20"/>
                <w:szCs w:val="20"/>
              </w:rPr>
              <w:t xml:space="preserve"> </w:t>
            </w:r>
            <w:r w:rsidRPr="001A0B2B">
              <w:rPr>
                <w:b/>
                <w:sz w:val="20"/>
                <w:szCs w:val="20"/>
              </w:rPr>
              <w:t xml:space="preserve">Informatica PowerCenter, </w:t>
            </w:r>
            <w:r w:rsidRPr="00324A3F">
              <w:rPr>
                <w:b/>
                <w:bCs/>
                <w:color w:val="1D1B11"/>
                <w:sz w:val="20"/>
                <w:szCs w:val="20"/>
              </w:rPr>
              <w:t>SAP S/4HANA</w:t>
            </w:r>
            <w:r w:rsidRPr="001A0B2B">
              <w:rPr>
                <w:b/>
                <w:sz w:val="20"/>
                <w:szCs w:val="20"/>
              </w:rPr>
              <w:t>, Salesforce Data Loader, AWS glue and AWS kinesis.</w:t>
            </w:r>
          </w:p>
        </w:tc>
      </w:tr>
      <w:tr w:rsidR="008C2C20" w:rsidRPr="001A0B2B" w14:paraId="54B6B7F7" w14:textId="77777777">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2430" w:type="dxa"/>
            <w:hideMark/>
          </w:tcPr>
          <w:p w14:paraId="601FA3B4" w14:textId="77777777" w:rsidR="008C2C20" w:rsidRPr="0045158A" w:rsidRDefault="008C2C20">
            <w:pPr>
              <w:pStyle w:val="Heading1"/>
              <w:spacing w:before="0" w:after="0"/>
              <w:jc w:val="both"/>
              <w:rPr>
                <w:rFonts w:ascii="Times New Roman" w:hAnsi="Times New Roman" w:cs="Times New Roman"/>
                <w:b w:val="0"/>
                <w:bCs w:val="0"/>
                <w:color w:val="000000" w:themeColor="text1"/>
                <w:sz w:val="20"/>
                <w:szCs w:val="20"/>
              </w:rPr>
            </w:pPr>
            <w:r w:rsidRPr="00893577">
              <w:rPr>
                <w:rFonts w:ascii="Times New Roman" w:hAnsi="Times New Roman" w:cs="Times New Roman"/>
                <w:color w:val="000000" w:themeColor="text1"/>
                <w:sz w:val="20"/>
                <w:szCs w:val="20"/>
              </w:rPr>
              <w:t>Domains</w:t>
            </w:r>
          </w:p>
        </w:tc>
        <w:tc>
          <w:tcPr>
            <w:tcW w:w="8343" w:type="dxa"/>
            <w:hideMark/>
          </w:tcPr>
          <w:p w14:paraId="38D81552" w14:textId="1F9DFF83" w:rsidR="008C2C20" w:rsidRPr="00380D8C" w:rsidRDefault="002813C6" w:rsidP="00380D8C">
            <w:pPr>
              <w:pStyle w:val="Heading1"/>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Global capital markets</w:t>
            </w:r>
            <w:r w:rsidR="00380D8C" w:rsidRPr="00380D8C">
              <w:rPr>
                <w:rFonts w:ascii="Times New Roman" w:hAnsi="Times New Roman" w:cs="Times New Roman"/>
                <w:b/>
                <w:bCs/>
                <w:color w:val="000000" w:themeColor="text1"/>
                <w:sz w:val="20"/>
                <w:szCs w:val="20"/>
              </w:rPr>
              <w:t>, Treasury Systems, Fixed Income Trading, Money Market Operations, Derivatives, Repo and Reverse Repo Settlement.</w:t>
            </w:r>
          </w:p>
        </w:tc>
      </w:tr>
      <w:tr w:rsidR="008C2C20" w:rsidRPr="001A0B2B" w14:paraId="36AEE87B" w14:textId="77777777">
        <w:trPr>
          <w:trHeight w:val="140"/>
        </w:trPr>
        <w:tc>
          <w:tcPr>
            <w:cnfStyle w:val="001000000000" w:firstRow="0" w:lastRow="0" w:firstColumn="1" w:lastColumn="0" w:oddVBand="0" w:evenVBand="0" w:oddHBand="0" w:evenHBand="0" w:firstRowFirstColumn="0" w:firstRowLastColumn="0" w:lastRowFirstColumn="0" w:lastRowLastColumn="0"/>
            <w:tcW w:w="2430" w:type="dxa"/>
            <w:hideMark/>
          </w:tcPr>
          <w:p w14:paraId="00BC5C05" w14:textId="77777777" w:rsidR="008C2C20" w:rsidRPr="000719F0" w:rsidRDefault="008C2C20">
            <w:pPr>
              <w:pStyle w:val="Heading1"/>
              <w:spacing w:before="0" w:after="0"/>
              <w:jc w:val="both"/>
              <w:rPr>
                <w:rFonts w:ascii="Times New Roman" w:hAnsi="Times New Roman" w:cs="Times New Roman"/>
                <w:b w:val="0"/>
                <w:bCs w:val="0"/>
                <w:color w:val="000000" w:themeColor="text1"/>
                <w:sz w:val="20"/>
                <w:szCs w:val="20"/>
                <w:highlight w:val="yellow"/>
              </w:rPr>
            </w:pPr>
            <w:r w:rsidRPr="00E71BDD">
              <w:rPr>
                <w:rFonts w:ascii="Times New Roman" w:hAnsi="Times New Roman" w:cs="Times New Roman"/>
                <w:color w:val="000000" w:themeColor="text1"/>
                <w:sz w:val="20"/>
                <w:szCs w:val="20"/>
              </w:rPr>
              <w:t>Reports</w:t>
            </w:r>
          </w:p>
        </w:tc>
        <w:tc>
          <w:tcPr>
            <w:tcW w:w="8343" w:type="dxa"/>
            <w:hideMark/>
          </w:tcPr>
          <w:p w14:paraId="5522E4C3" w14:textId="77777777" w:rsidR="008C2C20" w:rsidRPr="002D6FC0" w:rsidRDefault="008C2C20">
            <w:pPr>
              <w:pStyle w:val="Heading1"/>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E71BDD">
              <w:rPr>
                <w:rFonts w:ascii="Times New Roman" w:hAnsi="Times New Roman" w:cs="Times New Roman"/>
                <w:b/>
                <w:bCs/>
                <w:color w:val="000000" w:themeColor="text1"/>
                <w:sz w:val="20"/>
                <w:szCs w:val="20"/>
              </w:rPr>
              <w:t>Compliance Gap Analysis</w:t>
            </w:r>
            <w:r w:rsidRPr="002D6FC0">
              <w:rPr>
                <w:rFonts w:ascii="Times New Roman" w:hAnsi="Times New Roman" w:cs="Times New Roman"/>
                <w:b/>
                <w:bCs/>
                <w:color w:val="000000" w:themeColor="text1"/>
                <w:sz w:val="20"/>
                <w:szCs w:val="20"/>
              </w:rPr>
              <w:t>,</w:t>
            </w:r>
            <w:r w:rsidRPr="00E71BDD">
              <w:rPr>
                <w:rFonts w:ascii="Times New Roman" w:eastAsia="Times New Roman" w:hAnsi="Times New Roman" w:cs="Times New Roman"/>
                <w:color w:val="auto"/>
                <w:sz w:val="24"/>
                <w:szCs w:val="24"/>
              </w:rPr>
              <w:t xml:space="preserve"> </w:t>
            </w:r>
            <w:r w:rsidRPr="00E71BDD">
              <w:rPr>
                <w:rFonts w:ascii="Times New Roman" w:hAnsi="Times New Roman" w:cs="Times New Roman"/>
                <w:b/>
                <w:bCs/>
                <w:color w:val="000000" w:themeColor="text1"/>
                <w:sz w:val="20"/>
                <w:szCs w:val="20"/>
              </w:rPr>
              <w:t>Executive Performance Dashboards</w:t>
            </w:r>
            <w:r w:rsidRPr="002D6FC0">
              <w:rPr>
                <w:rFonts w:ascii="Times New Roman" w:hAnsi="Times New Roman" w:cs="Times New Roman"/>
                <w:b/>
                <w:bCs/>
                <w:color w:val="000000" w:themeColor="text1"/>
                <w:sz w:val="20"/>
                <w:szCs w:val="20"/>
              </w:rPr>
              <w:t>,</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Trend &amp; KPI Analysis</w:t>
            </w:r>
            <w:r w:rsidRPr="002D6FC0">
              <w:rPr>
                <w:rFonts w:ascii="Times New Roman" w:hAnsi="Times New Roman" w:cs="Times New Roman"/>
                <w:b/>
                <w:bCs/>
                <w:color w:val="000000" w:themeColor="text1"/>
                <w:sz w:val="20"/>
                <w:szCs w:val="20"/>
              </w:rPr>
              <w:t>,</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Model Validation</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Defect &amp; Closure</w:t>
            </w:r>
            <w:r>
              <w:rPr>
                <w:rFonts w:ascii="Times New Roman" w:hAnsi="Times New Roman" w:cs="Times New Roman"/>
                <w:b/>
                <w:bCs/>
                <w:color w:val="000000" w:themeColor="text1"/>
                <w:sz w:val="20"/>
                <w:szCs w:val="20"/>
              </w:rPr>
              <w:t xml:space="preserve">, </w:t>
            </w:r>
            <w:r w:rsidRPr="00E71BDD">
              <w:rPr>
                <w:rFonts w:ascii="Times New Roman" w:hAnsi="Times New Roman" w:cs="Times New Roman"/>
                <w:b/>
                <w:bCs/>
                <w:color w:val="000000" w:themeColor="text1"/>
                <w:sz w:val="20"/>
                <w:szCs w:val="20"/>
              </w:rPr>
              <w:t>Exception Reports</w:t>
            </w:r>
            <w:r>
              <w:rPr>
                <w:rFonts w:ascii="Times New Roman" w:hAnsi="Times New Roman" w:cs="Times New Roman"/>
                <w:b/>
                <w:bCs/>
                <w:color w:val="000000" w:themeColor="text1"/>
                <w:sz w:val="20"/>
                <w:szCs w:val="20"/>
              </w:rPr>
              <w:t>.</w:t>
            </w:r>
          </w:p>
        </w:tc>
      </w:tr>
      <w:tr w:rsidR="008C2C20" w:rsidRPr="001A0B2B" w14:paraId="0C767B4A"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430" w:type="dxa"/>
            <w:hideMark/>
          </w:tcPr>
          <w:p w14:paraId="6F197B3E" w14:textId="77777777" w:rsidR="008C2C20" w:rsidRPr="0045158A" w:rsidRDefault="008C2C20">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Data Modeling and Data Warehousing</w:t>
            </w:r>
          </w:p>
        </w:tc>
        <w:tc>
          <w:tcPr>
            <w:tcW w:w="8343" w:type="dxa"/>
            <w:hideMark/>
          </w:tcPr>
          <w:p w14:paraId="3F99DB15" w14:textId="77777777" w:rsidR="008C2C20" w:rsidRPr="002D6FC0" w:rsidRDefault="008C2C20">
            <w:pPr>
              <w:pStyle w:val="Heading1"/>
              <w:spacing w:before="0"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0"/>
                <w:szCs w:val="20"/>
              </w:rPr>
            </w:pPr>
            <w:r w:rsidRPr="002D6FC0">
              <w:rPr>
                <w:rFonts w:ascii="Times New Roman" w:hAnsi="Times New Roman" w:cs="Times New Roman"/>
                <w:b/>
                <w:bCs/>
                <w:color w:val="000000" w:themeColor="text1"/>
                <w:sz w:val="20"/>
                <w:szCs w:val="20"/>
              </w:rPr>
              <w:t>Dimensional Data Modelling, Fact and Dimension tables, Star and Snowflake Schema, Data Marts, OLTP, OLAP, Multi-Dimensional Analysis, Data Mining, ETL.</w:t>
            </w:r>
          </w:p>
        </w:tc>
      </w:tr>
      <w:tr w:rsidR="008C2C20" w:rsidRPr="001A0B2B" w14:paraId="74639008" w14:textId="77777777">
        <w:trPr>
          <w:trHeight w:val="151"/>
        </w:trPr>
        <w:tc>
          <w:tcPr>
            <w:cnfStyle w:val="001000000000" w:firstRow="0" w:lastRow="0" w:firstColumn="1" w:lastColumn="0" w:oddVBand="0" w:evenVBand="0" w:oddHBand="0" w:evenHBand="0" w:firstRowFirstColumn="0" w:firstRowLastColumn="0" w:lastRowFirstColumn="0" w:lastRowLastColumn="0"/>
            <w:tcW w:w="2430" w:type="dxa"/>
            <w:hideMark/>
          </w:tcPr>
          <w:p w14:paraId="38648460" w14:textId="77777777" w:rsidR="008C2C20" w:rsidRPr="0045158A" w:rsidRDefault="008C2C20">
            <w:pPr>
              <w:pStyle w:val="Heading1"/>
              <w:spacing w:before="0" w:after="0"/>
              <w:jc w:val="both"/>
              <w:rPr>
                <w:rFonts w:ascii="Times New Roman" w:hAnsi="Times New Roman" w:cs="Times New Roman"/>
                <w:b w:val="0"/>
                <w:bCs w:val="0"/>
                <w:color w:val="000000" w:themeColor="text1"/>
                <w:sz w:val="20"/>
                <w:szCs w:val="20"/>
              </w:rPr>
            </w:pPr>
            <w:r w:rsidRPr="0045158A">
              <w:rPr>
                <w:rFonts w:ascii="Times New Roman" w:hAnsi="Times New Roman" w:cs="Times New Roman"/>
                <w:color w:val="000000" w:themeColor="text1"/>
                <w:sz w:val="20"/>
                <w:szCs w:val="20"/>
              </w:rPr>
              <w:t>Tools</w:t>
            </w:r>
          </w:p>
        </w:tc>
        <w:tc>
          <w:tcPr>
            <w:tcW w:w="8343" w:type="dxa"/>
            <w:hideMark/>
          </w:tcPr>
          <w:p w14:paraId="03371D16" w14:textId="77777777" w:rsidR="008C2C20" w:rsidRPr="002D6FC0" w:rsidRDefault="008C2C20">
            <w:pPr>
              <w:pStyle w:val="Heading1"/>
              <w:spacing w:before="0"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0"/>
                <w:szCs w:val="20"/>
              </w:rPr>
            </w:pPr>
            <w:r w:rsidRPr="00893577">
              <w:rPr>
                <w:rFonts w:ascii="Times New Roman" w:hAnsi="Times New Roman" w:cs="Times New Roman"/>
                <w:b/>
                <w:bCs/>
                <w:color w:val="000000" w:themeColor="text1"/>
                <w:sz w:val="20"/>
                <w:szCs w:val="20"/>
              </w:rPr>
              <w:t>MS Project, JIRA, Confluence, SharePoint, Power BI, Tableau, Azure DevOps, AWS, Azure</w:t>
            </w:r>
          </w:p>
        </w:tc>
      </w:tr>
      <w:tr w:rsidR="008C2C20" w:rsidRPr="001A0B2B" w14:paraId="4A32C2B8" w14:textId="77777777">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2430" w:type="dxa"/>
          </w:tcPr>
          <w:p w14:paraId="2A998835" w14:textId="77777777" w:rsidR="008C2C20" w:rsidRPr="001A0B2B" w:rsidRDefault="008C2C20">
            <w:pPr>
              <w:tabs>
                <w:tab w:val="left" w:pos="2327"/>
              </w:tabs>
              <w:jc w:val="both"/>
              <w:rPr>
                <w:sz w:val="20"/>
                <w:szCs w:val="20"/>
              </w:rPr>
            </w:pPr>
            <w:r w:rsidRPr="001A0B2B">
              <w:rPr>
                <w:sz w:val="20"/>
                <w:szCs w:val="20"/>
              </w:rPr>
              <w:t>Languages</w:t>
            </w:r>
          </w:p>
        </w:tc>
        <w:tc>
          <w:tcPr>
            <w:tcW w:w="8343" w:type="dxa"/>
          </w:tcPr>
          <w:p w14:paraId="5F0B290D" w14:textId="275FE703" w:rsidR="008C2C20" w:rsidRPr="001A0B2B" w:rsidRDefault="008C2C20">
            <w:pPr>
              <w:tabs>
                <w:tab w:val="left" w:pos="2327"/>
              </w:tabs>
              <w:jc w:val="both"/>
              <w:cnfStyle w:val="000000100000" w:firstRow="0" w:lastRow="0" w:firstColumn="0" w:lastColumn="0" w:oddVBand="0" w:evenVBand="0" w:oddHBand="1" w:evenHBand="0" w:firstRowFirstColumn="0" w:firstRowLastColumn="0" w:lastRowFirstColumn="0" w:lastRowLastColumn="0"/>
              <w:rPr>
                <w:b/>
                <w:sz w:val="20"/>
                <w:szCs w:val="20"/>
              </w:rPr>
            </w:pPr>
            <w:r w:rsidRPr="001A0B2B">
              <w:rPr>
                <w:b/>
                <w:sz w:val="20"/>
                <w:szCs w:val="20"/>
              </w:rPr>
              <w:t>SQL, XML</w:t>
            </w:r>
          </w:p>
        </w:tc>
      </w:tr>
      <w:tr w:rsidR="0053643E" w:rsidRPr="001A0B2B" w14:paraId="0A44C504" w14:textId="77777777">
        <w:trPr>
          <w:trHeight w:val="87"/>
        </w:trPr>
        <w:tc>
          <w:tcPr>
            <w:cnfStyle w:val="001000000000" w:firstRow="0" w:lastRow="0" w:firstColumn="1" w:lastColumn="0" w:oddVBand="0" w:evenVBand="0" w:oddHBand="0" w:evenHBand="0" w:firstRowFirstColumn="0" w:firstRowLastColumn="0" w:lastRowFirstColumn="0" w:lastRowLastColumn="0"/>
            <w:tcW w:w="2430" w:type="dxa"/>
          </w:tcPr>
          <w:p w14:paraId="55FAF8B6" w14:textId="444203DC" w:rsidR="0053643E" w:rsidRDefault="0053643E" w:rsidP="0053643E">
            <w:pPr>
              <w:jc w:val="both"/>
            </w:pPr>
            <w:r>
              <w:t>Network Payment &amp; Standards</w:t>
            </w:r>
          </w:p>
          <w:p w14:paraId="15828C43" w14:textId="77777777" w:rsidR="0053643E" w:rsidRPr="001A0B2B" w:rsidRDefault="0053643E">
            <w:pPr>
              <w:tabs>
                <w:tab w:val="left" w:pos="2327"/>
              </w:tabs>
              <w:jc w:val="both"/>
              <w:rPr>
                <w:sz w:val="20"/>
                <w:szCs w:val="20"/>
              </w:rPr>
            </w:pPr>
          </w:p>
        </w:tc>
        <w:tc>
          <w:tcPr>
            <w:tcW w:w="8343" w:type="dxa"/>
          </w:tcPr>
          <w:p w14:paraId="497B6ECA" w14:textId="4DA111A5" w:rsidR="0053643E" w:rsidRPr="0053643E" w:rsidRDefault="0053643E" w:rsidP="0053643E">
            <w:pPr>
              <w:jc w:val="both"/>
              <w:cnfStyle w:val="000000000000" w:firstRow="0" w:lastRow="0" w:firstColumn="0" w:lastColumn="0" w:oddVBand="0" w:evenVBand="0" w:oddHBand="0" w:evenHBand="0" w:firstRowFirstColumn="0" w:firstRowLastColumn="0" w:lastRowFirstColumn="0" w:lastRowLastColumn="0"/>
              <w:rPr>
                <w:b/>
                <w:bCs/>
              </w:rPr>
            </w:pPr>
            <w:r w:rsidRPr="0053643E">
              <w:rPr>
                <w:b/>
                <w:bCs/>
              </w:rPr>
              <w:t>Visa, Mastercard, Discover, Maestro, Interlink, Accel, UPI, RuPay, SWIFT, ACH, SEPA, Fedwire, NEFT, RTGS.</w:t>
            </w:r>
          </w:p>
          <w:p w14:paraId="4C4B929F" w14:textId="77777777" w:rsidR="0053643E" w:rsidRPr="001A0B2B" w:rsidRDefault="0053643E">
            <w:pPr>
              <w:tabs>
                <w:tab w:val="left" w:pos="2327"/>
              </w:tabs>
              <w:jc w:val="both"/>
              <w:cnfStyle w:val="000000000000" w:firstRow="0" w:lastRow="0" w:firstColumn="0" w:lastColumn="0" w:oddVBand="0" w:evenVBand="0" w:oddHBand="0" w:evenHBand="0" w:firstRowFirstColumn="0" w:firstRowLastColumn="0" w:lastRowFirstColumn="0" w:lastRowLastColumn="0"/>
              <w:rPr>
                <w:b/>
                <w:sz w:val="20"/>
                <w:szCs w:val="20"/>
              </w:rPr>
            </w:pPr>
          </w:p>
        </w:tc>
      </w:tr>
      <w:tr w:rsidR="0053643E" w:rsidRPr="001A0B2B" w14:paraId="64F6F59A" w14:textId="77777777">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2430" w:type="dxa"/>
          </w:tcPr>
          <w:p w14:paraId="483F5C6B" w14:textId="61B64C98" w:rsidR="0053643E" w:rsidRDefault="0053643E" w:rsidP="0053643E">
            <w:pPr>
              <w:jc w:val="both"/>
            </w:pPr>
            <w:r>
              <w:t>Compliance Frameworks</w:t>
            </w:r>
          </w:p>
        </w:tc>
        <w:tc>
          <w:tcPr>
            <w:tcW w:w="8343" w:type="dxa"/>
          </w:tcPr>
          <w:p w14:paraId="41C95CB9" w14:textId="71AE0105" w:rsidR="0053643E" w:rsidRPr="0053643E" w:rsidRDefault="0053643E" w:rsidP="0053643E">
            <w:pPr>
              <w:jc w:val="both"/>
              <w:cnfStyle w:val="000000100000" w:firstRow="0" w:lastRow="0" w:firstColumn="0" w:lastColumn="0" w:oddVBand="0" w:evenVBand="0" w:oddHBand="1" w:evenHBand="0" w:firstRowFirstColumn="0" w:firstRowLastColumn="0" w:lastRowFirstColumn="0" w:lastRowLastColumn="0"/>
              <w:rPr>
                <w:b/>
                <w:bCs/>
              </w:rPr>
            </w:pPr>
            <w:r w:rsidRPr="0053643E">
              <w:rPr>
                <w:b/>
                <w:bCs/>
              </w:rPr>
              <w:t>PCI-DSS, PSD2, RBI Payments Guidelines, Card Network Mandates.</w:t>
            </w:r>
          </w:p>
        </w:tc>
      </w:tr>
      <w:tr w:rsidR="00380D8C" w:rsidRPr="001A0B2B" w14:paraId="6204671F" w14:textId="77777777">
        <w:trPr>
          <w:trHeight w:val="87"/>
        </w:trPr>
        <w:tc>
          <w:tcPr>
            <w:cnfStyle w:val="001000000000" w:firstRow="0" w:lastRow="0" w:firstColumn="1" w:lastColumn="0" w:oddVBand="0" w:evenVBand="0" w:oddHBand="0" w:evenHBand="0" w:firstRowFirstColumn="0" w:firstRowLastColumn="0" w:lastRowFirstColumn="0" w:lastRowLastColumn="0"/>
            <w:tcW w:w="2430" w:type="dxa"/>
          </w:tcPr>
          <w:p w14:paraId="63B455E7" w14:textId="685CA33E" w:rsidR="00380D8C" w:rsidRDefault="00380D8C" w:rsidP="00380D8C">
            <w:pPr>
              <w:jc w:val="both"/>
            </w:pPr>
            <w:r w:rsidRPr="00380D8C">
              <w:t>Product Expertise</w:t>
            </w:r>
          </w:p>
        </w:tc>
        <w:tc>
          <w:tcPr>
            <w:tcW w:w="8343" w:type="dxa"/>
          </w:tcPr>
          <w:p w14:paraId="1850777B" w14:textId="774B1074" w:rsidR="00380D8C" w:rsidRPr="0053643E" w:rsidRDefault="00380D8C" w:rsidP="00380D8C">
            <w:pPr>
              <w:jc w:val="both"/>
              <w:cnfStyle w:val="000000000000" w:firstRow="0" w:lastRow="0" w:firstColumn="0" w:lastColumn="0" w:oddVBand="0" w:evenVBand="0" w:oddHBand="0" w:evenHBand="0" w:firstRowFirstColumn="0" w:firstRowLastColumn="0" w:lastRowFirstColumn="0" w:lastRowLastColumn="0"/>
              <w:rPr>
                <w:b/>
                <w:bCs/>
              </w:rPr>
            </w:pPr>
            <w:r w:rsidRPr="00380D8C">
              <w:rPr>
                <w:b/>
                <w:bCs/>
              </w:rPr>
              <w:t>Fixed Income Securities (Bonds, T-Bills, Notes), Money Market Instruments (CDs, Commercial Paper, Repos, Eurodollar Deposits), Derivatives (Swaps, Futures, Options).</w:t>
            </w:r>
          </w:p>
        </w:tc>
      </w:tr>
    </w:tbl>
    <w:p w14:paraId="61420F82" w14:textId="77777777" w:rsidR="0073374E" w:rsidRDefault="0073374E" w:rsidP="008C2C20">
      <w:pPr>
        <w:jc w:val="both"/>
        <w:rPr>
          <w:b/>
          <w:bCs/>
          <w:color w:val="0F4761" w:themeColor="accent1" w:themeShade="BF"/>
          <w:sz w:val="20"/>
          <w:szCs w:val="20"/>
          <w:u w:val="single"/>
        </w:rPr>
      </w:pPr>
    </w:p>
    <w:p w14:paraId="5F8C7379" w14:textId="6E97AD2A" w:rsidR="008C2C20" w:rsidRPr="00E6395B" w:rsidRDefault="008C2C20" w:rsidP="00E6395B">
      <w:pPr>
        <w:jc w:val="both"/>
        <w:rPr>
          <w:b/>
          <w:bCs/>
          <w:color w:val="0F4761" w:themeColor="accent1" w:themeShade="BF"/>
          <w:sz w:val="20"/>
          <w:szCs w:val="20"/>
          <w:u w:val="single"/>
        </w:rPr>
      </w:pPr>
      <w:r w:rsidRPr="00594058">
        <w:rPr>
          <w:b/>
          <w:bCs/>
          <w:color w:val="0F4761" w:themeColor="accent1" w:themeShade="BF"/>
          <w:sz w:val="20"/>
          <w:szCs w:val="20"/>
          <w:u w:val="single"/>
        </w:rPr>
        <w:t>PROFESSIONAL EXPERIENCE</w:t>
      </w:r>
    </w:p>
    <w:p w14:paraId="21F10823" w14:textId="6E95D3A8" w:rsidR="0059009E" w:rsidRPr="0059009E" w:rsidRDefault="0059009E" w:rsidP="0059009E">
      <w:pPr>
        <w:pBdr>
          <w:top w:val="single" w:sz="4" w:space="1" w:color="auto"/>
          <w:left w:val="single" w:sz="4" w:space="4" w:color="auto"/>
          <w:bottom w:val="single" w:sz="4" w:space="1" w:color="auto"/>
          <w:right w:val="single" w:sz="4" w:space="4" w:color="auto"/>
        </w:pBdr>
        <w:rPr>
          <w:b/>
          <w:bCs/>
          <w:sz w:val="20"/>
          <w:szCs w:val="20"/>
          <w:lang w:val="en-IN"/>
        </w:rPr>
      </w:pPr>
      <w:r w:rsidRPr="0059009E">
        <w:rPr>
          <w:b/>
          <w:bCs/>
          <w:sz w:val="20"/>
          <w:szCs w:val="20"/>
          <w:lang w:val="en-IN"/>
        </w:rPr>
        <w:t>Affinity Plus Federal Credit Union –</w:t>
      </w:r>
      <w:r>
        <w:rPr>
          <w:b/>
          <w:bCs/>
          <w:sz w:val="20"/>
          <w:szCs w:val="20"/>
          <w:lang w:val="en-IN"/>
        </w:rPr>
        <w:t xml:space="preserve"> </w:t>
      </w:r>
      <w:r w:rsidRPr="0059009E">
        <w:rPr>
          <w:b/>
          <w:bCs/>
          <w:sz w:val="20"/>
          <w:szCs w:val="20"/>
          <w:lang w:val="en-IN"/>
        </w:rPr>
        <w:t>St. Paul, MN</w:t>
      </w:r>
      <w:r>
        <w:rPr>
          <w:b/>
          <w:bCs/>
          <w:sz w:val="20"/>
          <w:szCs w:val="20"/>
          <w:lang w:val="en-IN"/>
        </w:rPr>
        <w:t xml:space="preserve">                                                                                </w:t>
      </w:r>
      <w:r w:rsidRPr="0059009E">
        <w:rPr>
          <w:b/>
          <w:bCs/>
          <w:sz w:val="20"/>
          <w:szCs w:val="20"/>
          <w:lang w:val="en-IN"/>
        </w:rPr>
        <w:t xml:space="preserve"> (September 2024 – Present)</w:t>
      </w:r>
      <w:r w:rsidRPr="0059009E">
        <w:rPr>
          <w:b/>
          <w:bCs/>
          <w:sz w:val="20"/>
          <w:szCs w:val="20"/>
          <w:lang w:val="en-IN"/>
        </w:rPr>
        <w:br/>
      </w:r>
      <w:r w:rsidRPr="0059009E">
        <w:rPr>
          <w:sz w:val="20"/>
          <w:szCs w:val="20"/>
          <w:lang w:val="en-IN"/>
        </w:rPr>
        <w:t xml:space="preserve">Senior Business </w:t>
      </w:r>
      <w:r w:rsidR="00BD489A">
        <w:rPr>
          <w:sz w:val="20"/>
          <w:szCs w:val="20"/>
          <w:lang w:val="en-IN"/>
        </w:rPr>
        <w:t xml:space="preserve">System </w:t>
      </w:r>
      <w:r w:rsidRPr="0059009E">
        <w:rPr>
          <w:sz w:val="20"/>
          <w:szCs w:val="20"/>
          <w:lang w:val="en-IN"/>
        </w:rPr>
        <w:t>Analyst</w:t>
      </w:r>
    </w:p>
    <w:p w14:paraId="36D1FBE9" w14:textId="7AFDCA9F" w:rsidR="0059009E" w:rsidRPr="0059009E" w:rsidRDefault="0059009E" w:rsidP="00DF1A6F">
      <w:pPr>
        <w:pBdr>
          <w:top w:val="single" w:sz="4" w:space="1" w:color="auto"/>
          <w:left w:val="single" w:sz="4" w:space="4" w:color="auto"/>
          <w:bottom w:val="single" w:sz="4" w:space="1" w:color="auto"/>
          <w:right w:val="single" w:sz="4" w:space="4" w:color="auto"/>
        </w:pBdr>
        <w:rPr>
          <w:b/>
          <w:bCs/>
          <w:sz w:val="20"/>
          <w:szCs w:val="20"/>
          <w:lang w:val="en-IN"/>
        </w:rPr>
      </w:pPr>
      <w:r w:rsidRPr="0059009E">
        <w:rPr>
          <w:b/>
          <w:bCs/>
          <w:sz w:val="20"/>
          <w:szCs w:val="20"/>
          <w:u w:val="single"/>
          <w:lang w:val="en-IN"/>
        </w:rPr>
        <w:t>Project Description:</w:t>
      </w:r>
      <w:r>
        <w:rPr>
          <w:b/>
          <w:bCs/>
          <w:sz w:val="20"/>
          <w:szCs w:val="20"/>
          <w:lang w:val="en-IN"/>
        </w:rPr>
        <w:t xml:space="preserve"> </w:t>
      </w:r>
      <w:r w:rsidR="00DF1A6F" w:rsidRPr="00DF1A6F">
        <w:rPr>
          <w:b/>
          <w:bCs/>
          <w:sz w:val="20"/>
          <w:szCs w:val="20"/>
        </w:rPr>
        <w:t>Partnered with Lumin Digital to support a multi-year digital platform transformation while acting as a Business Systems Analyst aligned to accounting, financial controls, and insurance-adjacent reporting workflows. The engagement focused on ensuring data integrity, subledger-to-GL alignment, reconciliation accuracy, audit readiness, and compliant financial reporting for member-facing features impacting transaction accounting, balances, interest calculations, and regulatory disclosures, operating within a controlled SDLC and governance framework</w:t>
      </w:r>
      <w:r w:rsidRPr="0059009E">
        <w:rPr>
          <w:b/>
          <w:bCs/>
          <w:sz w:val="20"/>
          <w:szCs w:val="20"/>
          <w:lang w:val="en-IN"/>
        </w:rPr>
        <w:t>.</w:t>
      </w:r>
    </w:p>
    <w:p w14:paraId="3D4C2BF8" w14:textId="77777777" w:rsidR="0059009E" w:rsidRPr="001A0B2B" w:rsidRDefault="0059009E" w:rsidP="0059009E">
      <w:pPr>
        <w:jc w:val="both"/>
        <w:rPr>
          <w:b/>
          <w:bCs/>
          <w:sz w:val="20"/>
          <w:szCs w:val="20"/>
          <w:u w:val="single"/>
        </w:rPr>
      </w:pPr>
      <w:r w:rsidRPr="00594058">
        <w:rPr>
          <w:b/>
          <w:bCs/>
          <w:color w:val="0F4761" w:themeColor="accent1" w:themeShade="BF"/>
          <w:sz w:val="20"/>
          <w:szCs w:val="20"/>
          <w:u w:val="single"/>
        </w:rPr>
        <w:t>Roles and Responsibilities</w:t>
      </w:r>
      <w:r w:rsidRPr="001A0B2B">
        <w:rPr>
          <w:b/>
          <w:bCs/>
          <w:sz w:val="20"/>
          <w:szCs w:val="20"/>
          <w:u w:val="single"/>
        </w:rPr>
        <w:t>:</w:t>
      </w:r>
    </w:p>
    <w:p w14:paraId="28A7FBC9" w14:textId="693B2CEF" w:rsidR="00DF1A6F" w:rsidRPr="002F781E" w:rsidRDefault="00DF1A6F" w:rsidP="00DF1A6F">
      <w:pPr>
        <w:pStyle w:val="ListParagraph"/>
        <w:numPr>
          <w:ilvl w:val="0"/>
          <w:numId w:val="55"/>
        </w:numPr>
        <w:jc w:val="both"/>
        <w:rPr>
          <w:sz w:val="20"/>
          <w:szCs w:val="20"/>
          <w:lang w:val="en-IN"/>
        </w:rPr>
      </w:pPr>
      <w:r w:rsidRPr="002F781E">
        <w:rPr>
          <w:sz w:val="20"/>
          <w:szCs w:val="20"/>
          <w:lang w:val="en-IN"/>
        </w:rPr>
        <w:t>Partnered closely with Accounting, Finance, Risk, and Product Control teams to gather, analyze, and document business requirements ensuring member transaction data, balances, and interest calculations aligned accurately between operational systems, subledgers, and the General Ledger, supporting accounting integrity and downstream reporting.</w:t>
      </w:r>
    </w:p>
    <w:p w14:paraId="4F732563" w14:textId="212E101E" w:rsidR="00DF1A6F" w:rsidRPr="002F781E" w:rsidRDefault="00DF1A6F" w:rsidP="00DF1A6F">
      <w:pPr>
        <w:pStyle w:val="ListParagraph"/>
        <w:numPr>
          <w:ilvl w:val="0"/>
          <w:numId w:val="55"/>
        </w:numPr>
        <w:jc w:val="both"/>
        <w:rPr>
          <w:sz w:val="20"/>
          <w:szCs w:val="20"/>
          <w:lang w:val="en-IN"/>
        </w:rPr>
      </w:pPr>
      <w:r w:rsidRPr="002F781E">
        <w:rPr>
          <w:sz w:val="20"/>
          <w:szCs w:val="20"/>
          <w:lang w:val="en-IN"/>
        </w:rPr>
        <w:t>Defined and documented AS-IS and TO-BE business processes using BPMN 2.0 (Visio, Lucidchart) for financial data flows, reconciliation checkpoints, exception handling, and control validations, identifying gaps and automation opportunities aligned with financial governance and audit standards.</w:t>
      </w:r>
    </w:p>
    <w:p w14:paraId="0F6E18DD" w14:textId="63416155" w:rsidR="00DF1A6F" w:rsidRPr="002F781E" w:rsidRDefault="00DF1A6F" w:rsidP="00DF1A6F">
      <w:pPr>
        <w:pStyle w:val="ListParagraph"/>
        <w:numPr>
          <w:ilvl w:val="0"/>
          <w:numId w:val="55"/>
        </w:numPr>
        <w:jc w:val="both"/>
        <w:rPr>
          <w:sz w:val="20"/>
          <w:szCs w:val="20"/>
          <w:lang w:val="en-IN"/>
        </w:rPr>
      </w:pPr>
      <w:r w:rsidRPr="002F781E">
        <w:rPr>
          <w:sz w:val="20"/>
          <w:szCs w:val="20"/>
          <w:lang w:val="en-IN"/>
        </w:rPr>
        <w:t>Led requirements elicitation sessions (workshops, JADs, SME interviews) to translate accounting and reporting needs into BRDs, functional specifications, RTMs, and user stories, ensuring traceability across system design, development, testing, and deployment.</w:t>
      </w:r>
    </w:p>
    <w:p w14:paraId="0DBC9E38" w14:textId="019885F3" w:rsidR="00DF1A6F" w:rsidRPr="002F781E" w:rsidRDefault="00DF1A6F" w:rsidP="00DF1A6F">
      <w:pPr>
        <w:pStyle w:val="ListParagraph"/>
        <w:numPr>
          <w:ilvl w:val="0"/>
          <w:numId w:val="55"/>
        </w:numPr>
        <w:jc w:val="both"/>
        <w:rPr>
          <w:sz w:val="20"/>
          <w:szCs w:val="20"/>
          <w:lang w:val="en-IN"/>
        </w:rPr>
      </w:pPr>
      <w:r w:rsidRPr="002F781E">
        <w:rPr>
          <w:sz w:val="20"/>
          <w:szCs w:val="20"/>
          <w:lang w:val="en-IN"/>
        </w:rPr>
        <w:t>Ensured compliance with SOX, SEC, and financial data-privacy standards by embedding control points, approval workflows, retention rules, and audit trails into system requirements and acceptance criteria, supporting regulatory examinations and internal audits.</w:t>
      </w:r>
    </w:p>
    <w:p w14:paraId="180E8C35" w14:textId="4DE8BB14" w:rsidR="00DF1A6F" w:rsidRPr="002F781E" w:rsidRDefault="00DF1A6F" w:rsidP="00DF1A6F">
      <w:pPr>
        <w:pStyle w:val="ListParagraph"/>
        <w:numPr>
          <w:ilvl w:val="0"/>
          <w:numId w:val="55"/>
        </w:numPr>
        <w:jc w:val="both"/>
        <w:rPr>
          <w:sz w:val="20"/>
          <w:szCs w:val="20"/>
          <w:lang w:val="en-IN"/>
        </w:rPr>
      </w:pPr>
      <w:r w:rsidRPr="002F781E">
        <w:rPr>
          <w:sz w:val="20"/>
          <w:szCs w:val="20"/>
          <w:lang w:val="en-IN"/>
        </w:rPr>
        <w:t>Collaborated with data engineering teams to validate financial data pipelines, ensuring accurate transformation and ingestion of transactional data into Snowflake, with clear lineage between source systems, subledgers, and reporting layers.</w:t>
      </w:r>
    </w:p>
    <w:p w14:paraId="01259A22" w14:textId="763757AC" w:rsidR="00DF1A6F" w:rsidRPr="002F781E" w:rsidRDefault="00DF1A6F" w:rsidP="00DF1A6F">
      <w:pPr>
        <w:pStyle w:val="ListParagraph"/>
        <w:numPr>
          <w:ilvl w:val="0"/>
          <w:numId w:val="55"/>
        </w:numPr>
        <w:jc w:val="both"/>
        <w:rPr>
          <w:sz w:val="20"/>
          <w:szCs w:val="20"/>
          <w:lang w:val="en-IN"/>
        </w:rPr>
      </w:pPr>
      <w:r w:rsidRPr="002F781E">
        <w:rPr>
          <w:sz w:val="20"/>
          <w:szCs w:val="20"/>
          <w:lang w:val="en-IN"/>
        </w:rPr>
        <w:t>Designed and validated SQL-based reconciliation logic to confirm accuracy of balances, transaction postings, interest accruals, and historical adjustments, proactively identifying breaks and partnering with controllers to resolve discrepancies.</w:t>
      </w:r>
    </w:p>
    <w:p w14:paraId="1A96CBC4" w14:textId="6FC3B166" w:rsidR="00DF1A6F" w:rsidRPr="002F781E" w:rsidRDefault="00DF1A6F" w:rsidP="00DF1A6F">
      <w:pPr>
        <w:pStyle w:val="ListParagraph"/>
        <w:numPr>
          <w:ilvl w:val="0"/>
          <w:numId w:val="55"/>
        </w:numPr>
        <w:jc w:val="both"/>
        <w:rPr>
          <w:sz w:val="20"/>
          <w:szCs w:val="20"/>
          <w:lang w:val="en-IN"/>
        </w:rPr>
      </w:pPr>
      <w:r w:rsidRPr="002F781E">
        <w:rPr>
          <w:sz w:val="20"/>
          <w:szCs w:val="20"/>
          <w:lang w:val="en-IN"/>
        </w:rPr>
        <w:t>Supported Subledger-to-GL alignment initiatives by mapping transactional events to accounting outcomes, validating posting logic, and ensuring consistent representation of balances across reporting and analytical platforms.</w:t>
      </w:r>
    </w:p>
    <w:p w14:paraId="2613E7A3" w14:textId="0628A3E6" w:rsidR="00DF1A6F" w:rsidRPr="002F781E" w:rsidRDefault="00DF1A6F" w:rsidP="00DF1A6F">
      <w:pPr>
        <w:pStyle w:val="ListParagraph"/>
        <w:numPr>
          <w:ilvl w:val="0"/>
          <w:numId w:val="55"/>
        </w:numPr>
        <w:jc w:val="both"/>
        <w:rPr>
          <w:sz w:val="20"/>
          <w:szCs w:val="20"/>
          <w:lang w:val="en-IN"/>
        </w:rPr>
      </w:pPr>
      <w:r w:rsidRPr="002F781E">
        <w:rPr>
          <w:sz w:val="20"/>
          <w:szCs w:val="20"/>
          <w:lang w:val="en-IN"/>
        </w:rPr>
        <w:lastRenderedPageBreak/>
        <w:t>Performed UAT for accounting-sensitive workflows, developing comprehensive test scenarios and test cases to validate financial accuracy, reconciliation outcomes, and reporting consistency prior to release approvals.</w:t>
      </w:r>
    </w:p>
    <w:p w14:paraId="64AA177D" w14:textId="1F3DE88D" w:rsidR="00DF1A6F" w:rsidRPr="002F781E" w:rsidRDefault="00DF1A6F" w:rsidP="00DF1A6F">
      <w:pPr>
        <w:pStyle w:val="ListParagraph"/>
        <w:numPr>
          <w:ilvl w:val="0"/>
          <w:numId w:val="55"/>
        </w:numPr>
        <w:jc w:val="both"/>
        <w:rPr>
          <w:sz w:val="20"/>
          <w:szCs w:val="20"/>
          <w:lang w:val="en-IN"/>
        </w:rPr>
      </w:pPr>
      <w:r w:rsidRPr="002F781E">
        <w:rPr>
          <w:sz w:val="20"/>
          <w:szCs w:val="20"/>
          <w:lang w:val="en-IN"/>
        </w:rPr>
        <w:t>Managed defect triage and resolution using JIRA, working with developers, QA, and business stakeholders to ensure timely remediation of issues impacting financial calculations, balances, and reporting outputs.</w:t>
      </w:r>
    </w:p>
    <w:p w14:paraId="6C54129A" w14:textId="17985F73" w:rsidR="00DF1A6F" w:rsidRPr="002F781E" w:rsidRDefault="00DF1A6F" w:rsidP="00DF1A6F">
      <w:pPr>
        <w:pStyle w:val="ListParagraph"/>
        <w:numPr>
          <w:ilvl w:val="0"/>
          <w:numId w:val="55"/>
        </w:numPr>
        <w:jc w:val="both"/>
        <w:rPr>
          <w:sz w:val="20"/>
          <w:szCs w:val="20"/>
          <w:lang w:val="en-IN"/>
        </w:rPr>
      </w:pPr>
      <w:r w:rsidRPr="002F781E">
        <w:rPr>
          <w:sz w:val="20"/>
          <w:szCs w:val="20"/>
          <w:lang w:val="en-IN"/>
        </w:rPr>
        <w:t>Developed and maintained Data Mapping Specifications, Data Dictionaries, and Data Glossaries, ensuring common financial definitions across Accounting, IT, and business teams while supporting audit and operational transparency.</w:t>
      </w:r>
    </w:p>
    <w:p w14:paraId="705A8D96" w14:textId="5A3A8B7E" w:rsidR="00DF1A6F" w:rsidRPr="002F781E" w:rsidRDefault="00DF1A6F" w:rsidP="00DF1A6F">
      <w:pPr>
        <w:pStyle w:val="ListParagraph"/>
        <w:numPr>
          <w:ilvl w:val="0"/>
          <w:numId w:val="55"/>
        </w:numPr>
        <w:jc w:val="both"/>
        <w:rPr>
          <w:sz w:val="20"/>
          <w:szCs w:val="20"/>
          <w:lang w:val="en-IN"/>
        </w:rPr>
      </w:pPr>
      <w:r w:rsidRPr="002F781E">
        <w:rPr>
          <w:sz w:val="20"/>
          <w:szCs w:val="20"/>
          <w:lang w:val="en-IN"/>
        </w:rPr>
        <w:t>Collaborated with risk and compliance stakeholders to validate that financial features adhered to internal control frameworks, segregation of duties, and governance requirements throughout the SDLC.</w:t>
      </w:r>
    </w:p>
    <w:p w14:paraId="5CF6A635" w14:textId="365657D0" w:rsidR="00DF1A6F" w:rsidRPr="002F781E" w:rsidRDefault="00DF1A6F" w:rsidP="00DF1A6F">
      <w:pPr>
        <w:pStyle w:val="ListParagraph"/>
        <w:numPr>
          <w:ilvl w:val="0"/>
          <w:numId w:val="55"/>
        </w:numPr>
        <w:jc w:val="both"/>
        <w:rPr>
          <w:sz w:val="20"/>
          <w:szCs w:val="20"/>
          <w:lang w:val="en-IN"/>
        </w:rPr>
      </w:pPr>
      <w:r w:rsidRPr="002F781E">
        <w:rPr>
          <w:sz w:val="20"/>
          <w:szCs w:val="20"/>
          <w:lang w:val="en-IN"/>
        </w:rPr>
        <w:t>Produced executive-level Power BI dashboards and reports presenting financial KPIs, reconciliation status, exception trends, and operational metrics, improving visibility for Finance, Risk, and senior leadership.</w:t>
      </w:r>
    </w:p>
    <w:p w14:paraId="7D531CB0" w14:textId="7B40F0EC" w:rsidR="00DF1A6F" w:rsidRPr="002F781E" w:rsidRDefault="00DF1A6F" w:rsidP="00DF1A6F">
      <w:pPr>
        <w:pStyle w:val="ListParagraph"/>
        <w:numPr>
          <w:ilvl w:val="0"/>
          <w:numId w:val="55"/>
        </w:numPr>
        <w:jc w:val="both"/>
        <w:rPr>
          <w:sz w:val="20"/>
          <w:szCs w:val="20"/>
          <w:lang w:val="en-IN"/>
        </w:rPr>
      </w:pPr>
      <w:r w:rsidRPr="002F781E">
        <w:rPr>
          <w:sz w:val="20"/>
          <w:szCs w:val="20"/>
          <w:lang w:val="en-IN"/>
        </w:rPr>
        <w:t>Supported change management activities by assessing accounting and reporting impacts of enhancements, documenting changes, and ensuring controlled deployment with minimal disruption to financial operations.</w:t>
      </w:r>
    </w:p>
    <w:p w14:paraId="7880792E" w14:textId="68D72367" w:rsidR="00DF1A6F" w:rsidRPr="002F781E" w:rsidRDefault="00DF1A6F" w:rsidP="00DF1A6F">
      <w:pPr>
        <w:pStyle w:val="ListParagraph"/>
        <w:numPr>
          <w:ilvl w:val="0"/>
          <w:numId w:val="55"/>
        </w:numPr>
        <w:jc w:val="both"/>
        <w:rPr>
          <w:sz w:val="20"/>
          <w:szCs w:val="20"/>
          <w:lang w:val="en-IN"/>
        </w:rPr>
      </w:pPr>
      <w:r w:rsidRPr="002F781E">
        <w:rPr>
          <w:sz w:val="20"/>
          <w:szCs w:val="20"/>
          <w:lang w:val="en-IN"/>
        </w:rPr>
        <w:t>Maintained comprehensive SDLC documentation including process flows, control mappings, UAT evidence, API validation logs, and RTMs within Confluence and SharePoint, ensuring long-term maintainability and audit readiness.</w:t>
      </w:r>
    </w:p>
    <w:p w14:paraId="73B5D39E" w14:textId="023B3EE3" w:rsidR="00DF1A6F" w:rsidRPr="00DF1A6F" w:rsidRDefault="00DF1A6F" w:rsidP="00DF1A6F">
      <w:pPr>
        <w:pStyle w:val="ListParagraph"/>
        <w:numPr>
          <w:ilvl w:val="0"/>
          <w:numId w:val="55"/>
        </w:numPr>
        <w:jc w:val="both"/>
        <w:rPr>
          <w:sz w:val="20"/>
          <w:szCs w:val="20"/>
          <w:lang w:val="en-IN"/>
        </w:rPr>
      </w:pPr>
      <w:r w:rsidRPr="002F781E">
        <w:rPr>
          <w:sz w:val="20"/>
          <w:szCs w:val="20"/>
          <w:lang w:val="en-IN"/>
        </w:rPr>
        <w:t>Collaborated cross-functionally with cloud, data, and UX teams to ensure that member-facing enhancements were underpinned by accurate financial logic, compliant data handling, and controlled accounting outcomes</w:t>
      </w:r>
      <w:r w:rsidRPr="00DF1A6F">
        <w:rPr>
          <w:sz w:val="20"/>
          <w:szCs w:val="20"/>
          <w:lang w:val="en-IN"/>
        </w:rPr>
        <w:t>.</w:t>
      </w:r>
    </w:p>
    <w:p w14:paraId="0FD7F431" w14:textId="558A9B90" w:rsidR="002E441F" w:rsidRPr="00DF1A6F" w:rsidRDefault="00DF1A6F" w:rsidP="00DF1A6F">
      <w:pPr>
        <w:jc w:val="both"/>
        <w:rPr>
          <w:sz w:val="20"/>
          <w:szCs w:val="20"/>
          <w:lang w:val="en-IN"/>
        </w:rPr>
      </w:pPr>
      <w:r w:rsidRPr="00DF1A6F">
        <w:rPr>
          <w:b/>
          <w:bCs/>
          <w:sz w:val="20"/>
          <w:szCs w:val="20"/>
          <w:lang w:val="en-IN"/>
        </w:rPr>
        <w:t>Environment</w:t>
      </w:r>
      <w:r>
        <w:rPr>
          <w:b/>
          <w:bCs/>
          <w:sz w:val="20"/>
          <w:szCs w:val="20"/>
          <w:lang w:val="en-IN"/>
        </w:rPr>
        <w:t xml:space="preserve">: </w:t>
      </w:r>
      <w:r w:rsidRPr="00DF1A6F">
        <w:rPr>
          <w:b/>
          <w:bCs/>
          <w:sz w:val="20"/>
          <w:szCs w:val="20"/>
          <w:lang w:val="en-IN"/>
        </w:rPr>
        <w:t>Agile Scrum</w:t>
      </w:r>
      <w:r w:rsidRPr="00DF1A6F">
        <w:rPr>
          <w:sz w:val="20"/>
          <w:szCs w:val="20"/>
          <w:lang w:val="en-IN"/>
        </w:rPr>
        <w:t xml:space="preserve">, </w:t>
      </w:r>
      <w:r w:rsidRPr="00DF1A6F">
        <w:rPr>
          <w:b/>
          <w:bCs/>
          <w:sz w:val="20"/>
          <w:szCs w:val="20"/>
          <w:lang w:val="en-IN"/>
        </w:rPr>
        <w:t>AWS (Lex, Bedrock, Lambda, S3, API Gateway, Transcribe)</w:t>
      </w:r>
      <w:r w:rsidRPr="00DF1A6F">
        <w:rPr>
          <w:sz w:val="20"/>
          <w:szCs w:val="20"/>
          <w:lang w:val="en-IN"/>
        </w:rPr>
        <w:t xml:space="preserve">, </w:t>
      </w:r>
      <w:r w:rsidRPr="00DF1A6F">
        <w:rPr>
          <w:b/>
          <w:bCs/>
          <w:sz w:val="20"/>
          <w:szCs w:val="20"/>
          <w:lang w:val="en-IN"/>
        </w:rPr>
        <w:t>Snowflake</w:t>
      </w:r>
      <w:r w:rsidRPr="00DF1A6F">
        <w:rPr>
          <w:sz w:val="20"/>
          <w:szCs w:val="20"/>
          <w:lang w:val="en-IN"/>
        </w:rPr>
        <w:t xml:space="preserve">, </w:t>
      </w:r>
      <w:r w:rsidRPr="00DF1A6F">
        <w:rPr>
          <w:b/>
          <w:bCs/>
          <w:sz w:val="20"/>
          <w:szCs w:val="20"/>
          <w:lang w:val="en-IN"/>
        </w:rPr>
        <w:t>Microsoft SQL Server</w:t>
      </w:r>
      <w:r w:rsidRPr="00DF1A6F">
        <w:rPr>
          <w:sz w:val="20"/>
          <w:szCs w:val="20"/>
          <w:lang w:val="en-IN"/>
        </w:rPr>
        <w:t xml:space="preserve">, </w:t>
      </w:r>
      <w:r w:rsidRPr="00DF1A6F">
        <w:rPr>
          <w:b/>
          <w:bCs/>
          <w:sz w:val="20"/>
          <w:szCs w:val="20"/>
          <w:lang w:val="en-IN"/>
        </w:rPr>
        <w:t>Oracle RDBMS</w:t>
      </w:r>
      <w:r w:rsidRPr="00DF1A6F">
        <w:rPr>
          <w:sz w:val="20"/>
          <w:szCs w:val="20"/>
          <w:lang w:val="en-IN"/>
        </w:rPr>
        <w:t xml:space="preserve">, </w:t>
      </w:r>
      <w:r w:rsidRPr="00DF1A6F">
        <w:rPr>
          <w:b/>
          <w:bCs/>
          <w:sz w:val="20"/>
          <w:szCs w:val="20"/>
          <w:lang w:val="en-IN"/>
        </w:rPr>
        <w:t>SSIS</w:t>
      </w:r>
      <w:r w:rsidRPr="00DF1A6F">
        <w:rPr>
          <w:sz w:val="20"/>
          <w:szCs w:val="20"/>
          <w:lang w:val="en-IN"/>
        </w:rPr>
        <w:t xml:space="preserve">, </w:t>
      </w:r>
      <w:r w:rsidRPr="00DF1A6F">
        <w:rPr>
          <w:b/>
          <w:bCs/>
          <w:sz w:val="20"/>
          <w:szCs w:val="20"/>
          <w:lang w:val="en-IN"/>
        </w:rPr>
        <w:t>Python (Pandas, NumPy)</w:t>
      </w:r>
      <w:r w:rsidRPr="00DF1A6F">
        <w:rPr>
          <w:sz w:val="20"/>
          <w:szCs w:val="20"/>
          <w:lang w:val="en-IN"/>
        </w:rPr>
        <w:t xml:space="preserve">, </w:t>
      </w:r>
      <w:r w:rsidRPr="00DF1A6F">
        <w:rPr>
          <w:b/>
          <w:bCs/>
          <w:sz w:val="20"/>
          <w:szCs w:val="20"/>
          <w:lang w:val="en-IN"/>
        </w:rPr>
        <w:t>Docker</w:t>
      </w:r>
      <w:r w:rsidRPr="00DF1A6F">
        <w:rPr>
          <w:sz w:val="20"/>
          <w:szCs w:val="20"/>
          <w:lang w:val="en-IN"/>
        </w:rPr>
        <w:t xml:space="preserve">, </w:t>
      </w:r>
      <w:r w:rsidRPr="00DF1A6F">
        <w:rPr>
          <w:b/>
          <w:bCs/>
          <w:sz w:val="20"/>
          <w:szCs w:val="20"/>
          <w:lang w:val="en-IN"/>
        </w:rPr>
        <w:t>Postman</w:t>
      </w:r>
      <w:r w:rsidRPr="00DF1A6F">
        <w:rPr>
          <w:sz w:val="20"/>
          <w:szCs w:val="20"/>
          <w:lang w:val="en-IN"/>
        </w:rPr>
        <w:t xml:space="preserve">, </w:t>
      </w:r>
      <w:r w:rsidRPr="00DF1A6F">
        <w:rPr>
          <w:b/>
          <w:bCs/>
          <w:sz w:val="20"/>
          <w:szCs w:val="20"/>
          <w:lang w:val="en-IN"/>
        </w:rPr>
        <w:t>Swagger</w:t>
      </w:r>
      <w:r w:rsidRPr="00DF1A6F">
        <w:rPr>
          <w:sz w:val="20"/>
          <w:szCs w:val="20"/>
          <w:lang w:val="en-IN"/>
        </w:rPr>
        <w:t xml:space="preserve">, </w:t>
      </w:r>
      <w:r w:rsidRPr="00DF1A6F">
        <w:rPr>
          <w:b/>
          <w:bCs/>
          <w:sz w:val="20"/>
          <w:szCs w:val="20"/>
          <w:lang w:val="en-IN"/>
        </w:rPr>
        <w:t>JIRA</w:t>
      </w:r>
      <w:r w:rsidRPr="00DF1A6F">
        <w:rPr>
          <w:sz w:val="20"/>
          <w:szCs w:val="20"/>
          <w:lang w:val="en-IN"/>
        </w:rPr>
        <w:t xml:space="preserve">, </w:t>
      </w:r>
      <w:r w:rsidRPr="00DF1A6F">
        <w:rPr>
          <w:b/>
          <w:bCs/>
          <w:sz w:val="20"/>
          <w:szCs w:val="20"/>
          <w:lang w:val="en-IN"/>
        </w:rPr>
        <w:t>Confluence</w:t>
      </w:r>
      <w:r w:rsidRPr="00DF1A6F">
        <w:rPr>
          <w:sz w:val="20"/>
          <w:szCs w:val="20"/>
          <w:lang w:val="en-IN"/>
        </w:rPr>
        <w:t xml:space="preserve">, </w:t>
      </w:r>
      <w:r w:rsidRPr="00DF1A6F">
        <w:rPr>
          <w:b/>
          <w:bCs/>
          <w:sz w:val="20"/>
          <w:szCs w:val="20"/>
          <w:lang w:val="en-IN"/>
        </w:rPr>
        <w:t>SharePoint</w:t>
      </w:r>
      <w:r w:rsidRPr="00DF1A6F">
        <w:rPr>
          <w:sz w:val="20"/>
          <w:szCs w:val="20"/>
          <w:lang w:val="en-IN"/>
        </w:rPr>
        <w:t xml:space="preserve">, </w:t>
      </w:r>
      <w:r w:rsidRPr="00DF1A6F">
        <w:rPr>
          <w:b/>
          <w:bCs/>
          <w:sz w:val="20"/>
          <w:szCs w:val="20"/>
          <w:lang w:val="en-IN"/>
        </w:rPr>
        <w:t>Visio</w:t>
      </w:r>
      <w:r w:rsidRPr="00DF1A6F">
        <w:rPr>
          <w:sz w:val="20"/>
          <w:szCs w:val="20"/>
          <w:lang w:val="en-IN"/>
        </w:rPr>
        <w:t xml:space="preserve">, </w:t>
      </w:r>
      <w:r w:rsidRPr="00DF1A6F">
        <w:rPr>
          <w:b/>
          <w:bCs/>
          <w:sz w:val="20"/>
          <w:szCs w:val="20"/>
          <w:lang w:val="en-IN"/>
        </w:rPr>
        <w:t>Lucidchart</w:t>
      </w:r>
      <w:r w:rsidRPr="00DF1A6F">
        <w:rPr>
          <w:sz w:val="20"/>
          <w:szCs w:val="20"/>
          <w:lang w:val="en-IN"/>
        </w:rPr>
        <w:t xml:space="preserve">, </w:t>
      </w:r>
      <w:r w:rsidRPr="00DF1A6F">
        <w:rPr>
          <w:b/>
          <w:bCs/>
          <w:sz w:val="20"/>
          <w:szCs w:val="20"/>
          <w:lang w:val="en-IN"/>
        </w:rPr>
        <w:t>Power BI</w:t>
      </w:r>
      <w:r w:rsidRPr="00DF1A6F">
        <w:rPr>
          <w:sz w:val="20"/>
          <w:szCs w:val="20"/>
          <w:lang w:val="en-IN"/>
        </w:rPr>
        <w:t xml:space="preserve">, </w:t>
      </w:r>
      <w:r w:rsidRPr="00DF1A6F">
        <w:rPr>
          <w:b/>
          <w:bCs/>
          <w:sz w:val="20"/>
          <w:szCs w:val="20"/>
          <w:lang w:val="en-IN"/>
        </w:rPr>
        <w:t>Financial Controls</w:t>
      </w:r>
      <w:r w:rsidRPr="00DF1A6F">
        <w:rPr>
          <w:sz w:val="20"/>
          <w:szCs w:val="20"/>
          <w:lang w:val="en-IN"/>
        </w:rPr>
        <w:t xml:space="preserve">, </w:t>
      </w:r>
      <w:r w:rsidRPr="00DF1A6F">
        <w:rPr>
          <w:b/>
          <w:bCs/>
          <w:sz w:val="20"/>
          <w:szCs w:val="20"/>
          <w:lang w:val="en-IN"/>
        </w:rPr>
        <w:t>SOX Compliance</w:t>
      </w:r>
      <w:r w:rsidRPr="00DF1A6F">
        <w:rPr>
          <w:sz w:val="20"/>
          <w:szCs w:val="20"/>
          <w:lang w:val="en-IN"/>
        </w:rPr>
        <w:t xml:space="preserve">, </w:t>
      </w:r>
      <w:r w:rsidRPr="00DF1A6F">
        <w:rPr>
          <w:b/>
          <w:bCs/>
          <w:sz w:val="20"/>
          <w:szCs w:val="20"/>
          <w:lang w:val="en-IN"/>
        </w:rPr>
        <w:t>Data Governance</w:t>
      </w:r>
      <w:r>
        <w:rPr>
          <w:sz w:val="20"/>
          <w:szCs w:val="20"/>
          <w:lang w:val="en-IN"/>
        </w:rPr>
        <w:t>.</w:t>
      </w:r>
    </w:p>
    <w:p w14:paraId="2A36D468" w14:textId="23F74BFC" w:rsidR="008C2C20" w:rsidRPr="001A0B2B" w:rsidRDefault="00FF2778" w:rsidP="00FF2778">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rPr>
      </w:pPr>
      <w:r w:rsidRPr="00FF2778">
        <w:rPr>
          <w:b/>
          <w:bCs/>
          <w:sz w:val="20"/>
          <w:szCs w:val="20"/>
        </w:rPr>
        <w:t>BNY Mellon</w:t>
      </w:r>
      <w:r>
        <w:rPr>
          <w:b/>
          <w:bCs/>
          <w:sz w:val="20"/>
          <w:szCs w:val="20"/>
        </w:rPr>
        <w:t xml:space="preserve">, New York     </w:t>
      </w:r>
      <w:r w:rsidR="00C72286">
        <w:rPr>
          <w:b/>
          <w:bCs/>
          <w:sz w:val="20"/>
          <w:szCs w:val="20"/>
        </w:rPr>
        <w:t xml:space="preserve">   </w:t>
      </w:r>
      <w:r w:rsidR="00104B87">
        <w:rPr>
          <w:b/>
          <w:bCs/>
          <w:sz w:val="20"/>
          <w:szCs w:val="20"/>
        </w:rPr>
        <w:t xml:space="preserve">                           </w:t>
      </w:r>
      <w:r w:rsidR="00C72286">
        <w:rPr>
          <w:b/>
          <w:bCs/>
          <w:sz w:val="20"/>
          <w:szCs w:val="20"/>
        </w:rPr>
        <w:t xml:space="preserve"> </w:t>
      </w:r>
      <w:r w:rsidR="008C2C20">
        <w:rPr>
          <w:b/>
          <w:bCs/>
          <w:sz w:val="20"/>
          <w:szCs w:val="20"/>
        </w:rPr>
        <w:t xml:space="preserve">                                                                               </w:t>
      </w:r>
      <w:r w:rsidR="008C2C20" w:rsidRPr="00CA09FC">
        <w:rPr>
          <w:b/>
          <w:bCs/>
          <w:sz w:val="20"/>
          <w:szCs w:val="20"/>
        </w:rPr>
        <w:t>(</w:t>
      </w:r>
      <w:r w:rsidR="00F96DF2">
        <w:rPr>
          <w:b/>
          <w:bCs/>
          <w:sz w:val="20"/>
          <w:szCs w:val="20"/>
        </w:rPr>
        <w:t>December</w:t>
      </w:r>
      <w:r w:rsidR="00246D65">
        <w:rPr>
          <w:b/>
          <w:bCs/>
          <w:sz w:val="20"/>
          <w:szCs w:val="20"/>
        </w:rPr>
        <w:t xml:space="preserve"> 2021-</w:t>
      </w:r>
      <w:r w:rsidR="00FA3966">
        <w:rPr>
          <w:b/>
          <w:bCs/>
          <w:sz w:val="20"/>
          <w:szCs w:val="20"/>
        </w:rPr>
        <w:t xml:space="preserve"> December </w:t>
      </w:r>
      <w:r w:rsidR="00C72286">
        <w:rPr>
          <w:b/>
          <w:bCs/>
          <w:sz w:val="20"/>
          <w:szCs w:val="20"/>
        </w:rPr>
        <w:t>202</w:t>
      </w:r>
      <w:r w:rsidR="00246D65">
        <w:rPr>
          <w:b/>
          <w:bCs/>
          <w:sz w:val="20"/>
          <w:szCs w:val="20"/>
        </w:rPr>
        <w:t>3</w:t>
      </w:r>
      <w:r w:rsidR="008C2C20" w:rsidRPr="00CA09FC">
        <w:rPr>
          <w:b/>
          <w:bCs/>
          <w:color w:val="000000" w:themeColor="text1"/>
          <w:sz w:val="20"/>
          <w:szCs w:val="20"/>
        </w:rPr>
        <w:t>)</w:t>
      </w:r>
    </w:p>
    <w:p w14:paraId="147F5F65" w14:textId="666E9374" w:rsidR="008C2C20" w:rsidRPr="001A0B2B" w:rsidRDefault="00FF2778" w:rsidP="008C2C20">
      <w:pPr>
        <w:pBdr>
          <w:top w:val="single" w:sz="2" w:space="1" w:color="auto"/>
          <w:left w:val="single" w:sz="2" w:space="4" w:color="auto"/>
          <w:bottom w:val="single" w:sz="2" w:space="1" w:color="auto"/>
          <w:right w:val="single" w:sz="2" w:space="4" w:color="auto"/>
        </w:pBdr>
        <w:jc w:val="both"/>
        <w:rPr>
          <w:b/>
          <w:bCs/>
          <w:color w:val="0F4761" w:themeColor="accent1" w:themeShade="BF"/>
          <w:sz w:val="20"/>
          <w:szCs w:val="20"/>
        </w:rPr>
      </w:pPr>
      <w:r>
        <w:rPr>
          <w:b/>
          <w:bCs/>
          <w:sz w:val="20"/>
          <w:szCs w:val="20"/>
        </w:rPr>
        <w:t xml:space="preserve">Senior </w:t>
      </w:r>
      <w:r w:rsidR="00C72286">
        <w:rPr>
          <w:b/>
          <w:bCs/>
          <w:sz w:val="20"/>
          <w:szCs w:val="20"/>
        </w:rPr>
        <w:t xml:space="preserve">Business </w:t>
      </w:r>
      <w:r>
        <w:rPr>
          <w:b/>
          <w:bCs/>
          <w:sz w:val="20"/>
          <w:szCs w:val="20"/>
        </w:rPr>
        <w:t xml:space="preserve">System </w:t>
      </w:r>
      <w:r w:rsidR="00C72286">
        <w:rPr>
          <w:b/>
          <w:bCs/>
          <w:sz w:val="20"/>
          <w:szCs w:val="20"/>
        </w:rPr>
        <w:t>Analyst</w:t>
      </w:r>
    </w:p>
    <w:p w14:paraId="529367D3" w14:textId="0E2B2CF4" w:rsidR="00F92887" w:rsidRPr="00F92887" w:rsidRDefault="008C2C20" w:rsidP="00BE78E9">
      <w:pPr>
        <w:pBdr>
          <w:top w:val="single" w:sz="2" w:space="1" w:color="auto"/>
          <w:left w:val="single" w:sz="2" w:space="4" w:color="auto"/>
          <w:bottom w:val="single" w:sz="2" w:space="1" w:color="auto"/>
          <w:right w:val="single" w:sz="2" w:space="4" w:color="auto"/>
        </w:pBdr>
        <w:jc w:val="both"/>
        <w:rPr>
          <w:b/>
          <w:bCs/>
          <w:color w:val="1C1E29"/>
          <w:sz w:val="20"/>
          <w:szCs w:val="20"/>
        </w:rPr>
      </w:pPr>
      <w:r w:rsidRPr="00F92887">
        <w:rPr>
          <w:b/>
          <w:bCs/>
          <w:color w:val="000000" w:themeColor="text1"/>
          <w:sz w:val="20"/>
          <w:szCs w:val="20"/>
          <w:u w:val="single"/>
        </w:rPr>
        <w:t>Project Description</w:t>
      </w:r>
      <w:r w:rsidRPr="00F92887">
        <w:rPr>
          <w:b/>
          <w:bCs/>
          <w:color w:val="000000" w:themeColor="text1"/>
          <w:sz w:val="20"/>
          <w:szCs w:val="20"/>
        </w:rPr>
        <w:t xml:space="preserve">: </w:t>
      </w:r>
      <w:r w:rsidR="00BE78E9" w:rsidRPr="00BE78E9">
        <w:rPr>
          <w:b/>
          <w:bCs/>
          <w:color w:val="1C1E29"/>
          <w:sz w:val="20"/>
          <w:szCs w:val="20"/>
        </w:rPr>
        <w:t>Supported Investment Banking Back-Office modernization for Fixed Income and Money Market products, enhancing Subledger and Main Ledger accounting integration and trade settlement reconciliation. Focused on improving the end-to-end trade lifecycle from booking to settlement, including event postings, AET configuration, and balance reconciliations for Fixed Income trades (bonds, repos, reverse repos, pledges)</w:t>
      </w:r>
      <w:r w:rsidR="00380D8C" w:rsidRPr="00380D8C">
        <w:rPr>
          <w:b/>
          <w:bCs/>
          <w:color w:val="1C1E29"/>
          <w:sz w:val="20"/>
          <w:szCs w:val="20"/>
        </w:rPr>
        <w:t>.</w:t>
      </w:r>
    </w:p>
    <w:p w14:paraId="16A0093D" w14:textId="0E5AF5C6" w:rsidR="008C2C20" w:rsidRPr="001A0B2B" w:rsidRDefault="008C2C20" w:rsidP="00F92887">
      <w:pPr>
        <w:jc w:val="both"/>
        <w:rPr>
          <w:b/>
          <w:bCs/>
          <w:sz w:val="20"/>
          <w:szCs w:val="20"/>
          <w:u w:val="single"/>
        </w:rPr>
      </w:pPr>
      <w:r w:rsidRPr="00594058">
        <w:rPr>
          <w:b/>
          <w:bCs/>
          <w:color w:val="0F4761" w:themeColor="accent1" w:themeShade="BF"/>
          <w:sz w:val="20"/>
          <w:szCs w:val="20"/>
          <w:u w:val="single"/>
        </w:rPr>
        <w:t>Roles and Responsibilities</w:t>
      </w:r>
      <w:r w:rsidRPr="001A0B2B">
        <w:rPr>
          <w:b/>
          <w:bCs/>
          <w:sz w:val="20"/>
          <w:szCs w:val="20"/>
          <w:u w:val="single"/>
        </w:rPr>
        <w:t>:</w:t>
      </w:r>
    </w:p>
    <w:p w14:paraId="09259F94" w14:textId="7C0A9438" w:rsidR="00743655" w:rsidRPr="00743655" w:rsidRDefault="00743655" w:rsidP="002F781E">
      <w:pPr>
        <w:pStyle w:val="ListParagraph"/>
        <w:numPr>
          <w:ilvl w:val="0"/>
          <w:numId w:val="60"/>
        </w:numPr>
        <w:jc w:val="both"/>
        <w:rPr>
          <w:sz w:val="20"/>
          <w:szCs w:val="20"/>
          <w:lang w:val="en-IN"/>
        </w:rPr>
      </w:pPr>
      <w:r w:rsidRPr="00743655">
        <w:rPr>
          <w:sz w:val="20"/>
          <w:szCs w:val="20"/>
          <w:lang w:val="en-IN"/>
        </w:rPr>
        <w:t>Collaborated with cross-functional teams across Investment Banking Operations, Financial Control, and Product Control to gather requirements across the payment and settlement lifecycle, aligning system logic with ISO 20022 standards, SWIFT MT/MX messages, and regulatory mandates for Asset Management.</w:t>
      </w:r>
    </w:p>
    <w:p w14:paraId="0367A106" w14:textId="5790C1A7" w:rsidR="00743655" w:rsidRPr="00743655" w:rsidRDefault="00743655" w:rsidP="002F781E">
      <w:pPr>
        <w:pStyle w:val="ListParagraph"/>
        <w:numPr>
          <w:ilvl w:val="0"/>
          <w:numId w:val="60"/>
        </w:numPr>
        <w:jc w:val="both"/>
        <w:rPr>
          <w:sz w:val="20"/>
          <w:szCs w:val="20"/>
          <w:lang w:val="en-IN"/>
        </w:rPr>
      </w:pPr>
      <w:r w:rsidRPr="00743655">
        <w:rPr>
          <w:sz w:val="20"/>
          <w:szCs w:val="20"/>
          <w:lang w:val="en-IN"/>
        </w:rPr>
        <w:t>Initiated discovery workshops and JAD sessions with business users and SMEs to capture functional and non-functional requirements for initiating, validating, and processing high-value payments and settlements across Investment Banking trade flows.</w:t>
      </w:r>
    </w:p>
    <w:p w14:paraId="399915C2" w14:textId="76AEE0D2" w:rsidR="00743655" w:rsidRPr="00743655" w:rsidRDefault="00743655" w:rsidP="002F781E">
      <w:pPr>
        <w:pStyle w:val="ListParagraph"/>
        <w:numPr>
          <w:ilvl w:val="0"/>
          <w:numId w:val="60"/>
        </w:numPr>
        <w:jc w:val="both"/>
        <w:rPr>
          <w:sz w:val="20"/>
          <w:szCs w:val="20"/>
          <w:lang w:val="en-IN"/>
        </w:rPr>
      </w:pPr>
      <w:r w:rsidRPr="00743655">
        <w:rPr>
          <w:sz w:val="20"/>
          <w:szCs w:val="20"/>
          <w:lang w:val="en-IN"/>
        </w:rPr>
        <w:t>Analyzed AS-IS Global Capital Markets trading workflows and proposed TO-BE designs to improve OMS capabilities, straight-through processing, and financial-posting accuracy for time-critical Investment Banking transactions.</w:t>
      </w:r>
    </w:p>
    <w:p w14:paraId="40E47E41" w14:textId="0254F2C1" w:rsidR="00743655" w:rsidRPr="00743655" w:rsidRDefault="00743655" w:rsidP="002F781E">
      <w:pPr>
        <w:pStyle w:val="ListParagraph"/>
        <w:numPr>
          <w:ilvl w:val="0"/>
          <w:numId w:val="60"/>
        </w:numPr>
        <w:jc w:val="both"/>
        <w:rPr>
          <w:sz w:val="20"/>
          <w:szCs w:val="20"/>
          <w:lang w:val="en-IN"/>
        </w:rPr>
      </w:pPr>
      <w:r w:rsidRPr="00743655">
        <w:rPr>
          <w:sz w:val="20"/>
          <w:szCs w:val="20"/>
          <w:lang w:val="en-IN"/>
        </w:rPr>
        <w:t>Designed and documented trade and payment flow diagrams using Visio and Figma, strengthening front-to-back accounting visibility and reducing manual intervention for settlements and reconciliations.</w:t>
      </w:r>
    </w:p>
    <w:p w14:paraId="18CC6818" w14:textId="6DA91DAA" w:rsidR="00743655" w:rsidRPr="00743655" w:rsidRDefault="00743655" w:rsidP="002F781E">
      <w:pPr>
        <w:pStyle w:val="ListParagraph"/>
        <w:numPr>
          <w:ilvl w:val="0"/>
          <w:numId w:val="60"/>
        </w:numPr>
        <w:jc w:val="both"/>
        <w:rPr>
          <w:sz w:val="20"/>
          <w:szCs w:val="20"/>
          <w:lang w:val="en-IN"/>
        </w:rPr>
      </w:pPr>
      <w:r w:rsidRPr="00743655">
        <w:rPr>
          <w:sz w:val="20"/>
          <w:szCs w:val="20"/>
          <w:lang w:val="en-IN"/>
        </w:rPr>
        <w:t>Authored detailed BRDs, FRDs, SRS documents, and RTMs supporting accounting rule updates, payment routing, compliance validations, and Subledger Migration enhancements.</w:t>
      </w:r>
    </w:p>
    <w:p w14:paraId="74C22A72" w14:textId="7200A22F" w:rsidR="00743655" w:rsidRPr="00743655" w:rsidRDefault="00743655" w:rsidP="002F781E">
      <w:pPr>
        <w:pStyle w:val="ListParagraph"/>
        <w:numPr>
          <w:ilvl w:val="0"/>
          <w:numId w:val="60"/>
        </w:numPr>
        <w:jc w:val="both"/>
        <w:rPr>
          <w:sz w:val="20"/>
          <w:szCs w:val="20"/>
          <w:lang w:val="en-IN"/>
        </w:rPr>
      </w:pPr>
      <w:r w:rsidRPr="00743655">
        <w:rPr>
          <w:sz w:val="20"/>
          <w:szCs w:val="20"/>
          <w:lang w:val="en-IN"/>
        </w:rPr>
        <w:t>Defined business rules for payment validations, sanctions screening, exception handling, and investment-banking settlement controls; collaborated with developers integrating AWS Glue and Lambda to automate these workflows.</w:t>
      </w:r>
    </w:p>
    <w:p w14:paraId="57E34D6D" w14:textId="428A39C0" w:rsidR="00743655" w:rsidRPr="00743655" w:rsidRDefault="00743655" w:rsidP="002F781E">
      <w:pPr>
        <w:pStyle w:val="ListParagraph"/>
        <w:numPr>
          <w:ilvl w:val="0"/>
          <w:numId w:val="60"/>
        </w:numPr>
        <w:jc w:val="both"/>
        <w:rPr>
          <w:sz w:val="20"/>
          <w:szCs w:val="20"/>
          <w:lang w:val="en-IN"/>
        </w:rPr>
      </w:pPr>
      <w:r w:rsidRPr="00743655">
        <w:rPr>
          <w:sz w:val="20"/>
          <w:szCs w:val="20"/>
          <w:lang w:val="en-IN"/>
        </w:rPr>
        <w:t>Gathered and documented business requirements for Fixed Income, Money Market, and Derivatives workflows, covering trade capture, confirmation, settlement, and subledger accounting logic.</w:t>
      </w:r>
    </w:p>
    <w:p w14:paraId="461E2BBC" w14:textId="3A956A7E" w:rsidR="00743655" w:rsidRPr="00743655" w:rsidRDefault="00743655" w:rsidP="002F781E">
      <w:pPr>
        <w:pStyle w:val="ListParagraph"/>
        <w:numPr>
          <w:ilvl w:val="0"/>
          <w:numId w:val="60"/>
        </w:numPr>
        <w:jc w:val="both"/>
        <w:rPr>
          <w:sz w:val="20"/>
          <w:szCs w:val="20"/>
          <w:lang w:val="en-IN"/>
        </w:rPr>
      </w:pPr>
      <w:r w:rsidRPr="00743655">
        <w:rPr>
          <w:sz w:val="20"/>
          <w:szCs w:val="20"/>
          <w:lang w:val="en-IN"/>
        </w:rPr>
        <w:t>Analyzed end-to-end lifecycle events for Fixed Income trades, mapping coupon accruals, interest postings, and settlement events to Subledger and Main Ledger accounting entries, ensuring alignment with Financial Control policies.</w:t>
      </w:r>
    </w:p>
    <w:p w14:paraId="0E809CAC" w14:textId="6F1F4E5A" w:rsidR="00743655" w:rsidRPr="00743655" w:rsidRDefault="00743655" w:rsidP="002F781E">
      <w:pPr>
        <w:pStyle w:val="ListParagraph"/>
        <w:numPr>
          <w:ilvl w:val="0"/>
          <w:numId w:val="60"/>
        </w:numPr>
        <w:jc w:val="both"/>
        <w:rPr>
          <w:sz w:val="20"/>
          <w:szCs w:val="20"/>
          <w:lang w:val="en-IN"/>
        </w:rPr>
      </w:pPr>
      <w:r w:rsidRPr="00743655">
        <w:rPr>
          <w:sz w:val="20"/>
          <w:szCs w:val="20"/>
          <w:lang w:val="en-IN"/>
        </w:rPr>
        <w:t>Partnered with Financial Control teams to validate accuracy of interest postings, coupon accruals, amortizations, FX impacts, and P&amp;L adjustments across the investment-banking book of work.</w:t>
      </w:r>
    </w:p>
    <w:p w14:paraId="77072FFF" w14:textId="4EF609D4" w:rsidR="00743655" w:rsidRPr="00743655" w:rsidRDefault="00743655" w:rsidP="002F781E">
      <w:pPr>
        <w:pStyle w:val="ListParagraph"/>
        <w:numPr>
          <w:ilvl w:val="0"/>
          <w:numId w:val="60"/>
        </w:numPr>
        <w:jc w:val="both"/>
        <w:rPr>
          <w:sz w:val="20"/>
          <w:szCs w:val="20"/>
          <w:lang w:val="en-IN"/>
        </w:rPr>
      </w:pPr>
      <w:r w:rsidRPr="00743655">
        <w:rPr>
          <w:sz w:val="20"/>
          <w:szCs w:val="20"/>
          <w:lang w:val="en-IN"/>
        </w:rPr>
        <w:t>Supported implementation of Eurodollar and Fed Funds transactions, ensuring day-count conventions, interest calculations, and trade accounting entries met Product Control and Financial Control standards.</w:t>
      </w:r>
    </w:p>
    <w:p w14:paraId="69C94EB5" w14:textId="5B408B89" w:rsidR="00743655" w:rsidRPr="00743655" w:rsidRDefault="00743655" w:rsidP="002F781E">
      <w:pPr>
        <w:pStyle w:val="ListParagraph"/>
        <w:numPr>
          <w:ilvl w:val="0"/>
          <w:numId w:val="60"/>
        </w:numPr>
        <w:jc w:val="both"/>
        <w:rPr>
          <w:sz w:val="20"/>
          <w:szCs w:val="20"/>
          <w:lang w:val="en-IN"/>
        </w:rPr>
      </w:pPr>
      <w:r w:rsidRPr="00743655">
        <w:rPr>
          <w:sz w:val="20"/>
          <w:szCs w:val="20"/>
          <w:lang w:val="en-IN"/>
        </w:rPr>
        <w:t>Designed test scripts for repos, reverse repos, pledges, and collateral scenarios; coordinated UAT and reconciliation testing with traders, controllers, and operations teams.</w:t>
      </w:r>
    </w:p>
    <w:p w14:paraId="6ADD665E" w14:textId="29A72929" w:rsidR="00743655" w:rsidRPr="00743655" w:rsidRDefault="00743655" w:rsidP="002F781E">
      <w:pPr>
        <w:pStyle w:val="ListParagraph"/>
        <w:numPr>
          <w:ilvl w:val="0"/>
          <w:numId w:val="60"/>
        </w:numPr>
        <w:jc w:val="both"/>
        <w:rPr>
          <w:sz w:val="20"/>
          <w:szCs w:val="20"/>
          <w:lang w:val="en-IN"/>
        </w:rPr>
      </w:pPr>
      <w:r w:rsidRPr="00743655">
        <w:rPr>
          <w:sz w:val="20"/>
          <w:szCs w:val="20"/>
          <w:lang w:val="en-IN"/>
        </w:rPr>
        <w:t>Integrated real-time trade settlement feeds (MTS, SWIFT MT54x) with clearing systems, strengthening audit traceability and accounting completeness.</w:t>
      </w:r>
    </w:p>
    <w:p w14:paraId="4AAD2493" w14:textId="6F821377" w:rsidR="00743655" w:rsidRPr="00743655" w:rsidRDefault="00743655" w:rsidP="002F781E">
      <w:pPr>
        <w:pStyle w:val="ListParagraph"/>
        <w:numPr>
          <w:ilvl w:val="0"/>
          <w:numId w:val="60"/>
        </w:numPr>
        <w:jc w:val="both"/>
        <w:rPr>
          <w:sz w:val="20"/>
          <w:szCs w:val="20"/>
          <w:lang w:val="en-IN"/>
        </w:rPr>
      </w:pPr>
      <w:r w:rsidRPr="00743655">
        <w:rPr>
          <w:sz w:val="20"/>
          <w:szCs w:val="20"/>
          <w:lang w:val="en-IN"/>
        </w:rPr>
        <w:t>Collaborated with Back-Office Accounting and Product Control teams to validate HTM/AFS classifications, Balance Sheet &amp; P&amp;L postings, and subledger-to-GL reconciliation logic, ensuring clean financial closes.</w:t>
      </w:r>
    </w:p>
    <w:p w14:paraId="6F610220" w14:textId="4A321763" w:rsidR="00743655" w:rsidRPr="00743655" w:rsidRDefault="00743655" w:rsidP="002F781E">
      <w:pPr>
        <w:pStyle w:val="ListParagraph"/>
        <w:numPr>
          <w:ilvl w:val="0"/>
          <w:numId w:val="60"/>
        </w:numPr>
        <w:jc w:val="both"/>
        <w:rPr>
          <w:sz w:val="20"/>
          <w:szCs w:val="20"/>
          <w:lang w:val="en-IN"/>
        </w:rPr>
      </w:pPr>
      <w:r w:rsidRPr="00743655">
        <w:rPr>
          <w:sz w:val="20"/>
          <w:szCs w:val="20"/>
          <w:lang w:val="en-IN"/>
        </w:rPr>
        <w:t>Built Snowflake + AWS Glue ETL pipelines to support Subledger Migration activities, ensuring clean, transformed, and reconcilable data ingestion between trade capture systems, subledger, and GL.</w:t>
      </w:r>
    </w:p>
    <w:p w14:paraId="779B86F3" w14:textId="461C308A" w:rsidR="00743655" w:rsidRPr="00743655" w:rsidRDefault="00743655" w:rsidP="002F781E">
      <w:pPr>
        <w:pStyle w:val="ListParagraph"/>
        <w:numPr>
          <w:ilvl w:val="0"/>
          <w:numId w:val="60"/>
        </w:numPr>
        <w:jc w:val="both"/>
        <w:rPr>
          <w:sz w:val="20"/>
          <w:szCs w:val="20"/>
          <w:lang w:val="en-IN"/>
        </w:rPr>
      </w:pPr>
      <w:r w:rsidRPr="00743655">
        <w:rPr>
          <w:sz w:val="20"/>
          <w:szCs w:val="20"/>
          <w:lang w:val="en-IN"/>
        </w:rPr>
        <w:t>Wrote and executed complex SQL queries to validate journal postings, subledger entries, GL mappings, and investment-banking reconciliation routines, identifying and resolving accounting breaks.</w:t>
      </w:r>
    </w:p>
    <w:p w14:paraId="249505E6" w14:textId="24A02770" w:rsidR="00743655" w:rsidRPr="00743655" w:rsidRDefault="00743655" w:rsidP="002F781E">
      <w:pPr>
        <w:pStyle w:val="ListParagraph"/>
        <w:numPr>
          <w:ilvl w:val="0"/>
          <w:numId w:val="60"/>
        </w:numPr>
        <w:jc w:val="both"/>
        <w:rPr>
          <w:sz w:val="20"/>
          <w:szCs w:val="20"/>
          <w:lang w:val="en-IN"/>
        </w:rPr>
      </w:pPr>
      <w:r w:rsidRPr="00743655">
        <w:rPr>
          <w:sz w:val="20"/>
          <w:szCs w:val="20"/>
          <w:lang w:val="en-IN"/>
        </w:rPr>
        <w:t>Performed reconciliation testing at book, account, Investment Banking,</w:t>
      </w:r>
      <w:r>
        <w:rPr>
          <w:sz w:val="20"/>
          <w:szCs w:val="20"/>
          <w:lang w:val="en-IN"/>
        </w:rPr>
        <w:t xml:space="preserve"> </w:t>
      </w:r>
      <w:r w:rsidRPr="00743655">
        <w:rPr>
          <w:sz w:val="20"/>
          <w:szCs w:val="20"/>
          <w:lang w:val="en-IN"/>
        </w:rPr>
        <w:t>trade, and event levels, supporting Financial Control month-end close activities and subledger alignment reviews.</w:t>
      </w:r>
    </w:p>
    <w:p w14:paraId="04101882" w14:textId="2F15B553" w:rsidR="00743655" w:rsidRPr="00743655" w:rsidRDefault="00743655" w:rsidP="002F781E">
      <w:pPr>
        <w:pStyle w:val="ListParagraph"/>
        <w:numPr>
          <w:ilvl w:val="0"/>
          <w:numId w:val="60"/>
        </w:numPr>
        <w:jc w:val="both"/>
        <w:rPr>
          <w:sz w:val="20"/>
          <w:szCs w:val="20"/>
          <w:lang w:val="en-IN"/>
        </w:rPr>
      </w:pPr>
      <w:r w:rsidRPr="00743655">
        <w:rPr>
          <w:sz w:val="20"/>
          <w:szCs w:val="20"/>
          <w:lang w:val="en-IN"/>
        </w:rPr>
        <w:t>Automated exception reports, reconciliation checks, Investment Banking and settlement confirmations using Alteryx, reducing manual break resolution across the Financial Control function.</w:t>
      </w:r>
    </w:p>
    <w:p w14:paraId="7888DF6E" w14:textId="639B8EE8" w:rsidR="00743655" w:rsidRPr="00743655" w:rsidRDefault="00743655" w:rsidP="002F781E">
      <w:pPr>
        <w:pStyle w:val="ListParagraph"/>
        <w:numPr>
          <w:ilvl w:val="0"/>
          <w:numId w:val="60"/>
        </w:numPr>
        <w:jc w:val="both"/>
        <w:rPr>
          <w:sz w:val="20"/>
          <w:szCs w:val="20"/>
          <w:lang w:val="en-IN"/>
        </w:rPr>
      </w:pPr>
      <w:r w:rsidRPr="00743655">
        <w:rPr>
          <w:sz w:val="20"/>
          <w:szCs w:val="20"/>
          <w:lang w:val="en-IN"/>
        </w:rPr>
        <w:lastRenderedPageBreak/>
        <w:t>Configured Accounting Entry Rules (AET) for trade-event posting in the subledger system, ensuring correct debit/credit mappings for settlements, coupons, reversals, and back-valued adjustments.</w:t>
      </w:r>
    </w:p>
    <w:p w14:paraId="35F0859C" w14:textId="7E77B340" w:rsidR="00743655" w:rsidRPr="00743655" w:rsidRDefault="00743655" w:rsidP="002F781E">
      <w:pPr>
        <w:pStyle w:val="ListParagraph"/>
        <w:numPr>
          <w:ilvl w:val="0"/>
          <w:numId w:val="60"/>
        </w:numPr>
        <w:jc w:val="both"/>
        <w:rPr>
          <w:sz w:val="20"/>
          <w:szCs w:val="20"/>
          <w:lang w:val="en-IN"/>
        </w:rPr>
      </w:pPr>
      <w:r w:rsidRPr="00743655">
        <w:rPr>
          <w:sz w:val="20"/>
          <w:szCs w:val="20"/>
          <w:lang w:val="en-IN"/>
        </w:rPr>
        <w:t>Performed manual journal postings and reversals to resolve reconciliation breaks, supporting Financial Control teams with substantiated audit trails and control evidence.</w:t>
      </w:r>
    </w:p>
    <w:p w14:paraId="674274E1" w14:textId="5B2785E4" w:rsidR="00743655" w:rsidRPr="00743655" w:rsidRDefault="00743655" w:rsidP="002F781E">
      <w:pPr>
        <w:pStyle w:val="ListParagraph"/>
        <w:numPr>
          <w:ilvl w:val="0"/>
          <w:numId w:val="60"/>
        </w:numPr>
        <w:jc w:val="both"/>
        <w:rPr>
          <w:sz w:val="20"/>
          <w:szCs w:val="20"/>
          <w:lang w:val="en-IN"/>
        </w:rPr>
      </w:pPr>
      <w:r w:rsidRPr="00743655">
        <w:rPr>
          <w:sz w:val="20"/>
          <w:szCs w:val="20"/>
          <w:lang w:val="en-IN"/>
        </w:rPr>
        <w:t>Monitored and documented settlement fails, executed reverse entries for delayed trades, and ensured accurate accrual adjustments and financial-impact reporting</w:t>
      </w:r>
      <w:r>
        <w:rPr>
          <w:sz w:val="20"/>
          <w:szCs w:val="20"/>
          <w:lang w:val="en-IN"/>
        </w:rPr>
        <w:t>,</w:t>
      </w:r>
      <w:r w:rsidRPr="00743655">
        <w:rPr>
          <w:sz w:val="20"/>
          <w:szCs w:val="20"/>
          <w:lang w:val="en-IN"/>
        </w:rPr>
        <w:t xml:space="preserve"> Investment Banking.</w:t>
      </w:r>
    </w:p>
    <w:p w14:paraId="7B8AD951" w14:textId="5CFC194B" w:rsidR="00743655" w:rsidRPr="00743655" w:rsidRDefault="00743655" w:rsidP="002F781E">
      <w:pPr>
        <w:pStyle w:val="ListParagraph"/>
        <w:numPr>
          <w:ilvl w:val="0"/>
          <w:numId w:val="60"/>
        </w:numPr>
        <w:jc w:val="both"/>
        <w:rPr>
          <w:sz w:val="20"/>
          <w:szCs w:val="20"/>
          <w:lang w:val="en-IN"/>
        </w:rPr>
      </w:pPr>
      <w:r w:rsidRPr="00743655">
        <w:rPr>
          <w:sz w:val="20"/>
          <w:szCs w:val="20"/>
          <w:lang w:val="en-IN"/>
        </w:rPr>
        <w:t>Calculated daily and back-dated P&amp;L for Fixed Income trades, validating adjustments with Product Control teams and ensuring accurate attribution logic.</w:t>
      </w:r>
    </w:p>
    <w:p w14:paraId="18BFE2C0" w14:textId="0BC2CBC4" w:rsidR="00743655" w:rsidRPr="00743655" w:rsidRDefault="00743655" w:rsidP="002F781E">
      <w:pPr>
        <w:pStyle w:val="ListParagraph"/>
        <w:numPr>
          <w:ilvl w:val="0"/>
          <w:numId w:val="60"/>
        </w:numPr>
        <w:jc w:val="both"/>
        <w:rPr>
          <w:sz w:val="20"/>
          <w:szCs w:val="20"/>
          <w:lang w:val="en-IN"/>
        </w:rPr>
      </w:pPr>
      <w:r w:rsidRPr="00743655">
        <w:rPr>
          <w:sz w:val="20"/>
          <w:szCs w:val="20"/>
          <w:lang w:val="en-IN"/>
        </w:rPr>
        <w:t>Managed SDLC and audit documentation in Confluence and SharePoint, ensuring Investment Banking, Financial Control, and audit teams had end-to-end visibility over accounting rules, workflows, and reconciliations.</w:t>
      </w:r>
    </w:p>
    <w:p w14:paraId="22818386" w14:textId="309233A7" w:rsidR="002E441F" w:rsidRDefault="002E441F" w:rsidP="00BE78E9">
      <w:pPr>
        <w:jc w:val="both"/>
        <w:rPr>
          <w:b/>
          <w:bCs/>
          <w:sz w:val="20"/>
          <w:szCs w:val="20"/>
        </w:rPr>
      </w:pPr>
      <w:r w:rsidRPr="001A0B2B">
        <w:rPr>
          <w:b/>
          <w:sz w:val="20"/>
          <w:szCs w:val="20"/>
          <w:u w:val="single"/>
        </w:rPr>
        <w:t>ENVIRONMENT</w:t>
      </w:r>
      <w:r w:rsidRPr="001A0B2B">
        <w:rPr>
          <w:sz w:val="20"/>
          <w:szCs w:val="20"/>
        </w:rPr>
        <w:t>:</w:t>
      </w:r>
      <w:r w:rsidRPr="001A0B2B">
        <w:rPr>
          <w:b/>
          <w:bCs/>
          <w:sz w:val="20"/>
          <w:szCs w:val="20"/>
        </w:rPr>
        <w:t xml:space="preserve"> Agile-scrum,</w:t>
      </w:r>
      <w:r w:rsidRPr="0079702D">
        <w:rPr>
          <w:b/>
          <w:bCs/>
          <w:sz w:val="20"/>
          <w:szCs w:val="20"/>
        </w:rPr>
        <w:t xml:space="preserve"> </w:t>
      </w:r>
      <w:r w:rsidRPr="00E10E44">
        <w:rPr>
          <w:b/>
          <w:bCs/>
          <w:sz w:val="20"/>
          <w:szCs w:val="20"/>
        </w:rPr>
        <w:t>AWS S3</w:t>
      </w:r>
      <w:r>
        <w:rPr>
          <w:b/>
          <w:bCs/>
          <w:sz w:val="20"/>
          <w:szCs w:val="20"/>
        </w:rPr>
        <w:t>,</w:t>
      </w:r>
      <w:r w:rsidRPr="001A0B2B">
        <w:rPr>
          <w:b/>
          <w:bCs/>
          <w:sz w:val="20"/>
          <w:szCs w:val="20"/>
        </w:rPr>
        <w:t xml:space="preserve"> </w:t>
      </w:r>
      <w:r w:rsidRPr="00E10E44">
        <w:rPr>
          <w:b/>
          <w:bCs/>
          <w:sz w:val="20"/>
          <w:szCs w:val="20"/>
        </w:rPr>
        <w:t>DynamoDB, Glue</w:t>
      </w:r>
      <w:r>
        <w:rPr>
          <w:b/>
          <w:bCs/>
          <w:sz w:val="20"/>
          <w:szCs w:val="20"/>
        </w:rPr>
        <w:t>,</w:t>
      </w:r>
      <w:r w:rsidRPr="00E91651">
        <w:rPr>
          <w:b/>
          <w:bCs/>
          <w:sz w:val="20"/>
          <w:szCs w:val="20"/>
        </w:rPr>
        <w:t xml:space="preserve"> </w:t>
      </w:r>
      <w:r w:rsidR="00BE78E9" w:rsidRPr="00BE78E9">
        <w:rPr>
          <w:b/>
          <w:bCs/>
          <w:sz w:val="20"/>
          <w:szCs w:val="20"/>
        </w:rPr>
        <w:t>Fixed Income Back-Office Systems, Subledger Accounting, AET</w:t>
      </w:r>
      <w:r w:rsidR="00BE78E9">
        <w:rPr>
          <w:b/>
          <w:bCs/>
          <w:sz w:val="20"/>
          <w:szCs w:val="20"/>
        </w:rPr>
        <w:t xml:space="preserve">, </w:t>
      </w:r>
      <w:r w:rsidRPr="0054477B">
        <w:rPr>
          <w:b/>
          <w:bCs/>
          <w:sz w:val="20"/>
          <w:szCs w:val="20"/>
        </w:rPr>
        <w:t>Balsamiq</w:t>
      </w:r>
      <w:r>
        <w:rPr>
          <w:b/>
          <w:bCs/>
          <w:sz w:val="20"/>
          <w:szCs w:val="20"/>
        </w:rPr>
        <w:t>,</w:t>
      </w:r>
      <w:r w:rsidRPr="00EA308B">
        <w:rPr>
          <w:b/>
          <w:bCs/>
          <w:color w:val="1D1B11"/>
          <w:sz w:val="20"/>
          <w:szCs w:val="20"/>
        </w:rPr>
        <w:t xml:space="preserve"> </w:t>
      </w:r>
      <w:r w:rsidRPr="001D160D">
        <w:rPr>
          <w:b/>
          <w:bCs/>
          <w:color w:val="1D1B11"/>
          <w:sz w:val="20"/>
          <w:szCs w:val="20"/>
        </w:rPr>
        <w:t>Alteryx</w:t>
      </w:r>
      <w:r>
        <w:rPr>
          <w:b/>
          <w:bCs/>
          <w:color w:val="1D1B11"/>
          <w:sz w:val="20"/>
          <w:szCs w:val="20"/>
        </w:rPr>
        <w:t xml:space="preserve">, </w:t>
      </w:r>
      <w:r>
        <w:rPr>
          <w:b/>
          <w:bCs/>
          <w:sz w:val="20"/>
          <w:szCs w:val="20"/>
        </w:rPr>
        <w:t xml:space="preserve">Java, </w:t>
      </w:r>
      <w:r w:rsidRPr="00E10E44">
        <w:rPr>
          <w:b/>
          <w:bCs/>
          <w:sz w:val="20"/>
          <w:szCs w:val="20"/>
        </w:rPr>
        <w:t xml:space="preserve">MS-Project, </w:t>
      </w:r>
      <w:r>
        <w:rPr>
          <w:b/>
          <w:bCs/>
          <w:sz w:val="20"/>
          <w:szCs w:val="20"/>
        </w:rPr>
        <w:t>Snowflake,</w:t>
      </w:r>
      <w:r w:rsidRPr="00FF0C57">
        <w:rPr>
          <w:b/>
          <w:bCs/>
          <w:sz w:val="20"/>
          <w:szCs w:val="20"/>
        </w:rPr>
        <w:t xml:space="preserve"> </w:t>
      </w:r>
      <w:r w:rsidRPr="002613F4">
        <w:rPr>
          <w:b/>
          <w:bCs/>
          <w:sz w:val="20"/>
          <w:szCs w:val="20"/>
        </w:rPr>
        <w:t>ServiceNow</w:t>
      </w:r>
      <w:r>
        <w:rPr>
          <w:b/>
          <w:bCs/>
          <w:sz w:val="20"/>
          <w:szCs w:val="20"/>
        </w:rPr>
        <w:t>, MS Visio</w:t>
      </w:r>
      <w:r>
        <w:rPr>
          <w:b/>
          <w:color w:val="000000"/>
          <w:spacing w:val="5"/>
          <w:sz w:val="20"/>
          <w:szCs w:val="20"/>
          <w:lang w:eastAsia="en-IN"/>
        </w:rPr>
        <w:t xml:space="preserve">, </w:t>
      </w:r>
      <w:r w:rsidRPr="001A0B2B">
        <w:rPr>
          <w:b/>
          <w:color w:val="000000"/>
          <w:spacing w:val="5"/>
          <w:sz w:val="20"/>
          <w:szCs w:val="20"/>
          <w:lang w:eastAsia="en-IN"/>
        </w:rPr>
        <w:t>MS word, Excel,</w:t>
      </w:r>
      <w:r w:rsidRPr="0015792D">
        <w:rPr>
          <w:b/>
          <w:bCs/>
          <w:color w:val="000000" w:themeColor="text1"/>
          <w:sz w:val="20"/>
          <w:szCs w:val="20"/>
        </w:rPr>
        <w:t xml:space="preserve"> </w:t>
      </w:r>
      <w:r>
        <w:rPr>
          <w:b/>
          <w:bCs/>
          <w:color w:val="000000" w:themeColor="text1"/>
          <w:sz w:val="20"/>
          <w:szCs w:val="20"/>
        </w:rPr>
        <w:t>O</w:t>
      </w:r>
      <w:r w:rsidRPr="0015792D">
        <w:rPr>
          <w:b/>
          <w:bCs/>
          <w:color w:val="000000" w:themeColor="text1"/>
          <w:sz w:val="20"/>
          <w:szCs w:val="20"/>
        </w:rPr>
        <w:t>utlook</w:t>
      </w:r>
      <w:r w:rsidRPr="001A0B2B">
        <w:rPr>
          <w:b/>
          <w:color w:val="000000"/>
          <w:spacing w:val="5"/>
          <w:sz w:val="20"/>
          <w:szCs w:val="20"/>
          <w:lang w:eastAsia="en-IN"/>
        </w:rPr>
        <w:t xml:space="preserve"> PowerPoint</w:t>
      </w:r>
      <w:r>
        <w:rPr>
          <w:b/>
          <w:color w:val="000000"/>
          <w:spacing w:val="5"/>
          <w:sz w:val="20"/>
          <w:szCs w:val="20"/>
          <w:lang w:eastAsia="en-IN"/>
        </w:rPr>
        <w:t>, SharePoint</w:t>
      </w:r>
      <w:r>
        <w:rPr>
          <w:b/>
          <w:bCs/>
          <w:sz w:val="20"/>
          <w:szCs w:val="20"/>
        </w:rPr>
        <w:t xml:space="preserve">, </w:t>
      </w:r>
      <w:r w:rsidRPr="00E10E44">
        <w:rPr>
          <w:b/>
          <w:bCs/>
          <w:sz w:val="20"/>
          <w:szCs w:val="20"/>
        </w:rPr>
        <w:t>MS</w:t>
      </w:r>
      <w:r>
        <w:rPr>
          <w:b/>
          <w:bCs/>
          <w:sz w:val="20"/>
          <w:szCs w:val="20"/>
        </w:rPr>
        <w:t xml:space="preserve"> </w:t>
      </w:r>
      <w:r w:rsidRPr="00E10E44">
        <w:rPr>
          <w:b/>
          <w:bCs/>
          <w:sz w:val="20"/>
          <w:szCs w:val="20"/>
        </w:rPr>
        <w:t>SQL Server, Postman,</w:t>
      </w:r>
      <w:r w:rsidRPr="00EA308B">
        <w:rPr>
          <w:b/>
          <w:bCs/>
          <w:sz w:val="20"/>
          <w:szCs w:val="20"/>
        </w:rPr>
        <w:t xml:space="preserve"> </w:t>
      </w:r>
      <w:r>
        <w:rPr>
          <w:b/>
          <w:bCs/>
          <w:sz w:val="20"/>
          <w:szCs w:val="20"/>
        </w:rPr>
        <w:t xml:space="preserve">Tableau, </w:t>
      </w:r>
      <w:r w:rsidRPr="001A0B2B">
        <w:rPr>
          <w:b/>
          <w:bCs/>
          <w:sz w:val="20"/>
          <w:szCs w:val="20"/>
        </w:rPr>
        <w:t>JIRA</w:t>
      </w:r>
      <w:r>
        <w:rPr>
          <w:b/>
          <w:bCs/>
          <w:sz w:val="20"/>
          <w:szCs w:val="20"/>
        </w:rPr>
        <w:t>, Confluence.</w:t>
      </w:r>
    </w:p>
    <w:p w14:paraId="3E4449A5" w14:textId="77777777" w:rsidR="00E6395B" w:rsidRPr="002E441F" w:rsidRDefault="00E6395B" w:rsidP="00E6395B">
      <w:pPr>
        <w:pStyle w:val="NormalWeb"/>
        <w:spacing w:before="0" w:beforeAutospacing="0" w:after="0" w:afterAutospacing="0"/>
        <w:jc w:val="both"/>
        <w:rPr>
          <w:rFonts w:eastAsiaTheme="majorEastAsia"/>
          <w:sz w:val="20"/>
          <w:szCs w:val="20"/>
        </w:rPr>
      </w:pPr>
    </w:p>
    <w:p w14:paraId="22E921A3" w14:textId="04517963" w:rsidR="009E72F1" w:rsidRPr="00D61D83" w:rsidRDefault="00D61D83" w:rsidP="00D61D83">
      <w:pPr>
        <w:pBdr>
          <w:top w:val="single" w:sz="2" w:space="1" w:color="auto"/>
          <w:left w:val="single" w:sz="2" w:space="4" w:color="auto"/>
          <w:bottom w:val="single" w:sz="2" w:space="1" w:color="auto"/>
          <w:right w:val="single" w:sz="2" w:space="4" w:color="auto"/>
        </w:pBdr>
        <w:jc w:val="both"/>
        <w:rPr>
          <w:b/>
          <w:bCs/>
          <w:sz w:val="20"/>
          <w:szCs w:val="20"/>
          <w:lang w:val="en-IN"/>
        </w:rPr>
      </w:pPr>
      <w:r>
        <w:rPr>
          <w:b/>
          <w:bCs/>
          <w:sz w:val="20"/>
          <w:szCs w:val="20"/>
        </w:rPr>
        <w:t xml:space="preserve">Truist, </w:t>
      </w:r>
      <w:r w:rsidRPr="00D61D83">
        <w:rPr>
          <w:b/>
          <w:bCs/>
          <w:sz w:val="20"/>
          <w:szCs w:val="20"/>
          <w:lang w:val="en-IN"/>
        </w:rPr>
        <w:t>Charlotte</w:t>
      </w:r>
      <w:r>
        <w:rPr>
          <w:b/>
          <w:bCs/>
          <w:sz w:val="20"/>
          <w:szCs w:val="20"/>
        </w:rPr>
        <w:t xml:space="preserve">, NC                                  </w:t>
      </w:r>
      <w:r w:rsidR="009E72F1">
        <w:rPr>
          <w:b/>
          <w:bCs/>
          <w:sz w:val="20"/>
          <w:szCs w:val="20"/>
        </w:rPr>
        <w:t xml:space="preserve">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 </w:t>
      </w:r>
      <w:r w:rsidR="009E72F1" w:rsidRPr="009E72F1">
        <w:rPr>
          <w:b/>
          <w:bCs/>
          <w:sz w:val="20"/>
          <w:szCs w:val="20"/>
        </w:rPr>
        <w:t>(J</w:t>
      </w:r>
      <w:r w:rsidR="009E72F1">
        <w:rPr>
          <w:b/>
          <w:bCs/>
          <w:sz w:val="20"/>
          <w:szCs w:val="20"/>
        </w:rPr>
        <w:t xml:space="preserve">une </w:t>
      </w:r>
      <w:r w:rsidR="009E72F1" w:rsidRPr="009E72F1">
        <w:rPr>
          <w:b/>
          <w:bCs/>
          <w:sz w:val="20"/>
          <w:szCs w:val="20"/>
        </w:rPr>
        <w:t>2020 – December 2021)</w:t>
      </w:r>
    </w:p>
    <w:p w14:paraId="6CE1A5C5" w14:textId="681D2E91" w:rsidR="008C2C20" w:rsidRDefault="00985D31" w:rsidP="009E72F1">
      <w:pPr>
        <w:pBdr>
          <w:top w:val="single" w:sz="2" w:space="1" w:color="auto"/>
          <w:left w:val="single" w:sz="2" w:space="4" w:color="auto"/>
          <w:bottom w:val="single" w:sz="2" w:space="1" w:color="auto"/>
          <w:right w:val="single" w:sz="2" w:space="4" w:color="auto"/>
        </w:pBdr>
        <w:jc w:val="both"/>
        <w:rPr>
          <w:b/>
          <w:bCs/>
          <w:sz w:val="20"/>
          <w:szCs w:val="20"/>
        </w:rPr>
      </w:pPr>
      <w:r>
        <w:rPr>
          <w:b/>
          <w:bCs/>
          <w:sz w:val="20"/>
          <w:szCs w:val="20"/>
        </w:rPr>
        <w:t>Business Analyst</w:t>
      </w:r>
    </w:p>
    <w:p w14:paraId="16BAB90F" w14:textId="145A44C6" w:rsidR="00D61D83" w:rsidRDefault="008C2C20" w:rsidP="00D61D83">
      <w:pPr>
        <w:pBdr>
          <w:top w:val="single" w:sz="2" w:space="1" w:color="auto"/>
          <w:left w:val="single" w:sz="2" w:space="4" w:color="auto"/>
          <w:bottom w:val="single" w:sz="2" w:space="1" w:color="auto"/>
          <w:right w:val="single" w:sz="2" w:space="4" w:color="auto"/>
        </w:pBdr>
        <w:jc w:val="both"/>
        <w:rPr>
          <w:b/>
          <w:bCs/>
          <w:sz w:val="20"/>
          <w:szCs w:val="20"/>
        </w:rPr>
      </w:pPr>
      <w:r w:rsidRPr="001A0B2B">
        <w:rPr>
          <w:b/>
          <w:bCs/>
          <w:color w:val="000000"/>
          <w:sz w:val="20"/>
          <w:szCs w:val="20"/>
          <w:u w:val="single"/>
        </w:rPr>
        <w:t>Project Description</w:t>
      </w:r>
      <w:r w:rsidR="00D61D83" w:rsidRPr="00D61D83">
        <w:t xml:space="preserve"> </w:t>
      </w:r>
      <w:r w:rsidR="00D61D83">
        <w:t>S</w:t>
      </w:r>
      <w:r w:rsidR="00D61D83" w:rsidRPr="00D61D83">
        <w:rPr>
          <w:b/>
          <w:bCs/>
          <w:sz w:val="20"/>
          <w:szCs w:val="20"/>
        </w:rPr>
        <w:t>upport Truist Bank’s post-merger integration initiative following the BB&amp;T–SunTrust consolidation, one of the largest U.S. banking mergers. The multi-year engagement focused on unifying both banks’ core platforms, digital channels, and reporting ecosystems into a single scalable enterprise architecture. The transformation encompassed consolidation of customer data, loan and deposit systems, and financial reporting modules, enabling Truist to streamline back-office processes, reduce operational duplication, and accelerate digital banking innovation. The initiative leveraged model to provide development, data engineering, and testing expertise, ensuring seamless migration, regulatory compliance, and uninterrupted banking operations during the conversion.</w:t>
      </w:r>
    </w:p>
    <w:p w14:paraId="77987DD8" w14:textId="565F07CA" w:rsidR="008C2C20" w:rsidRDefault="008C2C20" w:rsidP="00D61D83">
      <w:pPr>
        <w:jc w:val="both"/>
        <w:rPr>
          <w:b/>
          <w:bCs/>
          <w:sz w:val="20"/>
          <w:szCs w:val="20"/>
          <w:u w:val="single"/>
        </w:rPr>
      </w:pPr>
      <w:r w:rsidRPr="00594058">
        <w:rPr>
          <w:b/>
          <w:bCs/>
          <w:color w:val="0F4761" w:themeColor="accent1" w:themeShade="BF"/>
          <w:sz w:val="20"/>
          <w:szCs w:val="20"/>
          <w:u w:val="single"/>
        </w:rPr>
        <w:t>Roles and Responsibilities</w:t>
      </w:r>
      <w:r w:rsidRPr="001A0B2B">
        <w:rPr>
          <w:b/>
          <w:bCs/>
          <w:sz w:val="20"/>
          <w:szCs w:val="20"/>
          <w:u w:val="single"/>
        </w:rPr>
        <w:t xml:space="preserve">: </w:t>
      </w:r>
    </w:p>
    <w:p w14:paraId="79ADD0B5"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Collaborated with business, finance, and technology stakeholders from BB&amp;T and SunTrust to document AS-IS workflows across core banking, lending, and deposit operations, and proposed optimized TO-BE process models for the unified Truist ecosystem.</w:t>
      </w:r>
    </w:p>
    <w:p w14:paraId="5E849F0A"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Supported the data-migration workstream by writing SQL scripts to validate extracted data, perform balance reconciliations, and cross-verify customer, account, and transaction records across legacy and target platforms.</w:t>
      </w:r>
    </w:p>
    <w:p w14:paraId="13239551"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Authored Business Requirement Documents (BRDs) and Functional Requirement Specifications (FRDs) for system interfaces, data-conversion utilities, and reconciliation processes to ensure consistent behavior and audit traceability.</w:t>
      </w:r>
    </w:p>
    <w:p w14:paraId="72222165"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Performed gap analysis between legacy BB&amp;T and SunTrust applications to identify functional overlaps, obsolete modules, and integration dependencies, reducing manual reconciliation effort by 35%.</w:t>
      </w:r>
    </w:p>
    <w:p w14:paraId="68590D33"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Partnered with data-engineering teams to design ETL mappings, transformation logic, and error-handling frameworks for migrating multi-terabyte datasets between Oracle, SQL Server, and Hadoop-based repositories.</w:t>
      </w:r>
    </w:p>
    <w:p w14:paraId="560EEDF0"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Developed and executed advanced SQL queries to reconcile general ledger postings, verify account balances, and validate transaction-level accuracy during data-conversion cycles and post-migration audits.</w:t>
      </w:r>
    </w:p>
    <w:p w14:paraId="76EF5594"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Worked with API architects to define interface requirements between the new core banking platform, payment gateways, and digital-channel applications, ensuring secure REST-based integrations using OAuth 2.0 standards.</w:t>
      </w:r>
    </w:p>
    <w:p w14:paraId="1625EF6D"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Conducted User Acceptance Testing (UAT) for core modules—loan servicing, payments, deposits, and customer-information management—logging defects in JIRA, tracking resolutions, and validating remediation across sprints.</w:t>
      </w:r>
    </w:p>
    <w:p w14:paraId="4DDC2B9A"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Participated in Agile ceremonies including sprint planning, backlog grooming, and daily stand-ups, maintaining user-story traceability and progress metrics in JIRA and Confluence for PMO reporting.</w:t>
      </w:r>
    </w:p>
    <w:p w14:paraId="6B689099"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Created Power BI dashboards and Excel pivot-based reconciliation reports visualizing migration progress, defect trends, and data-quality KPIs to enhance management visibility and decision-making.</w:t>
      </w:r>
    </w:p>
    <w:p w14:paraId="6372B7EA"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Collaborated with compliance and risk teams to validate that migrated data, access controls, and reporting processes met SOX, FFIEC, and FDIC regulatory requirements.</w:t>
      </w:r>
    </w:p>
    <w:p w14:paraId="588475AC"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Partnered with infrastructure and DBA teams to test performance benchmarks, query optimization, and batch-processing throughput on the consolidated Truist data warehouse environment.</w:t>
      </w:r>
    </w:p>
    <w:p w14:paraId="3E72A112"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Designed and maintained detailed data-flow diagrams (DFDs) and system interface maps in Visio documenting lineage between legacy and target systems to support audit and post-implementation reviews.</w:t>
      </w:r>
    </w:p>
    <w:p w14:paraId="6CCCC005" w14:textId="77777777"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Prepared end-user training guides, reconciliation SOPs, and operational transition documents to assist business teams during production cutover and stabilization phases.</w:t>
      </w:r>
    </w:p>
    <w:p w14:paraId="55EA7A41" w14:textId="07BCB086" w:rsidR="00DA3F75" w:rsidRPr="002E441F" w:rsidRDefault="00DA3F75" w:rsidP="00DA3F75">
      <w:pPr>
        <w:pStyle w:val="NormalWeb"/>
        <w:numPr>
          <w:ilvl w:val="0"/>
          <w:numId w:val="44"/>
        </w:numPr>
        <w:spacing w:before="0" w:beforeAutospacing="0" w:after="0" w:afterAutospacing="0"/>
        <w:rPr>
          <w:rFonts w:eastAsiaTheme="majorEastAsia"/>
          <w:sz w:val="20"/>
          <w:szCs w:val="20"/>
          <w:lang w:val="en-IN"/>
        </w:rPr>
      </w:pPr>
      <w:r w:rsidRPr="002E441F">
        <w:rPr>
          <w:rFonts w:eastAsiaTheme="majorEastAsia"/>
          <w:sz w:val="20"/>
          <w:szCs w:val="20"/>
          <w:lang w:val="en-IN"/>
        </w:rPr>
        <w:t>Ensured comprehensive documentation management through Confluence and SharePoint repositories with strict version control, maintaining full traceability for audit and regulatory inspection readiness.</w:t>
      </w:r>
    </w:p>
    <w:p w14:paraId="5F4E2BB5" w14:textId="77777777" w:rsidR="00D61D83" w:rsidRPr="00DA3F75" w:rsidRDefault="00D61D83" w:rsidP="00D61D83">
      <w:pPr>
        <w:pStyle w:val="NormalWeb"/>
        <w:spacing w:before="0" w:beforeAutospacing="0" w:after="0" w:afterAutospacing="0"/>
        <w:rPr>
          <w:rFonts w:eastAsiaTheme="majorEastAsia"/>
          <w:b/>
          <w:bCs/>
          <w:sz w:val="20"/>
          <w:szCs w:val="20"/>
          <w:lang w:val="en-IN"/>
        </w:rPr>
      </w:pPr>
      <w:r w:rsidRPr="00DA3F75">
        <w:rPr>
          <w:rFonts w:eastAsiaTheme="majorEastAsia"/>
          <w:b/>
          <w:bCs/>
          <w:sz w:val="20"/>
          <w:szCs w:val="20"/>
          <w:lang w:val="en-IN"/>
        </w:rPr>
        <w:t>Environment: Agile–Scrum; Oracle DB; SQL Server; Informatica ETL; RESTful APIs (Postman, Swagger); Hadoop Data Lake; Power BI; JIRA; Confluence; Visio; SOX / FFIEC Compliance.</w:t>
      </w:r>
    </w:p>
    <w:p w14:paraId="31DBF3C9" w14:textId="77777777" w:rsidR="002E71D3" w:rsidRPr="002E71D3" w:rsidRDefault="002E71D3" w:rsidP="002E71D3">
      <w:pPr>
        <w:pStyle w:val="NormalWeb"/>
        <w:spacing w:before="0" w:beforeAutospacing="0" w:after="0" w:afterAutospacing="0"/>
        <w:rPr>
          <w:rFonts w:eastAsiaTheme="majorEastAsia"/>
          <w:sz w:val="20"/>
          <w:szCs w:val="20"/>
          <w:lang w:val="en-IN"/>
        </w:rPr>
      </w:pPr>
    </w:p>
    <w:p w14:paraId="78BE6EA0" w14:textId="26227CAA" w:rsidR="00B726F4" w:rsidRPr="00B726F4" w:rsidRDefault="00B726F4" w:rsidP="00B726F4">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eastAsiaTheme="majorEastAsia"/>
          <w:b/>
          <w:bCs/>
          <w:sz w:val="20"/>
          <w:szCs w:val="20"/>
          <w:lang w:val="en-IN"/>
        </w:rPr>
      </w:pPr>
      <w:r w:rsidRPr="00B726F4">
        <w:rPr>
          <w:rFonts w:eastAsiaTheme="majorEastAsia"/>
          <w:b/>
          <w:bCs/>
          <w:sz w:val="20"/>
          <w:szCs w:val="20"/>
          <w:lang w:val="en-IN"/>
        </w:rPr>
        <w:t>Jackson National Life Insurance Company, Lansing, Michigan</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sidRPr="00B726F4">
        <w:rPr>
          <w:rFonts w:eastAsiaTheme="majorEastAsia"/>
          <w:b/>
          <w:bCs/>
          <w:sz w:val="20"/>
          <w:szCs w:val="20"/>
          <w:lang w:val="en-IN"/>
        </w:rPr>
        <w:t> </w:t>
      </w:r>
      <w:r>
        <w:rPr>
          <w:rFonts w:eastAsiaTheme="majorEastAsia"/>
          <w:b/>
          <w:bCs/>
          <w:sz w:val="20"/>
          <w:szCs w:val="20"/>
          <w:lang w:val="en-IN"/>
        </w:rPr>
        <w:t xml:space="preserve">                </w:t>
      </w:r>
      <w:r w:rsidRPr="00B726F4">
        <w:rPr>
          <w:rFonts w:eastAsiaTheme="majorEastAsia"/>
          <w:b/>
          <w:bCs/>
          <w:sz w:val="20"/>
          <w:szCs w:val="20"/>
          <w:lang w:val="en-IN"/>
        </w:rPr>
        <w:t>(May 2019 – June 202</w:t>
      </w:r>
      <w:r w:rsidR="00E90106">
        <w:rPr>
          <w:rFonts w:eastAsiaTheme="majorEastAsia"/>
          <w:b/>
          <w:bCs/>
          <w:sz w:val="20"/>
          <w:szCs w:val="20"/>
          <w:lang w:val="en-IN"/>
        </w:rPr>
        <w:t>0</w:t>
      </w:r>
      <w:r w:rsidRPr="00B726F4">
        <w:rPr>
          <w:rFonts w:eastAsiaTheme="majorEastAsia"/>
          <w:b/>
          <w:bCs/>
          <w:sz w:val="20"/>
          <w:szCs w:val="20"/>
          <w:lang w:val="en-IN"/>
        </w:rPr>
        <w:t>)</w:t>
      </w:r>
      <w:r w:rsidRPr="00B726F4">
        <w:rPr>
          <w:rFonts w:eastAsiaTheme="majorEastAsia"/>
          <w:b/>
          <w:bCs/>
          <w:i/>
          <w:iCs/>
          <w:sz w:val="20"/>
          <w:szCs w:val="20"/>
          <w:lang w:val="en-IN"/>
        </w:rPr>
        <w:br/>
      </w:r>
      <w:r w:rsidRPr="00B726F4">
        <w:rPr>
          <w:rFonts w:eastAsiaTheme="majorEastAsia"/>
          <w:b/>
          <w:bCs/>
          <w:sz w:val="20"/>
          <w:szCs w:val="20"/>
          <w:lang w:val="en-IN"/>
        </w:rPr>
        <w:t>Business Analyst</w:t>
      </w:r>
    </w:p>
    <w:p w14:paraId="3CA6F6D9" w14:textId="2DB3AE49" w:rsidR="00B726F4" w:rsidRPr="00B726F4" w:rsidRDefault="00B726F4" w:rsidP="00DF1A6F">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eastAsiaTheme="majorEastAsia"/>
          <w:b/>
          <w:bCs/>
          <w:sz w:val="20"/>
          <w:szCs w:val="20"/>
          <w:lang w:val="en-IN"/>
        </w:rPr>
      </w:pPr>
      <w:r w:rsidRPr="00F65F5D">
        <w:rPr>
          <w:rFonts w:eastAsiaTheme="majorEastAsia"/>
          <w:b/>
          <w:bCs/>
          <w:sz w:val="20"/>
          <w:szCs w:val="20"/>
          <w:u w:val="single"/>
          <w:lang w:val="en-IN"/>
        </w:rPr>
        <w:t>Project Description</w:t>
      </w:r>
      <w:r w:rsidRPr="00B726F4">
        <w:rPr>
          <w:rFonts w:eastAsiaTheme="majorEastAsia"/>
          <w:b/>
          <w:bCs/>
          <w:sz w:val="20"/>
          <w:szCs w:val="20"/>
          <w:lang w:val="en-IN"/>
        </w:rPr>
        <w:t>:</w:t>
      </w:r>
      <w:r w:rsidR="00DF1A6F">
        <w:rPr>
          <w:rFonts w:eastAsiaTheme="majorEastAsia"/>
          <w:b/>
          <w:bCs/>
          <w:sz w:val="20"/>
          <w:szCs w:val="20"/>
          <w:lang w:val="en-IN"/>
        </w:rPr>
        <w:t xml:space="preserve"> </w:t>
      </w:r>
      <w:r w:rsidR="00DF1A6F" w:rsidRPr="00DF1A6F">
        <w:rPr>
          <w:rFonts w:eastAsiaTheme="majorEastAsia"/>
          <w:b/>
          <w:bCs/>
          <w:sz w:val="20"/>
          <w:szCs w:val="20"/>
        </w:rPr>
        <w:t xml:space="preserve">Supported a large-scale Insurance Core Systems Modernization and Outsourcing Program focused on transforming life insurance and annuity policy administration, claims, underwriting, commissions, and accounting systems. The initiative emphasized statutory accounting accuracy, reserve integrity, claims accounting, regulatory compliance, and </w:t>
      </w:r>
      <w:r w:rsidR="00DF1A6F" w:rsidRPr="00DF1A6F">
        <w:rPr>
          <w:rFonts w:eastAsiaTheme="majorEastAsia"/>
          <w:b/>
          <w:bCs/>
          <w:sz w:val="20"/>
          <w:szCs w:val="20"/>
        </w:rPr>
        <w:lastRenderedPageBreak/>
        <w:t>financial control readiness, while enabling cloud adoption, automation, and scalable insurance operations aligned with NAIC, GAAP, IFRS, HIPAA, and SOX requirements</w:t>
      </w:r>
      <w:r w:rsidRPr="00B726F4">
        <w:rPr>
          <w:rFonts w:eastAsiaTheme="majorEastAsia"/>
          <w:b/>
          <w:bCs/>
          <w:sz w:val="20"/>
          <w:szCs w:val="20"/>
          <w:lang w:val="en-IN"/>
        </w:rPr>
        <w:t>.</w:t>
      </w:r>
    </w:p>
    <w:p w14:paraId="6C58AD15" w14:textId="77777777" w:rsidR="00B726F4" w:rsidRPr="00B726F4" w:rsidRDefault="00B726F4" w:rsidP="00B726F4">
      <w:pPr>
        <w:pStyle w:val="NormalWeb"/>
        <w:spacing w:before="0" w:beforeAutospacing="0" w:after="0" w:afterAutospacing="0"/>
        <w:jc w:val="both"/>
        <w:rPr>
          <w:rFonts w:eastAsiaTheme="majorEastAsia"/>
          <w:b/>
          <w:bCs/>
          <w:sz w:val="20"/>
          <w:szCs w:val="20"/>
          <w:lang w:val="en-IN"/>
        </w:rPr>
      </w:pPr>
      <w:r w:rsidRPr="00B726F4">
        <w:rPr>
          <w:rFonts w:eastAsiaTheme="majorEastAsia"/>
          <w:b/>
          <w:bCs/>
          <w:sz w:val="20"/>
          <w:szCs w:val="20"/>
          <w:lang w:val="en-IN"/>
        </w:rPr>
        <w:t>Roles and Responsibilities:</w:t>
      </w:r>
    </w:p>
    <w:p w14:paraId="0A6B3626" w14:textId="1EFAE590"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Partnered with Accounting, Actuarial, Underwriting, Claims, Billing, and IT teams to gather and analyze business requirements across the insurance policy lifecycle, including premium billing, claims processing, commission accounting, reserve calculations, and financial reporting.</w:t>
      </w:r>
    </w:p>
    <w:p w14:paraId="4E08FAD0" w14:textId="1A45854E"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Performed detailed AS-IS and TO-BE process analysis for policy administration, claims adjudication, premium recognition, and payout workflows, identifying control gaps and optimization opportunities impacting accounting accuracy and regulatory compliance.</w:t>
      </w:r>
    </w:p>
    <w:p w14:paraId="498AE171" w14:textId="7817B974"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Authored comprehensive BRDs, FRDs, and RTMs defining insurance accounting rules, system configurations, data dependencies, and control checkpoints to ensure traceability across policy, claims, and finance systems.</w:t>
      </w:r>
    </w:p>
    <w:p w14:paraId="6FF78AC2" w14:textId="41329937"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Collaborated with actuarial teams to validate loss reserves, deferred annuity accruals, amortization logic, surrender values, and premium recognition models, ensuring alignment with statutory accounting principles and internal financial controls.</w:t>
      </w:r>
    </w:p>
    <w:p w14:paraId="06932519" w14:textId="4D2CB968"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Supported accounting processes for reserves and claims, including unearned premium reserves (UPR), loss reserves, claims provisioning, and payout validations, ensuring accurate posting to subledgers and the General Ledger.</w:t>
      </w:r>
    </w:p>
    <w:p w14:paraId="5602E3DB" w14:textId="47D1B03C"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Designed and validated data mappings and ETL workflows for migration of policyholder, claims, and financial data from legacy systems into modernized platforms, ensuring data completeness, accuracy, and reconciliation integrity.</w:t>
      </w:r>
    </w:p>
    <w:p w14:paraId="47EC361B" w14:textId="5262C563"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Executed advanced SQL queries to perform account-level and transaction-level reconciliations, validating balances between policy systems, claims modules, commission systems, and GL accounts.</w:t>
      </w:r>
    </w:p>
    <w:p w14:paraId="4BE472B7" w14:textId="323B4DC5"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Supported reinsurance-adjacent data flows by documenting and validating system logic related to ceded premiums, recoverables, and settlement reporting, ensuring accounting visibility and audit traceability.</w:t>
      </w:r>
    </w:p>
    <w:p w14:paraId="1611A635" w14:textId="28233A23"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Defined REST API specifications and integration requirements between policy administration systems, claims engines, CRM, and accounting platforms, validating JSON payloads, authentication, and response handling using Postman and Swagger.</w:t>
      </w:r>
    </w:p>
    <w:p w14:paraId="3E21FCEC" w14:textId="6A7A13B3"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Partnered with engineering teams to enforce security and compliance controls, including OAuth 2.0, encryption, data-retention policies, and access controls, ensuring adherence to HIPAA, SOX, and NAIC data-protection standards.</w:t>
      </w:r>
    </w:p>
    <w:p w14:paraId="38F0B005" w14:textId="6852A2B3"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Developed BPMN 2.0 process models and Visio diagrams illustrating end-to-end insurance workflows, including customer onboarding, policy servicing, claims settlement, and accounting touchpoints for stakeholder alignment.</w:t>
      </w:r>
    </w:p>
    <w:p w14:paraId="049D71D5" w14:textId="4538A3B7"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Planned and executed UAT cycles for accounting-sensitive insurance features, preparing test scenarios, test cases, and validation scripts, coordinating defect resolution through JIRA, and confirming financial correctness prior to release.</w:t>
      </w:r>
    </w:p>
    <w:p w14:paraId="2724ACD5" w14:textId="28ED7288"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Validated statutory and management reporting outputs, ensuring accurate representation of premiums written/earned, claims paid, reserves, commissions, and financial position across reporting layers.</w:t>
      </w:r>
    </w:p>
    <w:p w14:paraId="4507208D" w14:textId="384F9716"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Created Power BI dashboards and Excel models tracking SLA performance, financial metrics, reserve trends, claims throughput, and operational KPIs, supporting leadership decision-making and governance oversight.</w:t>
      </w:r>
    </w:p>
    <w:p w14:paraId="3D788B67" w14:textId="6063EC00"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Collaborated with compliance and audit teams to document process controls, data lineage, segregation of duties, and audit evidence, supporting regulatory exams and internal audits.</w:t>
      </w:r>
    </w:p>
    <w:p w14:paraId="5488C183" w14:textId="7461A100"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Supported change-management and transition activities by producing SOPs, operational runbooks, and knowledge-transfer documentation, ensuring smooth handover to managed services and sustained accounting controls.</w:t>
      </w:r>
    </w:p>
    <w:p w14:paraId="1D74A94A" w14:textId="606A7782" w:rsidR="00F65F5D" w:rsidRPr="002F781E" w:rsidRDefault="00F65F5D" w:rsidP="00F65F5D">
      <w:pPr>
        <w:pStyle w:val="NormalWeb"/>
        <w:numPr>
          <w:ilvl w:val="0"/>
          <w:numId w:val="44"/>
        </w:numPr>
        <w:spacing w:before="0" w:beforeAutospacing="0" w:after="0" w:afterAutospacing="0"/>
        <w:jc w:val="both"/>
        <w:rPr>
          <w:rFonts w:eastAsiaTheme="majorEastAsia"/>
          <w:sz w:val="20"/>
          <w:szCs w:val="20"/>
          <w:lang w:val="en-IN"/>
        </w:rPr>
      </w:pPr>
      <w:r w:rsidRPr="002F781E">
        <w:rPr>
          <w:rFonts w:eastAsiaTheme="majorEastAsia"/>
          <w:sz w:val="20"/>
          <w:szCs w:val="20"/>
          <w:lang w:val="en-IN"/>
        </w:rPr>
        <w:t>Maintained centralized SDLC documentation within Confluence and SharePoint, including process flows, data dictionaries, control mappings, UAT evidence, and audit artifacts, ensuring long-term maintainability and transparency.</w:t>
      </w:r>
    </w:p>
    <w:p w14:paraId="4F4F0316" w14:textId="60AF7EDE" w:rsidR="00B726F4" w:rsidRPr="009E72F1" w:rsidRDefault="00F65F5D" w:rsidP="00F65F5D">
      <w:pPr>
        <w:pStyle w:val="NormalWeb"/>
        <w:spacing w:before="0" w:beforeAutospacing="0" w:after="0" w:afterAutospacing="0"/>
        <w:jc w:val="both"/>
        <w:rPr>
          <w:rFonts w:eastAsiaTheme="majorEastAsia"/>
          <w:sz w:val="20"/>
          <w:szCs w:val="20"/>
          <w:lang w:val="en-IN"/>
        </w:rPr>
      </w:pPr>
      <w:r w:rsidRPr="00F65F5D">
        <w:rPr>
          <w:rFonts w:eastAsiaTheme="majorEastAsia"/>
          <w:b/>
          <w:bCs/>
          <w:sz w:val="20"/>
          <w:szCs w:val="20"/>
          <w:lang w:val="en-IN"/>
        </w:rPr>
        <w:t>Environment</w:t>
      </w:r>
      <w:r>
        <w:rPr>
          <w:rFonts w:eastAsiaTheme="majorEastAsia"/>
          <w:b/>
          <w:bCs/>
          <w:sz w:val="20"/>
          <w:szCs w:val="20"/>
          <w:lang w:val="en-IN"/>
        </w:rPr>
        <w:t xml:space="preserve">: </w:t>
      </w:r>
      <w:r w:rsidRPr="00F65F5D">
        <w:rPr>
          <w:rFonts w:eastAsiaTheme="majorEastAsia"/>
          <w:b/>
          <w:bCs/>
          <w:sz w:val="20"/>
          <w:szCs w:val="20"/>
          <w:lang w:val="en-IN"/>
        </w:rPr>
        <w:t>Agile–Waterfall Hybrid</w:t>
      </w:r>
      <w:r w:rsidRPr="00F65F5D">
        <w:rPr>
          <w:rFonts w:eastAsiaTheme="majorEastAsia"/>
          <w:sz w:val="20"/>
          <w:szCs w:val="20"/>
          <w:lang w:val="en-IN"/>
        </w:rPr>
        <w:t xml:space="preserve">, </w:t>
      </w:r>
      <w:r w:rsidRPr="00F65F5D">
        <w:rPr>
          <w:rFonts w:eastAsiaTheme="majorEastAsia"/>
          <w:b/>
          <w:bCs/>
          <w:sz w:val="20"/>
          <w:szCs w:val="20"/>
          <w:lang w:val="en-IN"/>
        </w:rPr>
        <w:t>Core Life &amp; Annuity Systems</w:t>
      </w:r>
      <w:r w:rsidRPr="00F65F5D">
        <w:rPr>
          <w:rFonts w:eastAsiaTheme="majorEastAsia"/>
          <w:sz w:val="20"/>
          <w:szCs w:val="20"/>
          <w:lang w:val="en-IN"/>
        </w:rPr>
        <w:t xml:space="preserve">, </w:t>
      </w:r>
      <w:r w:rsidRPr="00F65F5D">
        <w:rPr>
          <w:rFonts w:eastAsiaTheme="majorEastAsia"/>
          <w:b/>
          <w:bCs/>
          <w:sz w:val="20"/>
          <w:szCs w:val="20"/>
          <w:lang w:val="en-IN"/>
        </w:rPr>
        <w:t>SQL Server</w:t>
      </w:r>
      <w:r w:rsidRPr="00F65F5D">
        <w:rPr>
          <w:rFonts w:eastAsiaTheme="majorEastAsia"/>
          <w:sz w:val="20"/>
          <w:szCs w:val="20"/>
          <w:lang w:val="en-IN"/>
        </w:rPr>
        <w:t xml:space="preserve">, </w:t>
      </w:r>
      <w:r w:rsidRPr="00F65F5D">
        <w:rPr>
          <w:rFonts w:eastAsiaTheme="majorEastAsia"/>
          <w:b/>
          <w:bCs/>
          <w:sz w:val="20"/>
          <w:szCs w:val="20"/>
          <w:lang w:val="en-IN"/>
        </w:rPr>
        <w:t>Power BI</w:t>
      </w:r>
      <w:r w:rsidRPr="00F65F5D">
        <w:rPr>
          <w:rFonts w:eastAsiaTheme="majorEastAsia"/>
          <w:sz w:val="20"/>
          <w:szCs w:val="20"/>
          <w:lang w:val="en-IN"/>
        </w:rPr>
        <w:t xml:space="preserve">, </w:t>
      </w:r>
      <w:r w:rsidRPr="00F65F5D">
        <w:rPr>
          <w:rFonts w:eastAsiaTheme="majorEastAsia"/>
          <w:b/>
          <w:bCs/>
          <w:sz w:val="20"/>
          <w:szCs w:val="20"/>
          <w:lang w:val="en-IN"/>
        </w:rPr>
        <w:t>Excel (Pivot Tables, Financial Models)</w:t>
      </w:r>
      <w:r w:rsidRPr="00F65F5D">
        <w:rPr>
          <w:rFonts w:eastAsiaTheme="majorEastAsia"/>
          <w:sz w:val="20"/>
          <w:szCs w:val="20"/>
          <w:lang w:val="en-IN"/>
        </w:rPr>
        <w:t xml:space="preserve">, </w:t>
      </w:r>
      <w:r w:rsidRPr="00F65F5D">
        <w:rPr>
          <w:rFonts w:eastAsiaTheme="majorEastAsia"/>
          <w:b/>
          <w:bCs/>
          <w:sz w:val="20"/>
          <w:szCs w:val="20"/>
          <w:lang w:val="en-IN"/>
        </w:rPr>
        <w:t>JIRA</w:t>
      </w:r>
      <w:r w:rsidRPr="00F65F5D">
        <w:rPr>
          <w:rFonts w:eastAsiaTheme="majorEastAsia"/>
          <w:sz w:val="20"/>
          <w:szCs w:val="20"/>
          <w:lang w:val="en-IN"/>
        </w:rPr>
        <w:t xml:space="preserve">, </w:t>
      </w:r>
      <w:r w:rsidRPr="00F65F5D">
        <w:rPr>
          <w:rFonts w:eastAsiaTheme="majorEastAsia"/>
          <w:b/>
          <w:bCs/>
          <w:sz w:val="20"/>
          <w:szCs w:val="20"/>
          <w:lang w:val="en-IN"/>
        </w:rPr>
        <w:t>Confluence</w:t>
      </w:r>
      <w:r w:rsidRPr="00F65F5D">
        <w:rPr>
          <w:rFonts w:eastAsiaTheme="majorEastAsia"/>
          <w:sz w:val="20"/>
          <w:szCs w:val="20"/>
          <w:lang w:val="en-IN"/>
        </w:rPr>
        <w:t xml:space="preserve">, </w:t>
      </w:r>
      <w:r w:rsidRPr="00F65F5D">
        <w:rPr>
          <w:rFonts w:eastAsiaTheme="majorEastAsia"/>
          <w:b/>
          <w:bCs/>
          <w:sz w:val="20"/>
          <w:szCs w:val="20"/>
          <w:lang w:val="en-IN"/>
        </w:rPr>
        <w:t>SharePoint</w:t>
      </w:r>
      <w:r w:rsidRPr="00F65F5D">
        <w:rPr>
          <w:rFonts w:eastAsiaTheme="majorEastAsia"/>
          <w:sz w:val="20"/>
          <w:szCs w:val="20"/>
          <w:lang w:val="en-IN"/>
        </w:rPr>
        <w:t xml:space="preserve">, </w:t>
      </w:r>
      <w:r w:rsidRPr="00F65F5D">
        <w:rPr>
          <w:rFonts w:eastAsiaTheme="majorEastAsia"/>
          <w:b/>
          <w:bCs/>
          <w:sz w:val="20"/>
          <w:szCs w:val="20"/>
          <w:lang w:val="en-IN"/>
        </w:rPr>
        <w:t>Visio</w:t>
      </w:r>
      <w:r w:rsidRPr="00F65F5D">
        <w:rPr>
          <w:rFonts w:eastAsiaTheme="majorEastAsia"/>
          <w:sz w:val="20"/>
          <w:szCs w:val="20"/>
          <w:lang w:val="en-IN"/>
        </w:rPr>
        <w:t xml:space="preserve">, </w:t>
      </w:r>
      <w:r w:rsidRPr="00F65F5D">
        <w:rPr>
          <w:rFonts w:eastAsiaTheme="majorEastAsia"/>
          <w:b/>
          <w:bCs/>
          <w:sz w:val="20"/>
          <w:szCs w:val="20"/>
          <w:lang w:val="en-IN"/>
        </w:rPr>
        <w:t>ServiceNow</w:t>
      </w:r>
      <w:r w:rsidRPr="00F65F5D">
        <w:rPr>
          <w:rFonts w:eastAsiaTheme="majorEastAsia"/>
          <w:sz w:val="20"/>
          <w:szCs w:val="20"/>
          <w:lang w:val="en-IN"/>
        </w:rPr>
        <w:t xml:space="preserve">, </w:t>
      </w:r>
      <w:r w:rsidRPr="00F65F5D">
        <w:rPr>
          <w:rFonts w:eastAsiaTheme="majorEastAsia"/>
          <w:b/>
          <w:bCs/>
          <w:sz w:val="20"/>
          <w:szCs w:val="20"/>
          <w:lang w:val="en-IN"/>
        </w:rPr>
        <w:t>Informatica ETL</w:t>
      </w:r>
      <w:r w:rsidRPr="00F65F5D">
        <w:rPr>
          <w:rFonts w:eastAsiaTheme="majorEastAsia"/>
          <w:sz w:val="20"/>
          <w:szCs w:val="20"/>
          <w:lang w:val="en-IN"/>
        </w:rPr>
        <w:t xml:space="preserve">, </w:t>
      </w:r>
      <w:r w:rsidRPr="00F65F5D">
        <w:rPr>
          <w:rFonts w:eastAsiaTheme="majorEastAsia"/>
          <w:b/>
          <w:bCs/>
          <w:sz w:val="20"/>
          <w:szCs w:val="20"/>
          <w:lang w:val="en-IN"/>
        </w:rPr>
        <w:t>AWS Cloud</w:t>
      </w:r>
      <w:r w:rsidRPr="00F65F5D">
        <w:rPr>
          <w:rFonts w:eastAsiaTheme="majorEastAsia"/>
          <w:sz w:val="20"/>
          <w:szCs w:val="20"/>
          <w:lang w:val="en-IN"/>
        </w:rPr>
        <w:t xml:space="preserve">, </w:t>
      </w:r>
      <w:r w:rsidRPr="00F65F5D">
        <w:rPr>
          <w:rFonts w:eastAsiaTheme="majorEastAsia"/>
          <w:b/>
          <w:bCs/>
          <w:sz w:val="20"/>
          <w:szCs w:val="20"/>
          <w:lang w:val="en-IN"/>
        </w:rPr>
        <w:t>REST/SOAP APIs</w:t>
      </w:r>
      <w:r w:rsidRPr="00F65F5D">
        <w:rPr>
          <w:rFonts w:eastAsiaTheme="majorEastAsia"/>
          <w:sz w:val="20"/>
          <w:szCs w:val="20"/>
          <w:lang w:val="en-IN"/>
        </w:rPr>
        <w:t xml:space="preserve">, </w:t>
      </w:r>
      <w:r w:rsidRPr="00F65F5D">
        <w:rPr>
          <w:rFonts w:eastAsiaTheme="majorEastAsia"/>
          <w:b/>
          <w:bCs/>
          <w:sz w:val="20"/>
          <w:szCs w:val="20"/>
          <w:lang w:val="en-IN"/>
        </w:rPr>
        <w:t>JSON/XML</w:t>
      </w:r>
      <w:r w:rsidRPr="00F65F5D">
        <w:rPr>
          <w:rFonts w:eastAsiaTheme="majorEastAsia"/>
          <w:sz w:val="20"/>
          <w:szCs w:val="20"/>
          <w:lang w:val="en-IN"/>
        </w:rPr>
        <w:t xml:space="preserve">, </w:t>
      </w:r>
      <w:r w:rsidRPr="00F65F5D">
        <w:rPr>
          <w:rFonts w:eastAsiaTheme="majorEastAsia"/>
          <w:b/>
          <w:bCs/>
          <w:sz w:val="20"/>
          <w:szCs w:val="20"/>
          <w:lang w:val="en-IN"/>
        </w:rPr>
        <w:t>Policy Administration Platforms</w:t>
      </w:r>
      <w:r w:rsidRPr="00F65F5D">
        <w:rPr>
          <w:rFonts w:eastAsiaTheme="majorEastAsia"/>
          <w:sz w:val="20"/>
          <w:szCs w:val="20"/>
          <w:lang w:val="en-IN"/>
        </w:rPr>
        <w:t xml:space="preserve">, </w:t>
      </w:r>
      <w:r w:rsidRPr="00F65F5D">
        <w:rPr>
          <w:rFonts w:eastAsiaTheme="majorEastAsia"/>
          <w:b/>
          <w:bCs/>
          <w:sz w:val="20"/>
          <w:szCs w:val="20"/>
          <w:lang w:val="en-IN"/>
        </w:rPr>
        <w:t>Insurance Accounting</w:t>
      </w:r>
      <w:r w:rsidRPr="00F65F5D">
        <w:rPr>
          <w:rFonts w:eastAsiaTheme="majorEastAsia"/>
          <w:sz w:val="20"/>
          <w:szCs w:val="20"/>
          <w:lang w:val="en-IN"/>
        </w:rPr>
        <w:t xml:space="preserve">, </w:t>
      </w:r>
      <w:r w:rsidRPr="00F65F5D">
        <w:rPr>
          <w:rFonts w:eastAsiaTheme="majorEastAsia"/>
          <w:b/>
          <w:bCs/>
          <w:sz w:val="20"/>
          <w:szCs w:val="20"/>
          <w:lang w:val="en-IN"/>
        </w:rPr>
        <w:t>NAIC</w:t>
      </w:r>
      <w:r w:rsidRPr="00F65F5D">
        <w:rPr>
          <w:rFonts w:eastAsiaTheme="majorEastAsia"/>
          <w:sz w:val="20"/>
          <w:szCs w:val="20"/>
          <w:lang w:val="en-IN"/>
        </w:rPr>
        <w:t xml:space="preserve">, </w:t>
      </w:r>
      <w:r w:rsidRPr="00F65F5D">
        <w:rPr>
          <w:rFonts w:eastAsiaTheme="majorEastAsia"/>
          <w:b/>
          <w:bCs/>
          <w:sz w:val="20"/>
          <w:szCs w:val="20"/>
          <w:lang w:val="en-IN"/>
        </w:rPr>
        <w:t>GAAP</w:t>
      </w:r>
      <w:r w:rsidRPr="00F65F5D">
        <w:rPr>
          <w:rFonts w:eastAsiaTheme="majorEastAsia"/>
          <w:sz w:val="20"/>
          <w:szCs w:val="20"/>
          <w:lang w:val="en-IN"/>
        </w:rPr>
        <w:t xml:space="preserve">, </w:t>
      </w:r>
      <w:r w:rsidRPr="00F65F5D">
        <w:rPr>
          <w:rFonts w:eastAsiaTheme="majorEastAsia"/>
          <w:b/>
          <w:bCs/>
          <w:sz w:val="20"/>
          <w:szCs w:val="20"/>
          <w:lang w:val="en-IN"/>
        </w:rPr>
        <w:t>IFRS</w:t>
      </w:r>
      <w:r w:rsidRPr="00F65F5D">
        <w:rPr>
          <w:rFonts w:eastAsiaTheme="majorEastAsia"/>
          <w:sz w:val="20"/>
          <w:szCs w:val="20"/>
          <w:lang w:val="en-IN"/>
        </w:rPr>
        <w:t xml:space="preserve">, </w:t>
      </w:r>
      <w:r w:rsidRPr="00F65F5D">
        <w:rPr>
          <w:rFonts w:eastAsiaTheme="majorEastAsia"/>
          <w:b/>
          <w:bCs/>
          <w:sz w:val="20"/>
          <w:szCs w:val="20"/>
          <w:lang w:val="en-IN"/>
        </w:rPr>
        <w:t>SOX</w:t>
      </w:r>
      <w:r w:rsidRPr="00F65F5D">
        <w:rPr>
          <w:rFonts w:eastAsiaTheme="majorEastAsia"/>
          <w:sz w:val="20"/>
          <w:szCs w:val="20"/>
          <w:lang w:val="en-IN"/>
        </w:rPr>
        <w:t xml:space="preserve">, </w:t>
      </w:r>
      <w:r w:rsidRPr="00F65F5D">
        <w:rPr>
          <w:rFonts w:eastAsiaTheme="majorEastAsia"/>
          <w:b/>
          <w:bCs/>
          <w:sz w:val="20"/>
          <w:szCs w:val="20"/>
          <w:lang w:val="en-IN"/>
        </w:rPr>
        <w:t>HIPAA</w:t>
      </w:r>
    </w:p>
    <w:p w14:paraId="48908A8D" w14:textId="60D10B7A" w:rsidR="00EC64B7" w:rsidRDefault="00EC64B7" w:rsidP="00EC64B7">
      <w:pPr>
        <w:pBdr>
          <w:top w:val="single" w:sz="2" w:space="1" w:color="auto"/>
          <w:left w:val="single" w:sz="2" w:space="4" w:color="auto"/>
          <w:bottom w:val="single" w:sz="2" w:space="1" w:color="auto"/>
          <w:right w:val="single" w:sz="2" w:space="4" w:color="auto"/>
        </w:pBdr>
        <w:jc w:val="both"/>
        <w:rPr>
          <w:b/>
          <w:bCs/>
          <w:i/>
          <w:iCs/>
          <w:color w:val="000000"/>
          <w:sz w:val="20"/>
          <w:szCs w:val="20"/>
        </w:rPr>
      </w:pPr>
      <w:r w:rsidRPr="00EC64B7">
        <w:rPr>
          <w:b/>
          <w:bCs/>
          <w:color w:val="000000"/>
          <w:sz w:val="20"/>
          <w:szCs w:val="20"/>
        </w:rPr>
        <w:t xml:space="preserve">Zions Bancorporation, Salt Lake City, Utah </w:t>
      </w:r>
      <w:r>
        <w:rPr>
          <w:b/>
          <w:bCs/>
          <w:color w:val="000000"/>
          <w:sz w:val="20"/>
          <w:szCs w:val="20"/>
        </w:rPr>
        <w:t xml:space="preserve">                                                                                                </w:t>
      </w:r>
      <w:r w:rsidRPr="00EC64B7">
        <w:rPr>
          <w:b/>
          <w:bCs/>
          <w:color w:val="000000"/>
          <w:sz w:val="20"/>
          <w:szCs w:val="20"/>
        </w:rPr>
        <w:t>(June 2017 – April 20</w:t>
      </w:r>
      <w:r w:rsidR="00B726F4">
        <w:rPr>
          <w:b/>
          <w:bCs/>
          <w:color w:val="000000"/>
          <w:sz w:val="20"/>
          <w:szCs w:val="20"/>
        </w:rPr>
        <w:t>19</w:t>
      </w:r>
      <w:r w:rsidRPr="00EC64B7">
        <w:rPr>
          <w:b/>
          <w:bCs/>
          <w:color w:val="000000"/>
          <w:sz w:val="20"/>
          <w:szCs w:val="20"/>
        </w:rPr>
        <w:t>)</w:t>
      </w:r>
    </w:p>
    <w:p w14:paraId="02118C16" w14:textId="1A7D00B3" w:rsidR="008C2C20" w:rsidRDefault="00D86B88" w:rsidP="00EC64B7">
      <w:pPr>
        <w:pBdr>
          <w:top w:val="single" w:sz="2" w:space="1" w:color="auto"/>
          <w:left w:val="single" w:sz="2" w:space="4" w:color="auto"/>
          <w:bottom w:val="single" w:sz="2" w:space="1" w:color="auto"/>
          <w:right w:val="single" w:sz="2" w:space="4" w:color="auto"/>
        </w:pBdr>
        <w:jc w:val="both"/>
      </w:pPr>
      <w:r>
        <w:rPr>
          <w:b/>
          <w:bCs/>
          <w:color w:val="000000"/>
          <w:sz w:val="20"/>
          <w:szCs w:val="20"/>
        </w:rPr>
        <w:t>Junior Financial Analyst</w:t>
      </w:r>
    </w:p>
    <w:p w14:paraId="055A1097" w14:textId="77777777" w:rsidR="00380D8C" w:rsidRDefault="008C2C20" w:rsidP="00380D8C">
      <w:pPr>
        <w:pBdr>
          <w:top w:val="single" w:sz="2" w:space="1" w:color="auto"/>
          <w:left w:val="single" w:sz="2" w:space="4" w:color="auto"/>
          <w:bottom w:val="single" w:sz="2" w:space="1" w:color="auto"/>
          <w:right w:val="single" w:sz="2" w:space="4" w:color="auto"/>
        </w:pBdr>
        <w:jc w:val="both"/>
        <w:rPr>
          <w:b/>
          <w:bCs/>
          <w:color w:val="1C1E29"/>
          <w:sz w:val="20"/>
          <w:szCs w:val="20"/>
        </w:rPr>
      </w:pPr>
      <w:r w:rsidRPr="00563E50">
        <w:rPr>
          <w:b/>
          <w:bCs/>
          <w:color w:val="000000"/>
          <w:sz w:val="20"/>
          <w:szCs w:val="20"/>
          <w:u w:val="single"/>
        </w:rPr>
        <w:t>Project Description</w:t>
      </w:r>
      <w:r w:rsidRPr="00563E50">
        <w:rPr>
          <w:b/>
          <w:bCs/>
          <w:color w:val="000000"/>
          <w:sz w:val="20"/>
          <w:szCs w:val="20"/>
        </w:rPr>
        <w:t>:</w:t>
      </w:r>
      <w:r w:rsidR="00563E50" w:rsidRPr="00563E50">
        <w:rPr>
          <w:b/>
          <w:bCs/>
          <w:color w:val="1C1E29"/>
          <w:sz w:val="20"/>
          <w:szCs w:val="20"/>
        </w:rPr>
        <w:t xml:space="preserve"> </w:t>
      </w:r>
      <w:r w:rsidR="00380D8C" w:rsidRPr="00380D8C">
        <w:rPr>
          <w:b/>
          <w:bCs/>
          <w:color w:val="1C1E29"/>
          <w:sz w:val="20"/>
          <w:szCs w:val="20"/>
        </w:rPr>
        <w:t>Enhanced Treasury and Liquidity Management Systems supporting Money Market and Fixed-Income investments, Eurodollar and Fed Funds transactions, and inter-bank funding operations. Streamlined deal booking, collateral management, and settlement processes while strengthening accounting controls for Money Market trades.</w:t>
      </w:r>
    </w:p>
    <w:p w14:paraId="5783E0EC" w14:textId="5C96196B" w:rsidR="008C2C20" w:rsidRPr="002D7091" w:rsidRDefault="008C2C20" w:rsidP="00380D8C">
      <w:pPr>
        <w:jc w:val="both"/>
        <w:rPr>
          <w:b/>
          <w:bCs/>
          <w:sz w:val="20"/>
          <w:szCs w:val="20"/>
          <w:u w:val="single"/>
        </w:rPr>
      </w:pPr>
      <w:r w:rsidRPr="00594058">
        <w:rPr>
          <w:b/>
          <w:bCs/>
          <w:color w:val="0F4761" w:themeColor="accent1" w:themeShade="BF"/>
          <w:sz w:val="20"/>
          <w:szCs w:val="20"/>
          <w:u w:val="single"/>
        </w:rPr>
        <w:t>Roles and Responsibilities</w:t>
      </w:r>
      <w:r w:rsidR="00D86B88">
        <w:rPr>
          <w:b/>
          <w:bCs/>
          <w:color w:val="0F4761" w:themeColor="accent1" w:themeShade="BF"/>
          <w:sz w:val="20"/>
          <w:szCs w:val="20"/>
          <w:u w:val="single"/>
        </w:rPr>
        <w:t>:</w:t>
      </w:r>
    </w:p>
    <w:bookmarkEnd w:id="0"/>
    <w:p w14:paraId="0E38EF59" w14:textId="77777777" w:rsidR="00563E50" w:rsidRPr="007D5B4B" w:rsidRDefault="00563E50" w:rsidP="00563E50">
      <w:pPr>
        <w:pStyle w:val="ListParagraph"/>
        <w:numPr>
          <w:ilvl w:val="0"/>
          <w:numId w:val="1"/>
        </w:numPr>
        <w:jc w:val="both"/>
        <w:rPr>
          <w:sz w:val="20"/>
          <w:szCs w:val="20"/>
        </w:rPr>
      </w:pPr>
      <w:r w:rsidRPr="00597992">
        <w:rPr>
          <w:sz w:val="20"/>
          <w:szCs w:val="20"/>
        </w:rPr>
        <w:t xml:space="preserve">Collaborated with </w:t>
      </w:r>
      <w:r>
        <w:rPr>
          <w:sz w:val="20"/>
          <w:szCs w:val="20"/>
        </w:rPr>
        <w:t>Treasury and Cash</w:t>
      </w:r>
      <w:r w:rsidRPr="00597992">
        <w:rPr>
          <w:sz w:val="20"/>
          <w:szCs w:val="20"/>
        </w:rPr>
        <w:t>, Finance, and Risk teams to gather requirements for enhancing cash management, liquidity forecasting, and intraday funding processes, ensuring alignment with ISO 20022, SWIFT MT/MX, and regulatory standards</w:t>
      </w:r>
      <w:r w:rsidRPr="007D5B4B">
        <w:rPr>
          <w:sz w:val="20"/>
          <w:szCs w:val="20"/>
        </w:rPr>
        <w:t>.</w:t>
      </w:r>
      <w:r w:rsidRPr="007D5B4B">
        <w:t xml:space="preserve"> </w:t>
      </w:r>
    </w:p>
    <w:p w14:paraId="3942F323" w14:textId="77777777" w:rsidR="00563E50" w:rsidRPr="007D5B4B" w:rsidRDefault="00563E50" w:rsidP="00563E50">
      <w:pPr>
        <w:pStyle w:val="ListParagraph"/>
        <w:numPr>
          <w:ilvl w:val="0"/>
          <w:numId w:val="1"/>
        </w:numPr>
        <w:jc w:val="both"/>
        <w:rPr>
          <w:sz w:val="20"/>
          <w:szCs w:val="20"/>
        </w:rPr>
      </w:pPr>
      <w:r w:rsidRPr="00597992">
        <w:rPr>
          <w:sz w:val="20"/>
          <w:szCs w:val="20"/>
        </w:rPr>
        <w:t xml:space="preserve">Facilitated discovery workshops and JAD sessions with front-office </w:t>
      </w:r>
      <w:r>
        <w:rPr>
          <w:sz w:val="20"/>
          <w:szCs w:val="20"/>
        </w:rPr>
        <w:t>Treasury and Cash</w:t>
      </w:r>
      <w:r w:rsidRPr="00597992">
        <w:rPr>
          <w:sz w:val="20"/>
          <w:szCs w:val="20"/>
        </w:rPr>
        <w:t xml:space="preserve">, middle-office controllers, and operations SMEs to define functional and technical specifications for </w:t>
      </w:r>
      <w:r>
        <w:rPr>
          <w:sz w:val="20"/>
          <w:szCs w:val="20"/>
        </w:rPr>
        <w:t>Treasury and Cash</w:t>
      </w:r>
      <w:r w:rsidRPr="00597992">
        <w:rPr>
          <w:sz w:val="20"/>
          <w:szCs w:val="20"/>
        </w:rPr>
        <w:t xml:space="preserve"> deal booking and collateral workflows</w:t>
      </w:r>
      <w:r w:rsidRPr="007D5B4B">
        <w:rPr>
          <w:sz w:val="20"/>
          <w:szCs w:val="20"/>
        </w:rPr>
        <w:t>.</w:t>
      </w:r>
    </w:p>
    <w:p w14:paraId="58765C55" w14:textId="77777777" w:rsidR="00563E50" w:rsidRDefault="00563E50" w:rsidP="00563E50">
      <w:pPr>
        <w:pStyle w:val="ListParagraph"/>
        <w:numPr>
          <w:ilvl w:val="0"/>
          <w:numId w:val="1"/>
        </w:numPr>
        <w:jc w:val="both"/>
        <w:rPr>
          <w:sz w:val="20"/>
          <w:szCs w:val="20"/>
        </w:rPr>
      </w:pPr>
      <w:r w:rsidRPr="00597992">
        <w:rPr>
          <w:sz w:val="20"/>
          <w:szCs w:val="20"/>
        </w:rPr>
        <w:t xml:space="preserve">Conducted AS-IS analysis of </w:t>
      </w:r>
      <w:r>
        <w:rPr>
          <w:sz w:val="20"/>
          <w:szCs w:val="20"/>
        </w:rPr>
        <w:t>Treasury and Cash</w:t>
      </w:r>
      <w:r w:rsidRPr="00597992">
        <w:rPr>
          <w:sz w:val="20"/>
          <w:szCs w:val="20"/>
        </w:rPr>
        <w:t xml:space="preserve"> funding, FX, and investment processes; proposed TO-BE models to improve automation, exception handling, and STP across liquidity, forecasting, and settlement operations</w:t>
      </w:r>
      <w:r>
        <w:rPr>
          <w:sz w:val="20"/>
          <w:szCs w:val="20"/>
        </w:rPr>
        <w:t>.</w:t>
      </w:r>
    </w:p>
    <w:p w14:paraId="4FC101D1" w14:textId="77777777" w:rsidR="00563E50" w:rsidRPr="007D5B4B" w:rsidRDefault="00563E50" w:rsidP="00563E50">
      <w:pPr>
        <w:pStyle w:val="ListParagraph"/>
        <w:numPr>
          <w:ilvl w:val="0"/>
          <w:numId w:val="1"/>
        </w:numPr>
        <w:jc w:val="both"/>
        <w:rPr>
          <w:sz w:val="20"/>
          <w:szCs w:val="20"/>
        </w:rPr>
      </w:pPr>
      <w:r w:rsidRPr="00597992">
        <w:rPr>
          <w:sz w:val="20"/>
          <w:szCs w:val="20"/>
        </w:rPr>
        <w:t xml:space="preserve">Created end-to-end </w:t>
      </w:r>
      <w:r>
        <w:rPr>
          <w:sz w:val="20"/>
          <w:szCs w:val="20"/>
        </w:rPr>
        <w:t>Treasury and Cash</w:t>
      </w:r>
      <w:r w:rsidRPr="00597992">
        <w:rPr>
          <w:sz w:val="20"/>
          <w:szCs w:val="20"/>
        </w:rPr>
        <w:t xml:space="preserve"> flow diagrams using Visio and Figma, mapping payment, funding, and investment lifecycles to enhance system logic, reduce manual touchpoints, and ensure timely execution of </w:t>
      </w:r>
      <w:r>
        <w:rPr>
          <w:sz w:val="20"/>
          <w:szCs w:val="20"/>
        </w:rPr>
        <w:t>Treasury and Cash</w:t>
      </w:r>
      <w:r w:rsidRPr="00597992">
        <w:rPr>
          <w:sz w:val="20"/>
          <w:szCs w:val="20"/>
        </w:rPr>
        <w:t xml:space="preserve"> operations</w:t>
      </w:r>
      <w:r w:rsidRPr="007D5B4B">
        <w:rPr>
          <w:sz w:val="20"/>
          <w:szCs w:val="20"/>
        </w:rPr>
        <w:t>.</w:t>
      </w:r>
      <w:r w:rsidRPr="007D5B4B">
        <w:t xml:space="preserve"> </w:t>
      </w:r>
    </w:p>
    <w:p w14:paraId="3A6FA011" w14:textId="77777777" w:rsidR="00563E50" w:rsidRPr="007D5B4B" w:rsidRDefault="00563E50" w:rsidP="00563E50">
      <w:pPr>
        <w:pStyle w:val="ListParagraph"/>
        <w:numPr>
          <w:ilvl w:val="0"/>
          <w:numId w:val="1"/>
        </w:numPr>
        <w:jc w:val="both"/>
        <w:rPr>
          <w:sz w:val="20"/>
          <w:szCs w:val="20"/>
          <w:lang w:val="en-IN"/>
        </w:rPr>
      </w:pPr>
      <w:r w:rsidRPr="001927EA">
        <w:rPr>
          <w:sz w:val="20"/>
          <w:szCs w:val="20"/>
          <w:lang w:val="en-GB"/>
        </w:rPr>
        <w:t>Authored detailed BRDs, FRDs, SRS documents, and RTMs to ensure traceability of payment features,</w:t>
      </w:r>
      <w:r w:rsidRPr="00234BDC">
        <w:rPr>
          <w:color w:val="1C1E29"/>
          <w:sz w:val="20"/>
          <w:szCs w:val="20"/>
          <w:lang w:val="en-IN"/>
        </w:rPr>
        <w:t xml:space="preserve"> </w:t>
      </w:r>
      <w:r w:rsidRPr="6C577D04">
        <w:rPr>
          <w:color w:val="1C1E29"/>
          <w:sz w:val="20"/>
          <w:szCs w:val="20"/>
          <w:lang w:val="en-IN"/>
        </w:rPr>
        <w:t>Order Management System</w:t>
      </w:r>
      <w:r>
        <w:rPr>
          <w:color w:val="1C1E29"/>
          <w:sz w:val="20"/>
          <w:szCs w:val="20"/>
          <w:lang w:val="en-IN"/>
        </w:rPr>
        <w:t>,</w:t>
      </w:r>
      <w:r w:rsidRPr="001927EA">
        <w:rPr>
          <w:sz w:val="20"/>
          <w:szCs w:val="20"/>
          <w:lang w:val="en-GB"/>
        </w:rPr>
        <w:t xml:space="preserve"> rule engines, and compliance validations through all SDLC phases</w:t>
      </w:r>
      <w:r w:rsidRPr="007D5B4B">
        <w:rPr>
          <w:sz w:val="20"/>
          <w:szCs w:val="20"/>
          <w:lang w:val="en-IN"/>
        </w:rPr>
        <w:t>.</w:t>
      </w:r>
      <w:r w:rsidRPr="007D5B4B">
        <w:t xml:space="preserve"> </w:t>
      </w:r>
    </w:p>
    <w:p w14:paraId="652646C2" w14:textId="77777777" w:rsidR="00563E50" w:rsidRPr="007D5B4B" w:rsidRDefault="00563E50" w:rsidP="00563E50">
      <w:pPr>
        <w:pStyle w:val="ListParagraph"/>
        <w:numPr>
          <w:ilvl w:val="0"/>
          <w:numId w:val="1"/>
        </w:numPr>
        <w:jc w:val="both"/>
        <w:rPr>
          <w:sz w:val="20"/>
          <w:szCs w:val="20"/>
          <w:lang w:val="en-IN"/>
        </w:rPr>
      </w:pPr>
      <w:r w:rsidRPr="001927EA">
        <w:rPr>
          <w:sz w:val="20"/>
          <w:szCs w:val="20"/>
          <w:lang w:val="en-GB"/>
        </w:rPr>
        <w:t>Defined business rules for payment validations, sanctions screening, and exception handling logic; collaborated with developers integrating AWS Glue and Lambda to automate these workflows</w:t>
      </w:r>
      <w:r w:rsidRPr="007D5B4B">
        <w:rPr>
          <w:sz w:val="20"/>
          <w:szCs w:val="20"/>
          <w:lang w:val="en-IN"/>
        </w:rPr>
        <w:t>.</w:t>
      </w:r>
      <w:r w:rsidRPr="007D5B4B">
        <w:rPr>
          <w:sz w:val="20"/>
          <w:szCs w:val="20"/>
        </w:rPr>
        <w:t xml:space="preserve"> </w:t>
      </w:r>
    </w:p>
    <w:p w14:paraId="0875767E" w14:textId="352C6C76" w:rsidR="00563E50" w:rsidRPr="007D5B4B" w:rsidRDefault="00563E50" w:rsidP="00563E50">
      <w:pPr>
        <w:pStyle w:val="ListParagraph"/>
        <w:numPr>
          <w:ilvl w:val="0"/>
          <w:numId w:val="1"/>
        </w:numPr>
        <w:jc w:val="both"/>
        <w:rPr>
          <w:sz w:val="20"/>
          <w:szCs w:val="20"/>
          <w:lang w:val="en-IN"/>
        </w:rPr>
      </w:pPr>
      <w:r w:rsidRPr="001927EA">
        <w:rPr>
          <w:sz w:val="20"/>
          <w:szCs w:val="20"/>
          <w:lang w:val="en-GB"/>
        </w:rPr>
        <w:lastRenderedPageBreak/>
        <w:t>Leveraged AWS DynamoDB to ensure low-latency access to payment transaction records and audit logs, supporting real-time validation and monitoring</w:t>
      </w:r>
      <w:r>
        <w:rPr>
          <w:sz w:val="20"/>
          <w:szCs w:val="20"/>
          <w:lang w:val="en-GB"/>
        </w:rPr>
        <w:t xml:space="preserve"> for</w:t>
      </w:r>
      <w:r>
        <w:rPr>
          <w:color w:val="1C1E29"/>
          <w:sz w:val="20"/>
          <w:szCs w:val="20"/>
          <w:lang w:val="en-IN"/>
        </w:rPr>
        <w:t xml:space="preserve"> </w:t>
      </w:r>
      <w:r w:rsidR="002813C6">
        <w:rPr>
          <w:color w:val="000000" w:themeColor="text1"/>
          <w:sz w:val="20"/>
          <w:szCs w:val="20"/>
        </w:rPr>
        <w:t>Global capital markets</w:t>
      </w:r>
      <w:r w:rsidRPr="00C87B35">
        <w:rPr>
          <w:color w:val="000000" w:themeColor="text1"/>
          <w:sz w:val="20"/>
          <w:szCs w:val="20"/>
        </w:rPr>
        <w:t xml:space="preserve"> Trading</w:t>
      </w:r>
      <w:r>
        <w:rPr>
          <w:color w:val="1C1E29"/>
          <w:sz w:val="20"/>
          <w:szCs w:val="20"/>
          <w:lang w:val="en-IN"/>
        </w:rPr>
        <w:t xml:space="preserve"> </w:t>
      </w:r>
      <w:r w:rsidRPr="6C577D04">
        <w:rPr>
          <w:color w:val="1C1E29"/>
          <w:sz w:val="20"/>
          <w:szCs w:val="20"/>
          <w:lang w:val="en-IN"/>
        </w:rPr>
        <w:t>platform</w:t>
      </w:r>
      <w:r w:rsidRPr="007D5B4B">
        <w:rPr>
          <w:sz w:val="20"/>
          <w:szCs w:val="20"/>
        </w:rPr>
        <w:t>.</w:t>
      </w:r>
      <w:r w:rsidRPr="007D5B4B">
        <w:t xml:space="preserve"> </w:t>
      </w:r>
    </w:p>
    <w:p w14:paraId="1D4F7679" w14:textId="77777777" w:rsidR="00563E50" w:rsidRPr="007D5B4B" w:rsidRDefault="00563E50" w:rsidP="00563E50">
      <w:pPr>
        <w:pStyle w:val="ListParagraph"/>
        <w:numPr>
          <w:ilvl w:val="0"/>
          <w:numId w:val="1"/>
        </w:numPr>
        <w:jc w:val="both"/>
        <w:rPr>
          <w:sz w:val="20"/>
          <w:szCs w:val="20"/>
          <w:lang w:val="en-IN"/>
        </w:rPr>
      </w:pPr>
      <w:r w:rsidRPr="00400B25">
        <w:rPr>
          <w:sz w:val="20"/>
          <w:szCs w:val="20"/>
        </w:rPr>
        <w:t>Built ETL pipelines using Snowflake and AWS Glue to transform and load payment data from multiple banking systems, ensuring compliance with data governance standards and enabling clean, traceable data ingestion</w:t>
      </w:r>
      <w:r w:rsidRPr="007D5B4B">
        <w:rPr>
          <w:sz w:val="20"/>
          <w:szCs w:val="20"/>
          <w:lang w:val="en-IN"/>
        </w:rPr>
        <w:t>.</w:t>
      </w:r>
      <w:r w:rsidRPr="007D5B4B">
        <w:t xml:space="preserve"> </w:t>
      </w:r>
    </w:p>
    <w:p w14:paraId="20532B12" w14:textId="77777777" w:rsidR="00BE78E9" w:rsidRPr="00BE78E9" w:rsidRDefault="00563E50" w:rsidP="00BE78E9">
      <w:pPr>
        <w:pStyle w:val="ListParagraph"/>
        <w:numPr>
          <w:ilvl w:val="0"/>
          <w:numId w:val="1"/>
        </w:numPr>
        <w:jc w:val="both"/>
        <w:rPr>
          <w:sz w:val="20"/>
          <w:szCs w:val="20"/>
          <w:lang w:val="en-IN"/>
        </w:rPr>
      </w:pPr>
      <w:r w:rsidRPr="00400B25">
        <w:rPr>
          <w:sz w:val="20"/>
          <w:szCs w:val="20"/>
        </w:rPr>
        <w:t>Wrote and executed complex SQL scripts in Snowflake and MS SQL Server to validate backend payment data, ensuring transaction integrity, currency accuracy, and alignment with enterprise data governance policies</w:t>
      </w:r>
      <w:r w:rsidRPr="007D5B4B">
        <w:rPr>
          <w:sz w:val="20"/>
          <w:szCs w:val="20"/>
          <w:lang w:val="en-IN"/>
        </w:rPr>
        <w:t>.</w:t>
      </w:r>
      <w:r w:rsidRPr="007D5B4B">
        <w:t xml:space="preserve"> </w:t>
      </w:r>
    </w:p>
    <w:p w14:paraId="293FAD48" w14:textId="03063606" w:rsidR="00BE78E9" w:rsidRPr="00BE78E9" w:rsidRDefault="00BE78E9" w:rsidP="00BE78E9">
      <w:pPr>
        <w:pStyle w:val="ListParagraph"/>
        <w:numPr>
          <w:ilvl w:val="0"/>
          <w:numId w:val="1"/>
        </w:numPr>
        <w:jc w:val="both"/>
        <w:rPr>
          <w:sz w:val="20"/>
          <w:szCs w:val="20"/>
          <w:lang w:val="en-IN"/>
        </w:rPr>
      </w:pPr>
      <w:r w:rsidRPr="00BE78E9">
        <w:rPr>
          <w:sz w:val="20"/>
          <w:szCs w:val="20"/>
        </w:rPr>
        <w:t>Supported subledger accounting integration for Money Market and Fixed Income trades, reconciling balance movements between settlement systems and General Ledger.</w:t>
      </w:r>
    </w:p>
    <w:p w14:paraId="3B4B613A" w14:textId="6D20CB7B" w:rsidR="00BE78E9" w:rsidRPr="00BE78E9" w:rsidRDefault="00BE78E9" w:rsidP="00BE78E9">
      <w:pPr>
        <w:pStyle w:val="ListParagraph"/>
        <w:numPr>
          <w:ilvl w:val="0"/>
          <w:numId w:val="1"/>
        </w:numPr>
        <w:jc w:val="both"/>
        <w:rPr>
          <w:sz w:val="20"/>
          <w:szCs w:val="20"/>
        </w:rPr>
      </w:pPr>
      <w:r w:rsidRPr="00BE78E9">
        <w:rPr>
          <w:sz w:val="20"/>
          <w:szCs w:val="20"/>
        </w:rPr>
        <w:t xml:space="preserve">Performed </w:t>
      </w:r>
      <w:r w:rsidRPr="00BE78E9">
        <w:rPr>
          <w:rFonts w:eastAsiaTheme="majorEastAsia"/>
          <w:sz w:val="20"/>
          <w:szCs w:val="20"/>
        </w:rPr>
        <w:t>journal posting and reversal testing</w:t>
      </w:r>
      <w:r w:rsidRPr="00BE78E9">
        <w:rPr>
          <w:sz w:val="20"/>
          <w:szCs w:val="20"/>
        </w:rPr>
        <w:t xml:space="preserve"> for interest accruals, coupon payments, and settlement fails.</w:t>
      </w:r>
    </w:p>
    <w:p w14:paraId="3EF4CA05" w14:textId="45251960" w:rsidR="00BE78E9" w:rsidRPr="00BE78E9" w:rsidRDefault="00BE78E9" w:rsidP="00BE78E9">
      <w:pPr>
        <w:pStyle w:val="ListParagraph"/>
        <w:numPr>
          <w:ilvl w:val="0"/>
          <w:numId w:val="1"/>
        </w:numPr>
        <w:jc w:val="both"/>
        <w:rPr>
          <w:sz w:val="20"/>
          <w:szCs w:val="20"/>
        </w:rPr>
      </w:pPr>
      <w:r w:rsidRPr="00BE78E9">
        <w:rPr>
          <w:sz w:val="20"/>
          <w:szCs w:val="20"/>
        </w:rPr>
        <w:t xml:space="preserve">Conducted </w:t>
      </w:r>
      <w:r w:rsidRPr="00BE78E9">
        <w:rPr>
          <w:rFonts w:eastAsiaTheme="majorEastAsia"/>
          <w:sz w:val="20"/>
          <w:szCs w:val="20"/>
        </w:rPr>
        <w:t>account-level reconciliations</w:t>
      </w:r>
      <w:r w:rsidRPr="00BE78E9">
        <w:rPr>
          <w:sz w:val="20"/>
          <w:szCs w:val="20"/>
        </w:rPr>
        <w:t xml:space="preserve"> validating trade cash flows, coupon amortizations, and FX revaluations.</w:t>
      </w:r>
    </w:p>
    <w:p w14:paraId="0655F493" w14:textId="424C4183" w:rsidR="00563E50" w:rsidRPr="007D5B4B" w:rsidRDefault="00563E50" w:rsidP="00BE78E9">
      <w:pPr>
        <w:pStyle w:val="ListParagraph"/>
        <w:numPr>
          <w:ilvl w:val="0"/>
          <w:numId w:val="1"/>
        </w:numPr>
        <w:jc w:val="both"/>
        <w:rPr>
          <w:sz w:val="20"/>
          <w:szCs w:val="20"/>
        </w:rPr>
      </w:pPr>
      <w:r w:rsidRPr="001927EA">
        <w:rPr>
          <w:sz w:val="20"/>
          <w:szCs w:val="20"/>
          <w:lang w:val="en-GB"/>
        </w:rPr>
        <w:t>Used Postman to test payment-related APIs, capturing JSON payloads, validating endpoints, and documenting technical flows in Swagger for system integration with FIS modules</w:t>
      </w:r>
      <w:r w:rsidRPr="007D5B4B">
        <w:rPr>
          <w:sz w:val="20"/>
          <w:szCs w:val="20"/>
        </w:rPr>
        <w:t>.</w:t>
      </w:r>
      <w:r w:rsidRPr="007D5B4B">
        <w:t xml:space="preserve"> </w:t>
      </w:r>
    </w:p>
    <w:p w14:paraId="2A9452D1" w14:textId="77777777" w:rsidR="00563E50" w:rsidRPr="007D5B4B" w:rsidRDefault="00563E50" w:rsidP="00563E50">
      <w:pPr>
        <w:pStyle w:val="ListParagraph"/>
        <w:numPr>
          <w:ilvl w:val="0"/>
          <w:numId w:val="1"/>
        </w:numPr>
        <w:jc w:val="both"/>
        <w:rPr>
          <w:sz w:val="20"/>
          <w:szCs w:val="20"/>
        </w:rPr>
      </w:pPr>
      <w:r w:rsidRPr="001927EA">
        <w:rPr>
          <w:sz w:val="20"/>
          <w:szCs w:val="20"/>
          <w:lang w:val="en-GB"/>
        </w:rPr>
        <w:t>Automated exception reports, reconciliation checks, and payment confirmation workflows using Alteryx, reducing manual touchpoints in payment settlement and compliance reporting</w:t>
      </w:r>
      <w:r w:rsidRPr="007D5B4B">
        <w:rPr>
          <w:sz w:val="20"/>
          <w:szCs w:val="20"/>
        </w:rPr>
        <w:t>.</w:t>
      </w:r>
      <w:r w:rsidRPr="007D5B4B">
        <w:t xml:space="preserve"> </w:t>
      </w:r>
    </w:p>
    <w:p w14:paraId="1739E43C" w14:textId="77777777" w:rsidR="00563E50" w:rsidRPr="007D5B4B" w:rsidRDefault="00563E50" w:rsidP="00563E50">
      <w:pPr>
        <w:pStyle w:val="ListParagraph"/>
        <w:numPr>
          <w:ilvl w:val="0"/>
          <w:numId w:val="1"/>
        </w:numPr>
        <w:jc w:val="both"/>
        <w:rPr>
          <w:sz w:val="20"/>
          <w:szCs w:val="20"/>
        </w:rPr>
      </w:pPr>
      <w:r w:rsidRPr="001927EA">
        <w:rPr>
          <w:sz w:val="20"/>
          <w:szCs w:val="20"/>
          <w:lang w:val="en-GB"/>
        </w:rPr>
        <w:t>Supported ITSM processes in ServiceNow, contributing to change requests, incident resolution, and problem management to ensure payment services remained uninterrupted and compliant</w:t>
      </w:r>
      <w:r w:rsidRPr="007D5B4B">
        <w:rPr>
          <w:sz w:val="20"/>
          <w:szCs w:val="20"/>
        </w:rPr>
        <w:t>.</w:t>
      </w:r>
      <w:r w:rsidRPr="007D5B4B">
        <w:t xml:space="preserve"> </w:t>
      </w:r>
    </w:p>
    <w:p w14:paraId="22F59024" w14:textId="77777777" w:rsidR="00563E50" w:rsidRPr="007D5B4B" w:rsidRDefault="00563E50" w:rsidP="00563E50">
      <w:pPr>
        <w:pStyle w:val="ListParagraph"/>
        <w:numPr>
          <w:ilvl w:val="0"/>
          <w:numId w:val="1"/>
        </w:numPr>
        <w:jc w:val="both"/>
        <w:rPr>
          <w:sz w:val="20"/>
          <w:szCs w:val="20"/>
        </w:rPr>
      </w:pPr>
      <w:r w:rsidRPr="001927EA">
        <w:rPr>
          <w:sz w:val="20"/>
          <w:szCs w:val="20"/>
          <w:lang w:val="en-GB"/>
        </w:rPr>
        <w:t xml:space="preserve">Designed Tableau dashboards to track payment processing statuses, failed transactions, and compliance alerts, enabling real-time insights for </w:t>
      </w:r>
      <w:r>
        <w:rPr>
          <w:sz w:val="20"/>
          <w:szCs w:val="20"/>
          <w:lang w:val="en-GB"/>
        </w:rPr>
        <w:t>Treasury and Cash</w:t>
      </w:r>
      <w:r w:rsidRPr="001927EA">
        <w:rPr>
          <w:sz w:val="20"/>
          <w:szCs w:val="20"/>
          <w:lang w:val="en-GB"/>
        </w:rPr>
        <w:t xml:space="preserve"> and operations teams</w:t>
      </w:r>
      <w:r w:rsidRPr="007D5B4B">
        <w:rPr>
          <w:sz w:val="20"/>
          <w:szCs w:val="20"/>
        </w:rPr>
        <w:t>.</w:t>
      </w:r>
    </w:p>
    <w:p w14:paraId="41A76D59" w14:textId="77777777" w:rsidR="00563E50" w:rsidRPr="007D5B4B" w:rsidRDefault="00563E50" w:rsidP="00563E50">
      <w:pPr>
        <w:pStyle w:val="ListParagraph"/>
        <w:numPr>
          <w:ilvl w:val="0"/>
          <w:numId w:val="1"/>
        </w:numPr>
        <w:jc w:val="both"/>
        <w:rPr>
          <w:sz w:val="20"/>
          <w:szCs w:val="20"/>
        </w:rPr>
      </w:pPr>
      <w:r w:rsidRPr="001927EA">
        <w:rPr>
          <w:sz w:val="20"/>
          <w:szCs w:val="20"/>
          <w:lang w:val="en-GB"/>
        </w:rPr>
        <w:t>Managed documentation and SDLC artifacts in Confluence and SharePoint, maintaining audit-ready records, sprint logs, data dictionaries, and payment routing configurations</w:t>
      </w:r>
      <w:r w:rsidRPr="007D5B4B">
        <w:rPr>
          <w:sz w:val="20"/>
          <w:szCs w:val="20"/>
        </w:rPr>
        <w:t>.</w:t>
      </w:r>
    </w:p>
    <w:p w14:paraId="34AB15CD" w14:textId="1CC7A065" w:rsidR="008C2C20" w:rsidRDefault="00563E50" w:rsidP="00563E50">
      <w:pPr>
        <w:jc w:val="both"/>
        <w:rPr>
          <w:b/>
          <w:bCs/>
          <w:sz w:val="20"/>
          <w:szCs w:val="20"/>
        </w:rPr>
      </w:pPr>
      <w:r w:rsidRPr="001A0B2B">
        <w:rPr>
          <w:b/>
          <w:sz w:val="20"/>
          <w:szCs w:val="20"/>
          <w:u w:val="single"/>
        </w:rPr>
        <w:t>ENVIRONMENT</w:t>
      </w:r>
      <w:r w:rsidRPr="001A0B2B">
        <w:rPr>
          <w:sz w:val="20"/>
          <w:szCs w:val="20"/>
        </w:rPr>
        <w:t>:</w:t>
      </w:r>
      <w:r w:rsidRPr="001A0B2B">
        <w:rPr>
          <w:b/>
          <w:bCs/>
          <w:sz w:val="20"/>
          <w:szCs w:val="20"/>
        </w:rPr>
        <w:t xml:space="preserve"> Agile-scrum,</w:t>
      </w:r>
      <w:r w:rsidRPr="0079702D">
        <w:rPr>
          <w:b/>
          <w:bCs/>
          <w:sz w:val="20"/>
          <w:szCs w:val="20"/>
        </w:rPr>
        <w:t xml:space="preserve"> </w:t>
      </w:r>
      <w:r w:rsidRPr="00E10E44">
        <w:rPr>
          <w:b/>
          <w:bCs/>
          <w:sz w:val="20"/>
          <w:szCs w:val="20"/>
        </w:rPr>
        <w:t>AWS S3</w:t>
      </w:r>
      <w:r>
        <w:rPr>
          <w:b/>
          <w:bCs/>
          <w:sz w:val="20"/>
          <w:szCs w:val="20"/>
        </w:rPr>
        <w:t>,</w:t>
      </w:r>
      <w:r w:rsidRPr="001A0B2B">
        <w:rPr>
          <w:b/>
          <w:bCs/>
          <w:sz w:val="20"/>
          <w:szCs w:val="20"/>
        </w:rPr>
        <w:t xml:space="preserve"> </w:t>
      </w:r>
      <w:r w:rsidRPr="00E10E44">
        <w:rPr>
          <w:b/>
          <w:bCs/>
          <w:sz w:val="20"/>
          <w:szCs w:val="20"/>
        </w:rPr>
        <w:t>DynamoDB, Glue</w:t>
      </w:r>
      <w:r>
        <w:rPr>
          <w:b/>
          <w:bCs/>
          <w:sz w:val="20"/>
          <w:szCs w:val="20"/>
        </w:rPr>
        <w:t>,</w:t>
      </w:r>
      <w:r w:rsidRPr="00E91651">
        <w:rPr>
          <w:b/>
          <w:bCs/>
          <w:sz w:val="20"/>
          <w:szCs w:val="20"/>
        </w:rPr>
        <w:t xml:space="preserve"> </w:t>
      </w:r>
      <w:r w:rsidRPr="0054477B">
        <w:rPr>
          <w:b/>
          <w:bCs/>
          <w:sz w:val="20"/>
          <w:szCs w:val="20"/>
        </w:rPr>
        <w:t>Balsamiq</w:t>
      </w:r>
      <w:r>
        <w:rPr>
          <w:b/>
          <w:bCs/>
          <w:sz w:val="20"/>
          <w:szCs w:val="20"/>
        </w:rPr>
        <w:t>,</w:t>
      </w:r>
      <w:r w:rsidRPr="00EA308B">
        <w:rPr>
          <w:b/>
          <w:bCs/>
          <w:color w:val="1D1B11"/>
          <w:sz w:val="20"/>
          <w:szCs w:val="20"/>
        </w:rPr>
        <w:t xml:space="preserve"> </w:t>
      </w:r>
      <w:r w:rsidRPr="001D160D">
        <w:rPr>
          <w:b/>
          <w:bCs/>
          <w:color w:val="1D1B11"/>
          <w:sz w:val="20"/>
          <w:szCs w:val="20"/>
        </w:rPr>
        <w:t>Alteryx</w:t>
      </w:r>
      <w:r>
        <w:rPr>
          <w:b/>
          <w:bCs/>
          <w:color w:val="1D1B11"/>
          <w:sz w:val="20"/>
          <w:szCs w:val="20"/>
        </w:rPr>
        <w:t xml:space="preserve">, </w:t>
      </w:r>
      <w:r>
        <w:rPr>
          <w:b/>
          <w:bCs/>
          <w:sz w:val="20"/>
          <w:szCs w:val="20"/>
        </w:rPr>
        <w:t xml:space="preserve">Java, </w:t>
      </w:r>
      <w:r w:rsidRPr="00E10E44">
        <w:rPr>
          <w:b/>
          <w:bCs/>
          <w:sz w:val="20"/>
          <w:szCs w:val="20"/>
        </w:rPr>
        <w:t xml:space="preserve">MS-Project, </w:t>
      </w:r>
      <w:r>
        <w:rPr>
          <w:b/>
          <w:bCs/>
          <w:sz w:val="20"/>
          <w:szCs w:val="20"/>
        </w:rPr>
        <w:t>Snowflake,</w:t>
      </w:r>
      <w:r w:rsidRPr="00FF0C57">
        <w:rPr>
          <w:b/>
          <w:bCs/>
          <w:sz w:val="20"/>
          <w:szCs w:val="20"/>
        </w:rPr>
        <w:t xml:space="preserve"> </w:t>
      </w:r>
      <w:r w:rsidRPr="002613F4">
        <w:rPr>
          <w:b/>
          <w:bCs/>
          <w:sz w:val="20"/>
          <w:szCs w:val="20"/>
        </w:rPr>
        <w:t>ServiceNow</w:t>
      </w:r>
      <w:r>
        <w:rPr>
          <w:b/>
          <w:bCs/>
          <w:sz w:val="20"/>
          <w:szCs w:val="20"/>
        </w:rPr>
        <w:t>, MS Visio</w:t>
      </w:r>
      <w:r>
        <w:rPr>
          <w:b/>
          <w:color w:val="000000"/>
          <w:spacing w:val="5"/>
          <w:sz w:val="20"/>
          <w:szCs w:val="20"/>
          <w:lang w:eastAsia="en-IN"/>
        </w:rPr>
        <w:t xml:space="preserve">, </w:t>
      </w:r>
      <w:r w:rsidRPr="001A0B2B">
        <w:rPr>
          <w:b/>
          <w:color w:val="000000"/>
          <w:spacing w:val="5"/>
          <w:sz w:val="20"/>
          <w:szCs w:val="20"/>
          <w:lang w:eastAsia="en-IN"/>
        </w:rPr>
        <w:t>MS word, Excel,</w:t>
      </w:r>
      <w:r w:rsidRPr="0015792D">
        <w:rPr>
          <w:b/>
          <w:bCs/>
          <w:color w:val="000000" w:themeColor="text1"/>
          <w:sz w:val="20"/>
          <w:szCs w:val="20"/>
        </w:rPr>
        <w:t xml:space="preserve"> </w:t>
      </w:r>
      <w:r>
        <w:rPr>
          <w:b/>
          <w:bCs/>
          <w:color w:val="000000" w:themeColor="text1"/>
          <w:sz w:val="20"/>
          <w:szCs w:val="20"/>
        </w:rPr>
        <w:t>O</w:t>
      </w:r>
      <w:r w:rsidRPr="0015792D">
        <w:rPr>
          <w:b/>
          <w:bCs/>
          <w:color w:val="000000" w:themeColor="text1"/>
          <w:sz w:val="20"/>
          <w:szCs w:val="20"/>
        </w:rPr>
        <w:t>utlook</w:t>
      </w:r>
      <w:r w:rsidRPr="001A0B2B">
        <w:rPr>
          <w:b/>
          <w:color w:val="000000"/>
          <w:spacing w:val="5"/>
          <w:sz w:val="20"/>
          <w:szCs w:val="20"/>
          <w:lang w:eastAsia="en-IN"/>
        </w:rPr>
        <w:t xml:space="preserve"> PowerPoint</w:t>
      </w:r>
      <w:r>
        <w:rPr>
          <w:b/>
          <w:color w:val="000000"/>
          <w:spacing w:val="5"/>
          <w:sz w:val="20"/>
          <w:szCs w:val="20"/>
          <w:lang w:eastAsia="en-IN"/>
        </w:rPr>
        <w:t>, SharePoint</w:t>
      </w:r>
      <w:r>
        <w:rPr>
          <w:b/>
          <w:bCs/>
          <w:sz w:val="20"/>
          <w:szCs w:val="20"/>
        </w:rPr>
        <w:t xml:space="preserve">, </w:t>
      </w:r>
      <w:r w:rsidRPr="00E10E44">
        <w:rPr>
          <w:b/>
          <w:bCs/>
          <w:sz w:val="20"/>
          <w:szCs w:val="20"/>
        </w:rPr>
        <w:t>MS</w:t>
      </w:r>
      <w:r>
        <w:rPr>
          <w:b/>
          <w:bCs/>
          <w:sz w:val="20"/>
          <w:szCs w:val="20"/>
        </w:rPr>
        <w:t xml:space="preserve"> </w:t>
      </w:r>
      <w:r w:rsidRPr="00E10E44">
        <w:rPr>
          <w:b/>
          <w:bCs/>
          <w:sz w:val="20"/>
          <w:szCs w:val="20"/>
        </w:rPr>
        <w:t>SQL Server, Postman,</w:t>
      </w:r>
      <w:r w:rsidRPr="00EA308B">
        <w:rPr>
          <w:b/>
          <w:bCs/>
          <w:sz w:val="20"/>
          <w:szCs w:val="20"/>
        </w:rPr>
        <w:t xml:space="preserve"> </w:t>
      </w:r>
      <w:r>
        <w:rPr>
          <w:b/>
          <w:bCs/>
          <w:sz w:val="20"/>
          <w:szCs w:val="20"/>
        </w:rPr>
        <w:t xml:space="preserve">Tableau, </w:t>
      </w:r>
      <w:r w:rsidRPr="001A0B2B">
        <w:rPr>
          <w:b/>
          <w:bCs/>
          <w:sz w:val="20"/>
          <w:szCs w:val="20"/>
        </w:rPr>
        <w:t>JIRA</w:t>
      </w:r>
      <w:r>
        <w:rPr>
          <w:b/>
          <w:bCs/>
          <w:sz w:val="20"/>
          <w:szCs w:val="20"/>
        </w:rPr>
        <w:t>, Confluence.</w:t>
      </w:r>
    </w:p>
    <w:p w14:paraId="4198274A" w14:textId="0E0958CB" w:rsidR="00507180" w:rsidRPr="00DF1A6F" w:rsidRDefault="00507180" w:rsidP="00DF1A6F">
      <w:pPr>
        <w:jc w:val="both"/>
        <w:rPr>
          <w:b/>
          <w:bCs/>
          <w:sz w:val="20"/>
          <w:szCs w:val="20"/>
        </w:rPr>
      </w:pPr>
    </w:p>
    <w:sectPr w:rsidR="00507180" w:rsidRPr="00DF1A6F" w:rsidSect="008C2C20">
      <w:pgSz w:w="12240" w:h="15840"/>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E9CD0" w14:textId="77777777" w:rsidR="0011719C" w:rsidRDefault="0011719C">
      <w:r>
        <w:separator/>
      </w:r>
    </w:p>
  </w:endnote>
  <w:endnote w:type="continuationSeparator" w:id="0">
    <w:p w14:paraId="3BDCB373" w14:textId="77777777" w:rsidR="0011719C" w:rsidRDefault="00117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60E21" w14:textId="77777777" w:rsidR="0011719C" w:rsidRDefault="0011719C">
      <w:r>
        <w:separator/>
      </w:r>
    </w:p>
  </w:footnote>
  <w:footnote w:type="continuationSeparator" w:id="0">
    <w:p w14:paraId="3FF5442B" w14:textId="77777777" w:rsidR="0011719C" w:rsidRDefault="001171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B3A"/>
    <w:multiLevelType w:val="hybridMultilevel"/>
    <w:tmpl w:val="CB38D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17435"/>
    <w:multiLevelType w:val="hybridMultilevel"/>
    <w:tmpl w:val="D0F85B90"/>
    <w:lvl w:ilvl="0" w:tplc="E320C87C">
      <w:numFmt w:val="bullet"/>
      <w:lvlText w:val="•"/>
      <w:lvlJc w:val="left"/>
      <w:pPr>
        <w:ind w:left="1080" w:hanging="360"/>
      </w:pPr>
      <w:rPr>
        <w:rFonts w:ascii="Times New Roman" w:eastAsia="Times New Roman" w:hAnsi="Times New Roman" w:cs="Times New Roman"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773E0A"/>
    <w:multiLevelType w:val="hybridMultilevel"/>
    <w:tmpl w:val="70668554"/>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976D6"/>
    <w:multiLevelType w:val="hybridMultilevel"/>
    <w:tmpl w:val="D8C8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394DD8"/>
    <w:multiLevelType w:val="hybridMultilevel"/>
    <w:tmpl w:val="DFF8F236"/>
    <w:lvl w:ilvl="0" w:tplc="A4BEB2F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E8129B8"/>
    <w:multiLevelType w:val="hybridMultilevel"/>
    <w:tmpl w:val="89C82E7A"/>
    <w:lvl w:ilvl="0" w:tplc="736A1EEE">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0A586B"/>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B13181"/>
    <w:multiLevelType w:val="multilevel"/>
    <w:tmpl w:val="A3D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52831"/>
    <w:multiLevelType w:val="hybridMultilevel"/>
    <w:tmpl w:val="37E80B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7A5773"/>
    <w:multiLevelType w:val="hybridMultilevel"/>
    <w:tmpl w:val="1C426C18"/>
    <w:lvl w:ilvl="0" w:tplc="6E6A771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BC43CB"/>
    <w:multiLevelType w:val="hybridMultilevel"/>
    <w:tmpl w:val="ECBA208A"/>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51FB3"/>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FDC60BE"/>
    <w:multiLevelType w:val="hybridMultilevel"/>
    <w:tmpl w:val="5C5822FE"/>
    <w:lvl w:ilvl="0" w:tplc="6E6A7710">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0FC26B3"/>
    <w:multiLevelType w:val="multilevel"/>
    <w:tmpl w:val="CEBA66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2640C3D"/>
    <w:multiLevelType w:val="hybridMultilevel"/>
    <w:tmpl w:val="54F84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C92D7D"/>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506280"/>
    <w:multiLevelType w:val="hybridMultilevel"/>
    <w:tmpl w:val="18526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D46872"/>
    <w:multiLevelType w:val="hybridMultilevel"/>
    <w:tmpl w:val="4924664A"/>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C0E4084"/>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D345256"/>
    <w:multiLevelType w:val="hybridMultilevel"/>
    <w:tmpl w:val="04D8224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0846926"/>
    <w:multiLevelType w:val="hybridMultilevel"/>
    <w:tmpl w:val="60F4EA18"/>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1537D6A"/>
    <w:multiLevelType w:val="hybridMultilevel"/>
    <w:tmpl w:val="2FA654BE"/>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26B61C9"/>
    <w:multiLevelType w:val="hybridMultilevel"/>
    <w:tmpl w:val="5D3895F6"/>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3087BBF"/>
    <w:multiLevelType w:val="hybridMultilevel"/>
    <w:tmpl w:val="2EFE3860"/>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8C1724E"/>
    <w:multiLevelType w:val="multilevel"/>
    <w:tmpl w:val="C85E31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A756319"/>
    <w:multiLevelType w:val="hybridMultilevel"/>
    <w:tmpl w:val="F4AE3A5E"/>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FD2279E"/>
    <w:multiLevelType w:val="hybridMultilevel"/>
    <w:tmpl w:val="2110D254"/>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457255"/>
    <w:multiLevelType w:val="hybridMultilevel"/>
    <w:tmpl w:val="00A2BC94"/>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2814A0"/>
    <w:multiLevelType w:val="hybridMultilevel"/>
    <w:tmpl w:val="F4BEBD22"/>
    <w:lvl w:ilvl="0" w:tplc="736A1EEE">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B7E69FE"/>
    <w:multiLevelType w:val="multilevel"/>
    <w:tmpl w:val="F742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97A75"/>
    <w:multiLevelType w:val="hybridMultilevel"/>
    <w:tmpl w:val="72D0FA00"/>
    <w:lvl w:ilvl="0" w:tplc="E320C87C">
      <w:numFmt w:val="bullet"/>
      <w:lvlText w:val="•"/>
      <w:lvlJc w:val="left"/>
      <w:pPr>
        <w:ind w:left="360" w:hanging="360"/>
      </w:pPr>
      <w:rPr>
        <w:rFonts w:ascii="Times New Roman" w:eastAsia="Times New Roman" w:hAnsi="Times New Roman" w:cs="Times New Roman"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DD226AF"/>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1A61AE1"/>
    <w:multiLevelType w:val="hybridMultilevel"/>
    <w:tmpl w:val="BB88DA2C"/>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FD3571"/>
    <w:multiLevelType w:val="hybridMultilevel"/>
    <w:tmpl w:val="D44C0B98"/>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1669E6"/>
    <w:multiLevelType w:val="hybridMultilevel"/>
    <w:tmpl w:val="807A563E"/>
    <w:lvl w:ilvl="0" w:tplc="6BBEB41E">
      <w:numFmt w:val="bullet"/>
      <w:lvlText w:val="•"/>
      <w:lvlJc w:val="left"/>
      <w:pPr>
        <w:ind w:left="360" w:hanging="360"/>
      </w:pPr>
      <w:rPr>
        <w:rFonts w:ascii="Times New Roman" w:eastAsiaTheme="majorEastAsia" w:hAnsi="Times New Roman" w:cs="Times New Roman"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79F4A22"/>
    <w:multiLevelType w:val="hybridMultilevel"/>
    <w:tmpl w:val="7F2885C4"/>
    <w:lvl w:ilvl="0" w:tplc="A4BEB2FE">
      <w:start w:val="1"/>
      <w:numFmt w:val="bullet"/>
      <w:lvlText w:val=""/>
      <w:lvlJc w:val="left"/>
      <w:pPr>
        <w:ind w:left="283"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415B5C"/>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ADB5C5D"/>
    <w:multiLevelType w:val="hybridMultilevel"/>
    <w:tmpl w:val="5164E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F76DFE"/>
    <w:multiLevelType w:val="multilevel"/>
    <w:tmpl w:val="E9863E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DF675F6"/>
    <w:multiLevelType w:val="hybridMultilevel"/>
    <w:tmpl w:val="72D837BE"/>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E78612A"/>
    <w:multiLevelType w:val="hybridMultilevel"/>
    <w:tmpl w:val="89D64684"/>
    <w:lvl w:ilvl="0" w:tplc="D958A89C">
      <w:start w:val="1"/>
      <w:numFmt w:val="bullet"/>
      <w:lvlText w:val=""/>
      <w:lvlJc w:val="left"/>
      <w:pPr>
        <w:ind w:left="360" w:hanging="360"/>
      </w:pPr>
      <w:rPr>
        <w:rFonts w:ascii="Symbol" w:hAnsi="Symbol" w:hint="default"/>
      </w:rPr>
    </w:lvl>
    <w:lvl w:ilvl="1" w:tplc="0C9C2964" w:tentative="1">
      <w:start w:val="1"/>
      <w:numFmt w:val="bullet"/>
      <w:lvlText w:val="o"/>
      <w:lvlJc w:val="left"/>
      <w:pPr>
        <w:ind w:left="1800" w:hanging="360"/>
      </w:pPr>
      <w:rPr>
        <w:rFonts w:ascii="Courier New" w:hAnsi="Courier New" w:cs="Courier New" w:hint="default"/>
      </w:rPr>
    </w:lvl>
    <w:lvl w:ilvl="2" w:tplc="59DEFAB4" w:tentative="1">
      <w:start w:val="1"/>
      <w:numFmt w:val="bullet"/>
      <w:lvlText w:val=""/>
      <w:lvlJc w:val="left"/>
      <w:pPr>
        <w:ind w:left="2520" w:hanging="360"/>
      </w:pPr>
      <w:rPr>
        <w:rFonts w:ascii="Wingdings" w:hAnsi="Wingdings" w:hint="default"/>
      </w:rPr>
    </w:lvl>
    <w:lvl w:ilvl="3" w:tplc="8A3A3A3E" w:tentative="1">
      <w:start w:val="1"/>
      <w:numFmt w:val="bullet"/>
      <w:lvlText w:val=""/>
      <w:lvlJc w:val="left"/>
      <w:pPr>
        <w:ind w:left="3240" w:hanging="360"/>
      </w:pPr>
      <w:rPr>
        <w:rFonts w:ascii="Symbol" w:hAnsi="Symbol" w:hint="default"/>
      </w:rPr>
    </w:lvl>
    <w:lvl w:ilvl="4" w:tplc="D6D66D8C" w:tentative="1">
      <w:start w:val="1"/>
      <w:numFmt w:val="bullet"/>
      <w:lvlText w:val="o"/>
      <w:lvlJc w:val="left"/>
      <w:pPr>
        <w:ind w:left="3960" w:hanging="360"/>
      </w:pPr>
      <w:rPr>
        <w:rFonts w:ascii="Courier New" w:hAnsi="Courier New" w:cs="Courier New" w:hint="default"/>
      </w:rPr>
    </w:lvl>
    <w:lvl w:ilvl="5" w:tplc="EF88FCBA" w:tentative="1">
      <w:start w:val="1"/>
      <w:numFmt w:val="bullet"/>
      <w:lvlText w:val=""/>
      <w:lvlJc w:val="left"/>
      <w:pPr>
        <w:ind w:left="4680" w:hanging="360"/>
      </w:pPr>
      <w:rPr>
        <w:rFonts w:ascii="Wingdings" w:hAnsi="Wingdings" w:hint="default"/>
      </w:rPr>
    </w:lvl>
    <w:lvl w:ilvl="6" w:tplc="15ACBC50" w:tentative="1">
      <w:start w:val="1"/>
      <w:numFmt w:val="bullet"/>
      <w:lvlText w:val=""/>
      <w:lvlJc w:val="left"/>
      <w:pPr>
        <w:ind w:left="5400" w:hanging="360"/>
      </w:pPr>
      <w:rPr>
        <w:rFonts w:ascii="Symbol" w:hAnsi="Symbol" w:hint="default"/>
      </w:rPr>
    </w:lvl>
    <w:lvl w:ilvl="7" w:tplc="E6389810" w:tentative="1">
      <w:start w:val="1"/>
      <w:numFmt w:val="bullet"/>
      <w:lvlText w:val="o"/>
      <w:lvlJc w:val="left"/>
      <w:pPr>
        <w:ind w:left="6120" w:hanging="360"/>
      </w:pPr>
      <w:rPr>
        <w:rFonts w:ascii="Courier New" w:hAnsi="Courier New" w:cs="Courier New" w:hint="default"/>
      </w:rPr>
    </w:lvl>
    <w:lvl w:ilvl="8" w:tplc="03B0D2E2" w:tentative="1">
      <w:start w:val="1"/>
      <w:numFmt w:val="bullet"/>
      <w:lvlText w:val=""/>
      <w:lvlJc w:val="left"/>
      <w:pPr>
        <w:ind w:left="6840" w:hanging="360"/>
      </w:pPr>
      <w:rPr>
        <w:rFonts w:ascii="Wingdings" w:hAnsi="Wingdings" w:hint="default"/>
      </w:rPr>
    </w:lvl>
  </w:abstractNum>
  <w:abstractNum w:abstractNumId="41" w15:restartNumberingAfterBreak="0">
    <w:nsid w:val="5F7604B2"/>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0933181"/>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74D4DEE"/>
    <w:multiLevelType w:val="hybridMultilevel"/>
    <w:tmpl w:val="833C2312"/>
    <w:lvl w:ilvl="0" w:tplc="5C64C030">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9495614"/>
    <w:multiLevelType w:val="hybridMultilevel"/>
    <w:tmpl w:val="E464583E"/>
    <w:lvl w:ilvl="0" w:tplc="6BBEB41E">
      <w:numFmt w:val="bullet"/>
      <w:lvlText w:val="•"/>
      <w:lvlJc w:val="left"/>
      <w:pPr>
        <w:ind w:left="36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6107CB"/>
    <w:multiLevelType w:val="hybridMultilevel"/>
    <w:tmpl w:val="D3A26798"/>
    <w:lvl w:ilvl="0" w:tplc="E320C87C">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D5071D5"/>
    <w:multiLevelType w:val="hybridMultilevel"/>
    <w:tmpl w:val="99C47FA6"/>
    <w:lvl w:ilvl="0" w:tplc="E320C87C">
      <w:numFmt w:val="bullet"/>
      <w:lvlText w:val="•"/>
      <w:lvlJc w:val="left"/>
      <w:pPr>
        <w:ind w:left="720" w:hanging="360"/>
      </w:pPr>
      <w:rPr>
        <w:rFonts w:ascii="Times New Roman" w:eastAsia="Times New Roman" w:hAnsi="Times New Roman" w:cs="Times New Roman"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E2125E3"/>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01B7FCD"/>
    <w:multiLevelType w:val="hybridMultilevel"/>
    <w:tmpl w:val="56BCC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A64DE6"/>
    <w:multiLevelType w:val="hybridMultilevel"/>
    <w:tmpl w:val="6132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5109BA"/>
    <w:multiLevelType w:val="hybridMultilevel"/>
    <w:tmpl w:val="A68E399C"/>
    <w:lvl w:ilvl="0" w:tplc="A4BEB2FE">
      <w:start w:val="1"/>
      <w:numFmt w:val="bullet"/>
      <w:lvlText w:val=""/>
      <w:lvlJc w:val="left"/>
      <w:pPr>
        <w:ind w:left="283" w:hanging="283"/>
      </w:pPr>
      <w:rPr>
        <w:rFonts w:ascii="Symbol" w:hAnsi="Symbol" w:hint="default"/>
      </w:rPr>
    </w:lvl>
    <w:lvl w:ilvl="1" w:tplc="FFFFFFFF" w:tentative="1">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51" w15:restartNumberingAfterBreak="0">
    <w:nsid w:val="757F5544"/>
    <w:multiLevelType w:val="multilevel"/>
    <w:tmpl w:val="931659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81F146E"/>
    <w:multiLevelType w:val="hybridMultilevel"/>
    <w:tmpl w:val="C8BA271C"/>
    <w:lvl w:ilvl="0" w:tplc="E320C87C">
      <w:numFmt w:val="bullet"/>
      <w:lvlText w:val="•"/>
      <w:lvlJc w:val="left"/>
      <w:pPr>
        <w:ind w:left="360" w:hanging="360"/>
      </w:pPr>
      <w:rPr>
        <w:rFonts w:ascii="Times New Roman" w:eastAsia="Times New Roman" w:hAnsi="Times New Roman" w:cs="Times New Roman" w:hint="default"/>
        <w:b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79811C9C"/>
    <w:multiLevelType w:val="hybridMultilevel"/>
    <w:tmpl w:val="816819C8"/>
    <w:lvl w:ilvl="0" w:tplc="5C64C030">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7C00682C"/>
    <w:multiLevelType w:val="hybridMultilevel"/>
    <w:tmpl w:val="87623784"/>
    <w:lvl w:ilvl="0" w:tplc="6CC8975E">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5" w15:restartNumberingAfterBreak="0">
    <w:nsid w:val="7C354CB5"/>
    <w:multiLevelType w:val="multilevel"/>
    <w:tmpl w:val="FAA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23A83"/>
    <w:multiLevelType w:val="hybridMultilevel"/>
    <w:tmpl w:val="CD0CF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FFE0385"/>
    <w:multiLevelType w:val="hybridMultilevel"/>
    <w:tmpl w:val="79BA4C0A"/>
    <w:lvl w:ilvl="0" w:tplc="271A5DF8">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6522609">
    <w:abstractNumId w:val="40"/>
  </w:num>
  <w:num w:numId="2" w16cid:durableId="1202594798">
    <w:abstractNumId w:val="54"/>
  </w:num>
  <w:num w:numId="3" w16cid:durableId="1689410247">
    <w:abstractNumId w:val="50"/>
  </w:num>
  <w:num w:numId="4" w16cid:durableId="1469324316">
    <w:abstractNumId w:val="3"/>
  </w:num>
  <w:num w:numId="5" w16cid:durableId="740177489">
    <w:abstractNumId w:val="49"/>
  </w:num>
  <w:num w:numId="6" w16cid:durableId="1626883275">
    <w:abstractNumId w:val="35"/>
  </w:num>
  <w:num w:numId="7" w16cid:durableId="1330402938">
    <w:abstractNumId w:val="33"/>
  </w:num>
  <w:num w:numId="8" w16cid:durableId="1078862514">
    <w:abstractNumId w:val="32"/>
  </w:num>
  <w:num w:numId="9" w16cid:durableId="1462186771">
    <w:abstractNumId w:val="10"/>
  </w:num>
  <w:num w:numId="10" w16cid:durableId="991367612">
    <w:abstractNumId w:val="2"/>
  </w:num>
  <w:num w:numId="11" w16cid:durableId="1705057349">
    <w:abstractNumId w:val="26"/>
  </w:num>
  <w:num w:numId="12" w16cid:durableId="1030228051">
    <w:abstractNumId w:val="7"/>
  </w:num>
  <w:num w:numId="13" w16cid:durableId="758907660">
    <w:abstractNumId w:val="50"/>
  </w:num>
  <w:num w:numId="14" w16cid:durableId="1386099701">
    <w:abstractNumId w:val="56"/>
  </w:num>
  <w:num w:numId="15" w16cid:durableId="237448912">
    <w:abstractNumId w:val="8"/>
  </w:num>
  <w:num w:numId="16" w16cid:durableId="1525629234">
    <w:abstractNumId w:val="40"/>
  </w:num>
  <w:num w:numId="17" w16cid:durableId="728502862">
    <w:abstractNumId w:val="4"/>
  </w:num>
  <w:num w:numId="18" w16cid:durableId="899443581">
    <w:abstractNumId w:val="24"/>
  </w:num>
  <w:num w:numId="19" w16cid:durableId="953167799">
    <w:abstractNumId w:val="47"/>
  </w:num>
  <w:num w:numId="20" w16cid:durableId="1998025935">
    <w:abstractNumId w:val="29"/>
  </w:num>
  <w:num w:numId="21" w16cid:durableId="1322387500">
    <w:abstractNumId w:val="38"/>
  </w:num>
  <w:num w:numId="22" w16cid:durableId="1102644637">
    <w:abstractNumId w:val="11"/>
  </w:num>
  <w:num w:numId="23" w16cid:durableId="410782755">
    <w:abstractNumId w:val="41"/>
  </w:num>
  <w:num w:numId="24" w16cid:durableId="734934347">
    <w:abstractNumId w:val="31"/>
  </w:num>
  <w:num w:numId="25" w16cid:durableId="1798989357">
    <w:abstractNumId w:val="18"/>
  </w:num>
  <w:num w:numId="26" w16cid:durableId="2142573557">
    <w:abstractNumId w:val="36"/>
  </w:num>
  <w:num w:numId="27" w16cid:durableId="1880818383">
    <w:abstractNumId w:val="13"/>
  </w:num>
  <w:num w:numId="28" w16cid:durableId="56519140">
    <w:abstractNumId w:val="6"/>
  </w:num>
  <w:num w:numId="29" w16cid:durableId="223832467">
    <w:abstractNumId w:val="51"/>
  </w:num>
  <w:num w:numId="30" w16cid:durableId="540679201">
    <w:abstractNumId w:val="42"/>
  </w:num>
  <w:num w:numId="31" w16cid:durableId="675496487">
    <w:abstractNumId w:val="15"/>
  </w:num>
  <w:num w:numId="32" w16cid:durableId="1251542067">
    <w:abstractNumId w:val="34"/>
  </w:num>
  <w:num w:numId="33" w16cid:durableId="2023193607">
    <w:abstractNumId w:val="48"/>
  </w:num>
  <w:num w:numId="34" w16cid:durableId="2055890199">
    <w:abstractNumId w:val="44"/>
  </w:num>
  <w:num w:numId="35" w16cid:durableId="543713941">
    <w:abstractNumId w:val="22"/>
  </w:num>
  <w:num w:numId="36" w16cid:durableId="309485231">
    <w:abstractNumId w:val="25"/>
  </w:num>
  <w:num w:numId="37" w16cid:durableId="1932204446">
    <w:abstractNumId w:val="57"/>
  </w:num>
  <w:num w:numId="38" w16cid:durableId="62024116">
    <w:abstractNumId w:val="39"/>
  </w:num>
  <w:num w:numId="39" w16cid:durableId="2026444070">
    <w:abstractNumId w:val="0"/>
  </w:num>
  <w:num w:numId="40" w16cid:durableId="1965960934">
    <w:abstractNumId w:val="45"/>
  </w:num>
  <w:num w:numId="41" w16cid:durableId="1408070960">
    <w:abstractNumId w:val="1"/>
  </w:num>
  <w:num w:numId="42" w16cid:durableId="744033915">
    <w:abstractNumId w:val="23"/>
  </w:num>
  <w:num w:numId="43" w16cid:durableId="266818477">
    <w:abstractNumId w:val="46"/>
  </w:num>
  <w:num w:numId="44" w16cid:durableId="300888835">
    <w:abstractNumId w:val="17"/>
  </w:num>
  <w:num w:numId="45" w16cid:durableId="1174223318">
    <w:abstractNumId w:val="52"/>
  </w:num>
  <w:num w:numId="46" w16cid:durableId="837231055">
    <w:abstractNumId w:val="20"/>
  </w:num>
  <w:num w:numId="47" w16cid:durableId="2004772415">
    <w:abstractNumId w:val="55"/>
  </w:num>
  <w:num w:numId="48" w16cid:durableId="489369587">
    <w:abstractNumId w:val="30"/>
  </w:num>
  <w:num w:numId="49" w16cid:durableId="922304467">
    <w:abstractNumId w:val="21"/>
  </w:num>
  <w:num w:numId="50" w16cid:durableId="1332492609">
    <w:abstractNumId w:val="14"/>
  </w:num>
  <w:num w:numId="51" w16cid:durableId="1002010739">
    <w:abstractNumId w:val="16"/>
  </w:num>
  <w:num w:numId="52" w16cid:durableId="853612342">
    <w:abstractNumId w:val="9"/>
  </w:num>
  <w:num w:numId="53" w16cid:durableId="1798645886">
    <w:abstractNumId w:val="12"/>
  </w:num>
  <w:num w:numId="54" w16cid:durableId="1596205887">
    <w:abstractNumId w:val="37"/>
  </w:num>
  <w:num w:numId="55" w16cid:durableId="662468880">
    <w:abstractNumId w:val="28"/>
  </w:num>
  <w:num w:numId="56" w16cid:durableId="893657683">
    <w:abstractNumId w:val="5"/>
  </w:num>
  <w:num w:numId="57" w16cid:durableId="507867098">
    <w:abstractNumId w:val="27"/>
  </w:num>
  <w:num w:numId="58" w16cid:durableId="937442789">
    <w:abstractNumId w:val="43"/>
  </w:num>
  <w:num w:numId="59" w16cid:durableId="73942300">
    <w:abstractNumId w:val="19"/>
  </w:num>
  <w:num w:numId="60" w16cid:durableId="100096359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20"/>
    <w:rsid w:val="00002415"/>
    <w:rsid w:val="000240D6"/>
    <w:rsid w:val="00026DAD"/>
    <w:rsid w:val="000A363E"/>
    <w:rsid w:val="000B7BC9"/>
    <w:rsid w:val="000F1788"/>
    <w:rsid w:val="00104B87"/>
    <w:rsid w:val="00110C42"/>
    <w:rsid w:val="00116052"/>
    <w:rsid w:val="0011719C"/>
    <w:rsid w:val="0012789B"/>
    <w:rsid w:val="0013538B"/>
    <w:rsid w:val="00157543"/>
    <w:rsid w:val="00164CED"/>
    <w:rsid w:val="0022056A"/>
    <w:rsid w:val="00242250"/>
    <w:rsid w:val="00246D65"/>
    <w:rsid w:val="00270931"/>
    <w:rsid w:val="002813C6"/>
    <w:rsid w:val="00290863"/>
    <w:rsid w:val="002A11BB"/>
    <w:rsid w:val="002B0C4F"/>
    <w:rsid w:val="002B53F6"/>
    <w:rsid w:val="002E441F"/>
    <w:rsid w:val="002E71D3"/>
    <w:rsid w:val="002F781E"/>
    <w:rsid w:val="003072CF"/>
    <w:rsid w:val="00380D8C"/>
    <w:rsid w:val="00431D67"/>
    <w:rsid w:val="00452826"/>
    <w:rsid w:val="00455E59"/>
    <w:rsid w:val="00495DFE"/>
    <w:rsid w:val="00496F1C"/>
    <w:rsid w:val="0049739B"/>
    <w:rsid w:val="004B5A14"/>
    <w:rsid w:val="004B66B3"/>
    <w:rsid w:val="004D38E4"/>
    <w:rsid w:val="004D4736"/>
    <w:rsid w:val="004E0BCF"/>
    <w:rsid w:val="00507180"/>
    <w:rsid w:val="0052213D"/>
    <w:rsid w:val="0053643E"/>
    <w:rsid w:val="00543511"/>
    <w:rsid w:val="005604A5"/>
    <w:rsid w:val="00563E50"/>
    <w:rsid w:val="00583D83"/>
    <w:rsid w:val="00584910"/>
    <w:rsid w:val="0059009E"/>
    <w:rsid w:val="00593528"/>
    <w:rsid w:val="00595192"/>
    <w:rsid w:val="00626F71"/>
    <w:rsid w:val="00632535"/>
    <w:rsid w:val="006415EB"/>
    <w:rsid w:val="00666A7D"/>
    <w:rsid w:val="00681A05"/>
    <w:rsid w:val="006E4CC2"/>
    <w:rsid w:val="007059F7"/>
    <w:rsid w:val="00712107"/>
    <w:rsid w:val="0073374E"/>
    <w:rsid w:val="00735F64"/>
    <w:rsid w:val="00743655"/>
    <w:rsid w:val="0074741F"/>
    <w:rsid w:val="00805FFC"/>
    <w:rsid w:val="008C2C20"/>
    <w:rsid w:val="008D50F1"/>
    <w:rsid w:val="00926BE1"/>
    <w:rsid w:val="00926C38"/>
    <w:rsid w:val="00933573"/>
    <w:rsid w:val="00985D31"/>
    <w:rsid w:val="00991B91"/>
    <w:rsid w:val="009C46B7"/>
    <w:rsid w:val="009E1B15"/>
    <w:rsid w:val="009E72F1"/>
    <w:rsid w:val="00A02F02"/>
    <w:rsid w:val="00A12C97"/>
    <w:rsid w:val="00A21968"/>
    <w:rsid w:val="00AA032B"/>
    <w:rsid w:val="00AA3C03"/>
    <w:rsid w:val="00B16D8F"/>
    <w:rsid w:val="00B23DF1"/>
    <w:rsid w:val="00B726F4"/>
    <w:rsid w:val="00B976E4"/>
    <w:rsid w:val="00BD489A"/>
    <w:rsid w:val="00BE78E9"/>
    <w:rsid w:val="00BF6BF6"/>
    <w:rsid w:val="00C11F33"/>
    <w:rsid w:val="00C16123"/>
    <w:rsid w:val="00C72286"/>
    <w:rsid w:val="00C85928"/>
    <w:rsid w:val="00CA4EC2"/>
    <w:rsid w:val="00CB3AEA"/>
    <w:rsid w:val="00CB5A79"/>
    <w:rsid w:val="00CF6183"/>
    <w:rsid w:val="00D003D4"/>
    <w:rsid w:val="00D61D83"/>
    <w:rsid w:val="00D7718E"/>
    <w:rsid w:val="00D86B88"/>
    <w:rsid w:val="00DA1A90"/>
    <w:rsid w:val="00DA36F6"/>
    <w:rsid w:val="00DA3F75"/>
    <w:rsid w:val="00DE7E0E"/>
    <w:rsid w:val="00DF1A6F"/>
    <w:rsid w:val="00E138FD"/>
    <w:rsid w:val="00E3603E"/>
    <w:rsid w:val="00E404A6"/>
    <w:rsid w:val="00E6395B"/>
    <w:rsid w:val="00E90106"/>
    <w:rsid w:val="00EC2AB9"/>
    <w:rsid w:val="00EC3C63"/>
    <w:rsid w:val="00EC64B7"/>
    <w:rsid w:val="00EC7EBC"/>
    <w:rsid w:val="00ED787C"/>
    <w:rsid w:val="00F14F16"/>
    <w:rsid w:val="00F3501C"/>
    <w:rsid w:val="00F55C75"/>
    <w:rsid w:val="00F65F5D"/>
    <w:rsid w:val="00F7398E"/>
    <w:rsid w:val="00F92887"/>
    <w:rsid w:val="00F96DF2"/>
    <w:rsid w:val="00FA3966"/>
    <w:rsid w:val="00FE7CB6"/>
    <w:rsid w:val="00FF27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B16DA"/>
  <w15:chartTrackingRefBased/>
  <w15:docId w15:val="{F65F86BA-86FE-4661-A9A3-9E4F53DE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C2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C2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20"/>
    <w:rPr>
      <w:rFonts w:eastAsiaTheme="majorEastAsia" w:cstheme="majorBidi"/>
      <w:color w:val="272727" w:themeColor="text1" w:themeTint="D8"/>
    </w:rPr>
  </w:style>
  <w:style w:type="paragraph" w:styleId="Title">
    <w:name w:val="Title"/>
    <w:basedOn w:val="Normal"/>
    <w:next w:val="Normal"/>
    <w:link w:val="TitleChar"/>
    <w:uiPriority w:val="10"/>
    <w:qFormat/>
    <w:rsid w:val="008C2C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20"/>
    <w:pPr>
      <w:spacing w:before="160"/>
      <w:jc w:val="center"/>
    </w:pPr>
    <w:rPr>
      <w:i/>
      <w:iCs/>
      <w:color w:val="404040" w:themeColor="text1" w:themeTint="BF"/>
    </w:rPr>
  </w:style>
  <w:style w:type="character" w:customStyle="1" w:styleId="QuoteChar">
    <w:name w:val="Quote Char"/>
    <w:basedOn w:val="DefaultParagraphFont"/>
    <w:link w:val="Quote"/>
    <w:uiPriority w:val="29"/>
    <w:rsid w:val="008C2C20"/>
    <w:rPr>
      <w:i/>
      <w:iCs/>
      <w:color w:val="404040" w:themeColor="text1" w:themeTint="BF"/>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8C2C20"/>
    <w:pPr>
      <w:ind w:left="720"/>
      <w:contextualSpacing/>
    </w:pPr>
  </w:style>
  <w:style w:type="character" w:styleId="IntenseEmphasis">
    <w:name w:val="Intense Emphasis"/>
    <w:basedOn w:val="DefaultParagraphFont"/>
    <w:uiPriority w:val="21"/>
    <w:qFormat/>
    <w:rsid w:val="008C2C20"/>
    <w:rPr>
      <w:i/>
      <w:iCs/>
      <w:color w:val="0F4761" w:themeColor="accent1" w:themeShade="BF"/>
    </w:rPr>
  </w:style>
  <w:style w:type="paragraph" w:styleId="IntenseQuote">
    <w:name w:val="Intense Quote"/>
    <w:basedOn w:val="Normal"/>
    <w:next w:val="Normal"/>
    <w:link w:val="IntenseQuoteChar"/>
    <w:uiPriority w:val="30"/>
    <w:qFormat/>
    <w:rsid w:val="008C2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20"/>
    <w:rPr>
      <w:i/>
      <w:iCs/>
      <w:color w:val="0F4761" w:themeColor="accent1" w:themeShade="BF"/>
    </w:rPr>
  </w:style>
  <w:style w:type="character" w:styleId="IntenseReference">
    <w:name w:val="Intense Reference"/>
    <w:basedOn w:val="DefaultParagraphFont"/>
    <w:uiPriority w:val="32"/>
    <w:qFormat/>
    <w:rsid w:val="008C2C20"/>
    <w:rPr>
      <w:b/>
      <w:bCs/>
      <w:smallCaps/>
      <w:color w:val="0F4761" w:themeColor="accent1" w:themeShade="BF"/>
      <w:spacing w:val="5"/>
    </w:rPr>
  </w:style>
  <w:style w:type="table" w:customStyle="1" w:styleId="GridTable6Colorful1">
    <w:name w:val="Grid Table 6 Colorful1"/>
    <w:basedOn w:val="TableNormal"/>
    <w:uiPriority w:val="51"/>
    <w:rsid w:val="008C2C20"/>
    <w:pPr>
      <w:spacing w:after="0" w:line="240" w:lineRule="auto"/>
    </w:pPr>
    <w:rPr>
      <w:color w:val="000000" w:themeColor="text1"/>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8C2C20"/>
    <w:rPr>
      <w:color w:val="467886" w:themeColor="hyperlink"/>
      <w:u w:val="single"/>
    </w:rPr>
  </w:style>
  <w:style w:type="paragraph" w:styleId="Header">
    <w:name w:val="header"/>
    <w:basedOn w:val="Normal"/>
    <w:link w:val="HeaderChar"/>
    <w:uiPriority w:val="99"/>
    <w:unhideWhenUsed/>
    <w:rsid w:val="008C2C20"/>
    <w:pPr>
      <w:tabs>
        <w:tab w:val="center" w:pos="4513"/>
        <w:tab w:val="right" w:pos="9026"/>
      </w:tabs>
    </w:pPr>
  </w:style>
  <w:style w:type="character" w:customStyle="1" w:styleId="HeaderChar">
    <w:name w:val="Header Char"/>
    <w:basedOn w:val="DefaultParagraphFont"/>
    <w:link w:val="Header"/>
    <w:uiPriority w:val="99"/>
    <w:rsid w:val="008C2C20"/>
    <w:rPr>
      <w:rFonts w:ascii="Times New Roman" w:eastAsia="Times New Roman" w:hAnsi="Times New Roman" w:cs="Times New Roman"/>
      <w:kern w:val="0"/>
      <w14:ligatures w14:val="none"/>
    </w:rPr>
  </w:style>
  <w:style w:type="paragraph" w:styleId="NormalWeb">
    <w:name w:val="Normal (Web)"/>
    <w:basedOn w:val="Normal"/>
    <w:uiPriority w:val="99"/>
    <w:unhideWhenUsed/>
    <w:rsid w:val="008C2C20"/>
    <w:pPr>
      <w:spacing w:before="100" w:beforeAutospacing="1" w:after="100" w:afterAutospacing="1"/>
    </w:pPr>
  </w:style>
  <w:style w:type="character" w:styleId="Strong">
    <w:name w:val="Strong"/>
    <w:basedOn w:val="DefaultParagraphFont"/>
    <w:uiPriority w:val="22"/>
    <w:qFormat/>
    <w:rsid w:val="008C2C20"/>
    <w:rPr>
      <w:b/>
      <w:bCs/>
    </w:rPr>
  </w:style>
  <w:style w:type="paragraph" w:styleId="Footer">
    <w:name w:val="footer"/>
    <w:basedOn w:val="Normal"/>
    <w:link w:val="FooterChar"/>
    <w:uiPriority w:val="99"/>
    <w:unhideWhenUsed/>
    <w:rsid w:val="003072CF"/>
    <w:pPr>
      <w:tabs>
        <w:tab w:val="center" w:pos="4513"/>
        <w:tab w:val="right" w:pos="9026"/>
      </w:tabs>
    </w:pPr>
  </w:style>
  <w:style w:type="character" w:customStyle="1" w:styleId="FooterChar">
    <w:name w:val="Footer Char"/>
    <w:basedOn w:val="DefaultParagraphFont"/>
    <w:link w:val="Footer"/>
    <w:uiPriority w:val="99"/>
    <w:rsid w:val="003072CF"/>
    <w:rPr>
      <w:rFonts w:ascii="Times New Roman" w:eastAsia="Times New Roman" w:hAnsi="Times New Roman" w:cs="Times New Roman"/>
      <w:kern w:val="0"/>
      <w14:ligatures w14:val="none"/>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2E441F"/>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07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8989">
      <w:bodyDiv w:val="1"/>
      <w:marLeft w:val="0"/>
      <w:marRight w:val="0"/>
      <w:marTop w:val="0"/>
      <w:marBottom w:val="0"/>
      <w:divBdr>
        <w:top w:val="none" w:sz="0" w:space="0" w:color="auto"/>
        <w:left w:val="none" w:sz="0" w:space="0" w:color="auto"/>
        <w:bottom w:val="none" w:sz="0" w:space="0" w:color="auto"/>
        <w:right w:val="none" w:sz="0" w:space="0" w:color="auto"/>
      </w:divBdr>
    </w:div>
    <w:div w:id="114755311">
      <w:bodyDiv w:val="1"/>
      <w:marLeft w:val="0"/>
      <w:marRight w:val="0"/>
      <w:marTop w:val="0"/>
      <w:marBottom w:val="0"/>
      <w:divBdr>
        <w:top w:val="none" w:sz="0" w:space="0" w:color="auto"/>
        <w:left w:val="none" w:sz="0" w:space="0" w:color="auto"/>
        <w:bottom w:val="none" w:sz="0" w:space="0" w:color="auto"/>
        <w:right w:val="none" w:sz="0" w:space="0" w:color="auto"/>
      </w:divBdr>
    </w:div>
    <w:div w:id="157312250">
      <w:bodyDiv w:val="1"/>
      <w:marLeft w:val="0"/>
      <w:marRight w:val="0"/>
      <w:marTop w:val="0"/>
      <w:marBottom w:val="0"/>
      <w:divBdr>
        <w:top w:val="none" w:sz="0" w:space="0" w:color="auto"/>
        <w:left w:val="none" w:sz="0" w:space="0" w:color="auto"/>
        <w:bottom w:val="none" w:sz="0" w:space="0" w:color="auto"/>
        <w:right w:val="none" w:sz="0" w:space="0" w:color="auto"/>
      </w:divBdr>
    </w:div>
    <w:div w:id="166212095">
      <w:bodyDiv w:val="1"/>
      <w:marLeft w:val="0"/>
      <w:marRight w:val="0"/>
      <w:marTop w:val="0"/>
      <w:marBottom w:val="0"/>
      <w:divBdr>
        <w:top w:val="none" w:sz="0" w:space="0" w:color="auto"/>
        <w:left w:val="none" w:sz="0" w:space="0" w:color="auto"/>
        <w:bottom w:val="none" w:sz="0" w:space="0" w:color="auto"/>
        <w:right w:val="none" w:sz="0" w:space="0" w:color="auto"/>
      </w:divBdr>
    </w:div>
    <w:div w:id="200822052">
      <w:bodyDiv w:val="1"/>
      <w:marLeft w:val="0"/>
      <w:marRight w:val="0"/>
      <w:marTop w:val="0"/>
      <w:marBottom w:val="0"/>
      <w:divBdr>
        <w:top w:val="none" w:sz="0" w:space="0" w:color="auto"/>
        <w:left w:val="none" w:sz="0" w:space="0" w:color="auto"/>
        <w:bottom w:val="none" w:sz="0" w:space="0" w:color="auto"/>
        <w:right w:val="none" w:sz="0" w:space="0" w:color="auto"/>
      </w:divBdr>
    </w:div>
    <w:div w:id="362749200">
      <w:bodyDiv w:val="1"/>
      <w:marLeft w:val="0"/>
      <w:marRight w:val="0"/>
      <w:marTop w:val="0"/>
      <w:marBottom w:val="0"/>
      <w:divBdr>
        <w:top w:val="none" w:sz="0" w:space="0" w:color="auto"/>
        <w:left w:val="none" w:sz="0" w:space="0" w:color="auto"/>
        <w:bottom w:val="none" w:sz="0" w:space="0" w:color="auto"/>
        <w:right w:val="none" w:sz="0" w:space="0" w:color="auto"/>
      </w:divBdr>
    </w:div>
    <w:div w:id="524638779">
      <w:bodyDiv w:val="1"/>
      <w:marLeft w:val="0"/>
      <w:marRight w:val="0"/>
      <w:marTop w:val="0"/>
      <w:marBottom w:val="0"/>
      <w:divBdr>
        <w:top w:val="none" w:sz="0" w:space="0" w:color="auto"/>
        <w:left w:val="none" w:sz="0" w:space="0" w:color="auto"/>
        <w:bottom w:val="none" w:sz="0" w:space="0" w:color="auto"/>
        <w:right w:val="none" w:sz="0" w:space="0" w:color="auto"/>
      </w:divBdr>
    </w:div>
    <w:div w:id="722564480">
      <w:bodyDiv w:val="1"/>
      <w:marLeft w:val="0"/>
      <w:marRight w:val="0"/>
      <w:marTop w:val="0"/>
      <w:marBottom w:val="0"/>
      <w:divBdr>
        <w:top w:val="none" w:sz="0" w:space="0" w:color="auto"/>
        <w:left w:val="none" w:sz="0" w:space="0" w:color="auto"/>
        <w:bottom w:val="none" w:sz="0" w:space="0" w:color="auto"/>
        <w:right w:val="none" w:sz="0" w:space="0" w:color="auto"/>
      </w:divBdr>
    </w:div>
    <w:div w:id="802233525">
      <w:bodyDiv w:val="1"/>
      <w:marLeft w:val="0"/>
      <w:marRight w:val="0"/>
      <w:marTop w:val="0"/>
      <w:marBottom w:val="0"/>
      <w:divBdr>
        <w:top w:val="none" w:sz="0" w:space="0" w:color="auto"/>
        <w:left w:val="none" w:sz="0" w:space="0" w:color="auto"/>
        <w:bottom w:val="none" w:sz="0" w:space="0" w:color="auto"/>
        <w:right w:val="none" w:sz="0" w:space="0" w:color="auto"/>
      </w:divBdr>
    </w:div>
    <w:div w:id="949969316">
      <w:bodyDiv w:val="1"/>
      <w:marLeft w:val="0"/>
      <w:marRight w:val="0"/>
      <w:marTop w:val="0"/>
      <w:marBottom w:val="0"/>
      <w:divBdr>
        <w:top w:val="none" w:sz="0" w:space="0" w:color="auto"/>
        <w:left w:val="none" w:sz="0" w:space="0" w:color="auto"/>
        <w:bottom w:val="none" w:sz="0" w:space="0" w:color="auto"/>
        <w:right w:val="none" w:sz="0" w:space="0" w:color="auto"/>
      </w:divBdr>
    </w:div>
    <w:div w:id="974913933">
      <w:bodyDiv w:val="1"/>
      <w:marLeft w:val="0"/>
      <w:marRight w:val="0"/>
      <w:marTop w:val="0"/>
      <w:marBottom w:val="0"/>
      <w:divBdr>
        <w:top w:val="none" w:sz="0" w:space="0" w:color="auto"/>
        <w:left w:val="none" w:sz="0" w:space="0" w:color="auto"/>
        <w:bottom w:val="none" w:sz="0" w:space="0" w:color="auto"/>
        <w:right w:val="none" w:sz="0" w:space="0" w:color="auto"/>
      </w:divBdr>
    </w:div>
    <w:div w:id="1077247775">
      <w:bodyDiv w:val="1"/>
      <w:marLeft w:val="0"/>
      <w:marRight w:val="0"/>
      <w:marTop w:val="0"/>
      <w:marBottom w:val="0"/>
      <w:divBdr>
        <w:top w:val="none" w:sz="0" w:space="0" w:color="auto"/>
        <w:left w:val="none" w:sz="0" w:space="0" w:color="auto"/>
        <w:bottom w:val="none" w:sz="0" w:space="0" w:color="auto"/>
        <w:right w:val="none" w:sz="0" w:space="0" w:color="auto"/>
      </w:divBdr>
    </w:div>
    <w:div w:id="1084450851">
      <w:bodyDiv w:val="1"/>
      <w:marLeft w:val="0"/>
      <w:marRight w:val="0"/>
      <w:marTop w:val="0"/>
      <w:marBottom w:val="0"/>
      <w:divBdr>
        <w:top w:val="none" w:sz="0" w:space="0" w:color="auto"/>
        <w:left w:val="none" w:sz="0" w:space="0" w:color="auto"/>
        <w:bottom w:val="none" w:sz="0" w:space="0" w:color="auto"/>
        <w:right w:val="none" w:sz="0" w:space="0" w:color="auto"/>
      </w:divBdr>
    </w:div>
    <w:div w:id="1138457086">
      <w:bodyDiv w:val="1"/>
      <w:marLeft w:val="0"/>
      <w:marRight w:val="0"/>
      <w:marTop w:val="0"/>
      <w:marBottom w:val="0"/>
      <w:divBdr>
        <w:top w:val="none" w:sz="0" w:space="0" w:color="auto"/>
        <w:left w:val="none" w:sz="0" w:space="0" w:color="auto"/>
        <w:bottom w:val="none" w:sz="0" w:space="0" w:color="auto"/>
        <w:right w:val="none" w:sz="0" w:space="0" w:color="auto"/>
      </w:divBdr>
    </w:div>
    <w:div w:id="1345783500">
      <w:bodyDiv w:val="1"/>
      <w:marLeft w:val="0"/>
      <w:marRight w:val="0"/>
      <w:marTop w:val="0"/>
      <w:marBottom w:val="0"/>
      <w:divBdr>
        <w:top w:val="none" w:sz="0" w:space="0" w:color="auto"/>
        <w:left w:val="none" w:sz="0" w:space="0" w:color="auto"/>
        <w:bottom w:val="none" w:sz="0" w:space="0" w:color="auto"/>
        <w:right w:val="none" w:sz="0" w:space="0" w:color="auto"/>
      </w:divBdr>
    </w:div>
    <w:div w:id="1567951576">
      <w:bodyDiv w:val="1"/>
      <w:marLeft w:val="0"/>
      <w:marRight w:val="0"/>
      <w:marTop w:val="0"/>
      <w:marBottom w:val="0"/>
      <w:divBdr>
        <w:top w:val="none" w:sz="0" w:space="0" w:color="auto"/>
        <w:left w:val="none" w:sz="0" w:space="0" w:color="auto"/>
        <w:bottom w:val="none" w:sz="0" w:space="0" w:color="auto"/>
        <w:right w:val="none" w:sz="0" w:space="0" w:color="auto"/>
      </w:divBdr>
    </w:div>
    <w:div w:id="1574270206">
      <w:bodyDiv w:val="1"/>
      <w:marLeft w:val="0"/>
      <w:marRight w:val="0"/>
      <w:marTop w:val="0"/>
      <w:marBottom w:val="0"/>
      <w:divBdr>
        <w:top w:val="none" w:sz="0" w:space="0" w:color="auto"/>
        <w:left w:val="none" w:sz="0" w:space="0" w:color="auto"/>
        <w:bottom w:val="none" w:sz="0" w:space="0" w:color="auto"/>
        <w:right w:val="none" w:sz="0" w:space="0" w:color="auto"/>
      </w:divBdr>
    </w:div>
    <w:div w:id="1579246536">
      <w:bodyDiv w:val="1"/>
      <w:marLeft w:val="0"/>
      <w:marRight w:val="0"/>
      <w:marTop w:val="0"/>
      <w:marBottom w:val="0"/>
      <w:divBdr>
        <w:top w:val="none" w:sz="0" w:space="0" w:color="auto"/>
        <w:left w:val="none" w:sz="0" w:space="0" w:color="auto"/>
        <w:bottom w:val="none" w:sz="0" w:space="0" w:color="auto"/>
        <w:right w:val="none" w:sz="0" w:space="0" w:color="auto"/>
      </w:divBdr>
    </w:div>
    <w:div w:id="1640498634">
      <w:bodyDiv w:val="1"/>
      <w:marLeft w:val="0"/>
      <w:marRight w:val="0"/>
      <w:marTop w:val="0"/>
      <w:marBottom w:val="0"/>
      <w:divBdr>
        <w:top w:val="none" w:sz="0" w:space="0" w:color="auto"/>
        <w:left w:val="none" w:sz="0" w:space="0" w:color="auto"/>
        <w:bottom w:val="none" w:sz="0" w:space="0" w:color="auto"/>
        <w:right w:val="none" w:sz="0" w:space="0" w:color="auto"/>
      </w:divBdr>
    </w:div>
    <w:div w:id="1701272676">
      <w:bodyDiv w:val="1"/>
      <w:marLeft w:val="0"/>
      <w:marRight w:val="0"/>
      <w:marTop w:val="0"/>
      <w:marBottom w:val="0"/>
      <w:divBdr>
        <w:top w:val="none" w:sz="0" w:space="0" w:color="auto"/>
        <w:left w:val="none" w:sz="0" w:space="0" w:color="auto"/>
        <w:bottom w:val="none" w:sz="0" w:space="0" w:color="auto"/>
        <w:right w:val="none" w:sz="0" w:space="0" w:color="auto"/>
      </w:divBdr>
    </w:div>
    <w:div w:id="1829401817">
      <w:bodyDiv w:val="1"/>
      <w:marLeft w:val="0"/>
      <w:marRight w:val="0"/>
      <w:marTop w:val="0"/>
      <w:marBottom w:val="0"/>
      <w:divBdr>
        <w:top w:val="none" w:sz="0" w:space="0" w:color="auto"/>
        <w:left w:val="none" w:sz="0" w:space="0" w:color="auto"/>
        <w:bottom w:val="none" w:sz="0" w:space="0" w:color="auto"/>
        <w:right w:val="none" w:sz="0" w:space="0" w:color="auto"/>
      </w:divBdr>
    </w:div>
    <w:div w:id="183706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credly.com/badges/97e915fc-4534-40b6-a6c2-c2e7db8319bb/linked_in_prof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3193</TotalTime>
  <Pages>6</Pages>
  <Words>4607</Words>
  <Characters>26265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Rushiraj Karia</dc:creator>
  <cp:keywords/>
  <dc:description/>
  <cp:lastModifiedBy>Akshat Singh</cp:lastModifiedBy>
  <cp:revision>32</cp:revision>
  <dcterms:created xsi:type="dcterms:W3CDTF">2025-09-17T05:20:00Z</dcterms:created>
  <dcterms:modified xsi:type="dcterms:W3CDTF">2026-01-21T15:21:00Z</dcterms:modified>
</cp:coreProperties>
</file>