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2EBF9" w14:textId="0604FC25" w:rsidR="005A0B66" w:rsidRPr="00E2689F" w:rsidRDefault="006A1EB8" w:rsidP="00E2689F">
      <w:pPr>
        <w:pStyle w:val="Title"/>
        <w:spacing w:after="120" w:line="360" w:lineRule="auto"/>
        <w:rPr>
          <w:rFonts w:ascii="Arial" w:hAnsi="Arial" w:cs="Arial"/>
          <w:color w:val="auto"/>
          <w:sz w:val="30"/>
          <w:szCs w:val="30"/>
        </w:rPr>
      </w:pPr>
      <w:r w:rsidRPr="00690C6C">
        <w:rPr>
          <w:rFonts w:ascii="Arial" w:hAnsi="Arial" w:cs="Arial"/>
          <w:b/>
          <w:bCs/>
          <w:color w:val="auto"/>
          <w:sz w:val="32"/>
          <w:szCs w:val="32"/>
        </w:rPr>
        <w:t>KIRANKUMAR THANDURI</w:t>
      </w:r>
      <w:r w:rsidR="005E3937" w:rsidRPr="00690C6C">
        <w:rPr>
          <w:rFonts w:ascii="Arial" w:hAnsi="Arial" w:cs="Arial"/>
          <w:b/>
          <w:bCs/>
          <w:color w:val="auto"/>
          <w:sz w:val="32"/>
          <w:szCs w:val="32"/>
        </w:rPr>
        <w:br/>
      </w:r>
      <w:r w:rsidR="005E3937" w:rsidRPr="00E2689F">
        <w:rPr>
          <w:rFonts w:ascii="Arial" w:eastAsiaTheme="minorEastAsia" w:hAnsi="Arial" w:cs="Arial"/>
          <w:b/>
          <w:bCs/>
          <w:color w:val="auto"/>
          <w:spacing w:val="0"/>
          <w:kern w:val="0"/>
          <w:sz w:val="22"/>
          <w:szCs w:val="22"/>
        </w:rPr>
        <w:t>Lead Business Data Analytics, Operations and Project Manager</w:t>
      </w:r>
    </w:p>
    <w:p w14:paraId="046475B0" w14:textId="77777777" w:rsidR="005A0B66" w:rsidRPr="00E2689F" w:rsidRDefault="006A1EB8" w:rsidP="00E2689F">
      <w:pPr>
        <w:pStyle w:val="Heading1"/>
        <w:spacing w:before="240" w:after="80" w:line="360" w:lineRule="auto"/>
        <w:rPr>
          <w:rFonts w:ascii="Arial" w:hAnsi="Arial" w:cs="Arial"/>
          <w:color w:val="auto"/>
          <w:sz w:val="20"/>
          <w:szCs w:val="20"/>
        </w:rPr>
      </w:pPr>
      <w:bookmarkStart w:id="0" w:name="_GoBack"/>
      <w:bookmarkEnd w:id="0"/>
      <w:r w:rsidRPr="00E2689F">
        <w:rPr>
          <w:rFonts w:ascii="Arial" w:hAnsi="Arial" w:cs="Arial"/>
          <w:color w:val="auto"/>
          <w:sz w:val="20"/>
          <w:szCs w:val="20"/>
        </w:rPr>
        <w:t>PROFESSIONAL SUMMARY</w:t>
      </w:r>
    </w:p>
    <w:p w14:paraId="1D0384AE" w14:textId="042A8BEA" w:rsidR="005A0B66" w:rsidRPr="00E2689F" w:rsidRDefault="00D0160B" w:rsidP="00E2689F">
      <w:pPr>
        <w:spacing w:line="360" w:lineRule="auto"/>
        <w:rPr>
          <w:rFonts w:ascii="Arial" w:hAnsi="Arial" w:cs="Arial"/>
          <w:sz w:val="20"/>
          <w:szCs w:val="20"/>
        </w:rPr>
      </w:pPr>
      <w:r w:rsidRPr="00E2689F">
        <w:rPr>
          <w:rFonts w:ascii="Arial" w:hAnsi="Arial" w:cs="Arial"/>
          <w:sz w:val="20"/>
          <w:szCs w:val="20"/>
        </w:rPr>
        <w:t>Results-driven Project Manager and Business Analyst with 19+ years of experience leading cross-functional initiatives in analytics, BI, and digital transformation. Proven ability to translate business needs into actionable data strategies, manage global teams, and deliver scalable solutions. Adept at stakeholder engagement, process optimization, and driving measurable impact through structured project execution and strategic analysis.</w:t>
      </w:r>
      <w:r w:rsidR="00C13F04" w:rsidRPr="00E2689F">
        <w:rPr>
          <w:rFonts w:ascii="Arial" w:hAnsi="Arial" w:cs="Arial"/>
          <w:sz w:val="20"/>
          <w:szCs w:val="20"/>
        </w:rPr>
        <w:t xml:space="preserve"> </w:t>
      </w:r>
    </w:p>
    <w:p w14:paraId="2B05D357" w14:textId="5839495B" w:rsidR="005A0B66" w:rsidRPr="00E2689F" w:rsidRDefault="00D0160B" w:rsidP="00E2689F">
      <w:pPr>
        <w:pStyle w:val="Heading1"/>
        <w:spacing w:before="240" w:after="80" w:line="360" w:lineRule="auto"/>
        <w:rPr>
          <w:rFonts w:ascii="Arial" w:hAnsi="Arial" w:cs="Arial"/>
          <w:color w:val="auto"/>
          <w:sz w:val="20"/>
          <w:szCs w:val="20"/>
        </w:rPr>
      </w:pPr>
      <w:r w:rsidRPr="00E2689F">
        <w:rPr>
          <w:rFonts w:ascii="Arial" w:hAnsi="Arial" w:cs="Arial"/>
          <w:color w:val="auto"/>
          <w:sz w:val="20"/>
          <w:szCs w:val="20"/>
        </w:rPr>
        <w:t>CORE COMPETENIES</w:t>
      </w:r>
    </w:p>
    <w:p w14:paraId="4F107305" w14:textId="1E2792B3" w:rsidR="0026434D" w:rsidRPr="00E2689F" w:rsidRDefault="00D0160B" w:rsidP="00E2689F">
      <w:pPr>
        <w:pStyle w:val="ListParagraph"/>
        <w:numPr>
          <w:ilvl w:val="0"/>
          <w:numId w:val="10"/>
        </w:numPr>
        <w:spacing w:line="360" w:lineRule="auto"/>
        <w:ind w:left="714" w:hanging="357"/>
        <w:rPr>
          <w:rFonts w:ascii="Arial" w:hAnsi="Arial" w:cs="Arial"/>
          <w:sz w:val="20"/>
          <w:szCs w:val="20"/>
        </w:rPr>
      </w:pPr>
      <w:r w:rsidRPr="00E2689F">
        <w:rPr>
          <w:rFonts w:ascii="Arial" w:hAnsi="Arial" w:cs="Arial"/>
          <w:sz w:val="20"/>
          <w:szCs w:val="20"/>
        </w:rPr>
        <w:t>Project Management</w:t>
      </w:r>
      <w:r w:rsidR="0026434D" w:rsidRPr="00E2689F">
        <w:rPr>
          <w:rFonts w:ascii="Arial" w:hAnsi="Arial" w:cs="Arial"/>
          <w:sz w:val="20"/>
          <w:szCs w:val="20"/>
        </w:rPr>
        <w:t xml:space="preserve">: </w:t>
      </w:r>
      <w:r w:rsidRPr="00E2689F">
        <w:rPr>
          <w:rFonts w:ascii="Arial" w:hAnsi="Arial" w:cs="Arial"/>
          <w:sz w:val="20"/>
          <w:szCs w:val="20"/>
        </w:rPr>
        <w:t>Agile &amp; Scrum</w:t>
      </w:r>
      <w:r w:rsidR="0026434D" w:rsidRPr="00E2689F">
        <w:rPr>
          <w:rFonts w:ascii="Arial" w:hAnsi="Arial" w:cs="Arial"/>
          <w:sz w:val="20"/>
          <w:szCs w:val="20"/>
        </w:rPr>
        <w:t xml:space="preserve">, </w:t>
      </w:r>
      <w:r w:rsidRPr="00E2689F">
        <w:rPr>
          <w:rFonts w:ascii="Arial" w:hAnsi="Arial" w:cs="Arial"/>
          <w:sz w:val="20"/>
          <w:szCs w:val="20"/>
        </w:rPr>
        <w:t>Process Automation</w:t>
      </w:r>
      <w:r w:rsidR="0026434D" w:rsidRPr="00E2689F">
        <w:rPr>
          <w:rFonts w:ascii="Arial" w:hAnsi="Arial" w:cs="Arial"/>
          <w:sz w:val="20"/>
          <w:szCs w:val="20"/>
        </w:rPr>
        <w:t xml:space="preserve">, </w:t>
      </w:r>
      <w:r w:rsidRPr="00E2689F">
        <w:rPr>
          <w:rFonts w:ascii="Arial" w:hAnsi="Arial" w:cs="Arial"/>
          <w:sz w:val="20"/>
          <w:szCs w:val="20"/>
        </w:rPr>
        <w:t>KPI Definition</w:t>
      </w:r>
    </w:p>
    <w:p w14:paraId="4BB6A856" w14:textId="2FFE758A" w:rsidR="00D0160B" w:rsidRPr="00E2689F" w:rsidRDefault="00D0160B" w:rsidP="00E2689F">
      <w:pPr>
        <w:pStyle w:val="ListParagraph"/>
        <w:numPr>
          <w:ilvl w:val="0"/>
          <w:numId w:val="10"/>
        </w:numPr>
        <w:spacing w:line="360" w:lineRule="auto"/>
        <w:ind w:left="714" w:hanging="357"/>
        <w:rPr>
          <w:rFonts w:ascii="Arial" w:hAnsi="Arial" w:cs="Arial"/>
          <w:sz w:val="20"/>
          <w:szCs w:val="20"/>
        </w:rPr>
      </w:pPr>
      <w:r w:rsidRPr="00E2689F">
        <w:rPr>
          <w:rFonts w:ascii="Arial" w:hAnsi="Arial" w:cs="Arial"/>
          <w:sz w:val="20"/>
          <w:szCs w:val="20"/>
        </w:rPr>
        <w:t>Business Analysis: Requirement Gathering, GAP Analysis, Use Case Development, User Acceptance Testing.</w:t>
      </w:r>
    </w:p>
    <w:p w14:paraId="54D07C77" w14:textId="231B44C0" w:rsidR="005554D3" w:rsidRPr="00E2689F" w:rsidRDefault="00D0160B" w:rsidP="00E2689F">
      <w:pPr>
        <w:pStyle w:val="ListParagraph"/>
        <w:numPr>
          <w:ilvl w:val="0"/>
          <w:numId w:val="10"/>
        </w:numPr>
        <w:spacing w:line="360" w:lineRule="auto"/>
        <w:ind w:left="714" w:hanging="357"/>
        <w:rPr>
          <w:rFonts w:ascii="Arial" w:hAnsi="Arial" w:cs="Arial"/>
          <w:sz w:val="20"/>
          <w:szCs w:val="20"/>
        </w:rPr>
      </w:pPr>
      <w:r w:rsidRPr="00E2689F">
        <w:rPr>
          <w:rFonts w:ascii="Arial" w:hAnsi="Arial" w:cs="Arial"/>
          <w:sz w:val="20"/>
          <w:szCs w:val="20"/>
        </w:rPr>
        <w:t>BI &amp; Reporting: Power BI, SQL, Python, ETL Pipelines</w:t>
      </w:r>
    </w:p>
    <w:p w14:paraId="10316ACE" w14:textId="635A98D0" w:rsidR="00D0160B" w:rsidRPr="00E2689F" w:rsidRDefault="00D0160B" w:rsidP="00E2689F">
      <w:pPr>
        <w:pStyle w:val="ListParagraph"/>
        <w:numPr>
          <w:ilvl w:val="0"/>
          <w:numId w:val="10"/>
        </w:numPr>
        <w:spacing w:line="360" w:lineRule="auto"/>
        <w:ind w:left="714" w:hanging="357"/>
        <w:rPr>
          <w:rFonts w:ascii="Arial" w:hAnsi="Arial" w:cs="Arial"/>
          <w:sz w:val="20"/>
          <w:szCs w:val="20"/>
        </w:rPr>
      </w:pPr>
      <w:r w:rsidRPr="00E2689F">
        <w:rPr>
          <w:rFonts w:ascii="Arial" w:hAnsi="Arial" w:cs="Arial"/>
          <w:sz w:val="20"/>
          <w:szCs w:val="20"/>
        </w:rPr>
        <w:t>Stakeholder Engagement: Executive Dashboards, Cross-functional Collaboration, Change Management</w:t>
      </w:r>
    </w:p>
    <w:p w14:paraId="49F62717" w14:textId="4FA2A49E" w:rsidR="005A0B66" w:rsidRPr="00E2689F" w:rsidRDefault="006A1EB8" w:rsidP="00E2689F">
      <w:pPr>
        <w:pStyle w:val="Heading1"/>
        <w:spacing w:before="240" w:after="80" w:line="360" w:lineRule="auto"/>
        <w:rPr>
          <w:rFonts w:ascii="Arial" w:hAnsi="Arial" w:cs="Arial"/>
          <w:color w:val="auto"/>
          <w:sz w:val="20"/>
          <w:szCs w:val="20"/>
        </w:rPr>
      </w:pPr>
      <w:r w:rsidRPr="00E2689F">
        <w:rPr>
          <w:rFonts w:ascii="Arial" w:hAnsi="Arial" w:cs="Arial"/>
          <w:color w:val="auto"/>
          <w:sz w:val="20"/>
          <w:szCs w:val="20"/>
        </w:rPr>
        <w:t>CERTIFICATIONS</w:t>
      </w:r>
    </w:p>
    <w:p w14:paraId="11752D29" w14:textId="77777777" w:rsidR="00D0160B" w:rsidRPr="00E2689F" w:rsidRDefault="00D0160B" w:rsidP="00E2689F">
      <w:pPr>
        <w:pStyle w:val="ListBullet"/>
        <w:spacing w:line="360" w:lineRule="auto"/>
        <w:ind w:left="357" w:hanging="357"/>
        <w:rPr>
          <w:rFonts w:ascii="Arial" w:hAnsi="Arial" w:cs="Arial"/>
          <w:sz w:val="20"/>
          <w:szCs w:val="20"/>
        </w:rPr>
      </w:pPr>
      <w:r w:rsidRPr="00E2689F">
        <w:rPr>
          <w:rFonts w:ascii="Arial" w:hAnsi="Arial" w:cs="Arial"/>
          <w:sz w:val="20"/>
          <w:szCs w:val="20"/>
        </w:rPr>
        <w:t>Certified Scrum Master – ScrumAlliance.org</w:t>
      </w:r>
    </w:p>
    <w:p w14:paraId="0069B42D" w14:textId="77777777" w:rsidR="00D0160B" w:rsidRPr="00E2689F" w:rsidRDefault="00D0160B" w:rsidP="00E2689F">
      <w:pPr>
        <w:pStyle w:val="ListBullet"/>
        <w:spacing w:line="360" w:lineRule="auto"/>
        <w:ind w:left="357" w:hanging="357"/>
        <w:rPr>
          <w:rFonts w:ascii="Arial" w:hAnsi="Arial" w:cs="Arial"/>
          <w:sz w:val="20"/>
          <w:szCs w:val="20"/>
        </w:rPr>
      </w:pPr>
      <w:r w:rsidRPr="00E2689F">
        <w:rPr>
          <w:rFonts w:ascii="Arial" w:hAnsi="Arial" w:cs="Arial"/>
          <w:sz w:val="20"/>
          <w:szCs w:val="20"/>
        </w:rPr>
        <w:t>Certified ISO Auditor – ISO 9001, ISMS 27001, ISO 20252</w:t>
      </w:r>
    </w:p>
    <w:p w14:paraId="730E8CE0" w14:textId="2A718E76" w:rsidR="00D0160B" w:rsidRPr="00E2689F" w:rsidRDefault="00D0160B" w:rsidP="00E2689F">
      <w:pPr>
        <w:pStyle w:val="ListBullet"/>
        <w:spacing w:line="360" w:lineRule="auto"/>
        <w:ind w:left="357" w:hanging="357"/>
        <w:rPr>
          <w:rFonts w:ascii="Arial" w:hAnsi="Arial" w:cs="Arial"/>
          <w:sz w:val="20"/>
          <w:szCs w:val="20"/>
        </w:rPr>
      </w:pPr>
      <w:r w:rsidRPr="00E2689F">
        <w:rPr>
          <w:rFonts w:ascii="Arial" w:hAnsi="Arial" w:cs="Arial"/>
          <w:sz w:val="20"/>
          <w:szCs w:val="20"/>
        </w:rPr>
        <w:t xml:space="preserve">IBM Data Science Professional Certificate </w:t>
      </w:r>
    </w:p>
    <w:p w14:paraId="713D642C" w14:textId="617310B1" w:rsidR="0026434D" w:rsidRPr="00E2689F" w:rsidRDefault="0026434D" w:rsidP="00E2689F">
      <w:pPr>
        <w:pStyle w:val="ListBullet"/>
        <w:spacing w:line="360" w:lineRule="auto"/>
        <w:ind w:left="357" w:hanging="357"/>
        <w:rPr>
          <w:rFonts w:ascii="Arial" w:hAnsi="Arial" w:cs="Arial"/>
          <w:sz w:val="20"/>
          <w:szCs w:val="20"/>
        </w:rPr>
      </w:pPr>
      <w:r w:rsidRPr="00E2689F">
        <w:rPr>
          <w:rFonts w:ascii="Arial" w:hAnsi="Arial" w:cs="Arial"/>
          <w:sz w:val="20"/>
          <w:szCs w:val="20"/>
        </w:rPr>
        <w:t xml:space="preserve">Power BI Desktop for Business Intelligence </w:t>
      </w:r>
    </w:p>
    <w:p w14:paraId="3185B354" w14:textId="16544F9D" w:rsidR="0026434D" w:rsidRPr="00E2689F" w:rsidRDefault="0026434D" w:rsidP="00E2689F">
      <w:pPr>
        <w:pStyle w:val="ListBullet"/>
        <w:spacing w:line="360" w:lineRule="auto"/>
        <w:ind w:left="357" w:hanging="357"/>
        <w:rPr>
          <w:rFonts w:ascii="Arial" w:hAnsi="Arial" w:cs="Arial"/>
          <w:sz w:val="20"/>
          <w:szCs w:val="20"/>
        </w:rPr>
      </w:pPr>
      <w:r w:rsidRPr="00E2689F">
        <w:rPr>
          <w:rFonts w:ascii="Arial" w:hAnsi="Arial" w:cs="Arial"/>
          <w:sz w:val="20"/>
          <w:szCs w:val="20"/>
        </w:rPr>
        <w:t xml:space="preserve">Python Bootcamp Programming Certification </w:t>
      </w:r>
    </w:p>
    <w:p w14:paraId="5A50F345" w14:textId="2D26D30A" w:rsidR="005A0B66" w:rsidRPr="00E2689F" w:rsidRDefault="006A1EB8" w:rsidP="00E2689F">
      <w:pPr>
        <w:pStyle w:val="Heading1"/>
        <w:spacing w:before="240" w:after="80" w:line="360" w:lineRule="auto"/>
        <w:rPr>
          <w:rFonts w:ascii="Arial" w:hAnsi="Arial" w:cs="Arial"/>
          <w:color w:val="auto"/>
          <w:sz w:val="20"/>
          <w:szCs w:val="20"/>
        </w:rPr>
      </w:pPr>
      <w:r w:rsidRPr="00E2689F">
        <w:rPr>
          <w:rFonts w:ascii="Arial" w:hAnsi="Arial" w:cs="Arial"/>
          <w:color w:val="auto"/>
          <w:sz w:val="20"/>
          <w:szCs w:val="20"/>
        </w:rPr>
        <w:t>PROFESSIONAL EXPERIENCE</w:t>
      </w:r>
      <w:r w:rsidR="00EF63EC" w:rsidRPr="00E2689F">
        <w:rPr>
          <w:rFonts w:ascii="Arial" w:hAnsi="Arial" w:cs="Arial"/>
          <w:color w:val="auto"/>
          <w:sz w:val="20"/>
          <w:szCs w:val="20"/>
        </w:rPr>
        <w:t xml:space="preserve"> </w:t>
      </w:r>
    </w:p>
    <w:p w14:paraId="7A54AF6D" w14:textId="79415813" w:rsidR="00D0160B" w:rsidRPr="00E2689F" w:rsidRDefault="00D0160B" w:rsidP="00E2689F">
      <w:pPr>
        <w:pStyle w:val="Heading1"/>
        <w:spacing w:before="240" w:after="80" w:line="360" w:lineRule="auto"/>
        <w:rPr>
          <w:rFonts w:ascii="Arial" w:eastAsiaTheme="minorEastAsia" w:hAnsi="Arial" w:cs="Arial"/>
          <w:color w:val="auto"/>
          <w:sz w:val="20"/>
          <w:szCs w:val="20"/>
        </w:rPr>
      </w:pPr>
      <w:r w:rsidRPr="00E2689F">
        <w:rPr>
          <w:rFonts w:ascii="Arial" w:eastAsiaTheme="minorEastAsia" w:hAnsi="Arial" w:cs="Arial"/>
          <w:color w:val="auto"/>
          <w:sz w:val="20"/>
          <w:szCs w:val="20"/>
        </w:rPr>
        <w:t>Adoption Lead – DTx and AI</w:t>
      </w:r>
      <w:r w:rsidRPr="00E2689F">
        <w:rPr>
          <w:rFonts w:ascii="Arial" w:eastAsiaTheme="minorEastAsia" w:hAnsi="Arial" w:cs="Arial"/>
          <w:color w:val="auto"/>
          <w:sz w:val="20"/>
          <w:szCs w:val="20"/>
        </w:rPr>
        <w:br/>
      </w:r>
      <w:r w:rsidRPr="00E2689F">
        <w:rPr>
          <w:rFonts w:ascii="Arial" w:eastAsiaTheme="minorEastAsia" w:hAnsi="Arial" w:cs="Arial"/>
          <w:b w:val="0"/>
          <w:bCs w:val="0"/>
          <w:color w:val="auto"/>
          <w:sz w:val="20"/>
          <w:szCs w:val="20"/>
        </w:rPr>
        <w:t>Kantar, Hyderabad | August 202</w:t>
      </w:r>
      <w:r w:rsidR="009D4B62" w:rsidRPr="00E2689F">
        <w:rPr>
          <w:rFonts w:ascii="Arial" w:eastAsiaTheme="minorEastAsia" w:hAnsi="Arial" w:cs="Arial"/>
          <w:b w:val="0"/>
          <w:bCs w:val="0"/>
          <w:color w:val="auto"/>
          <w:sz w:val="20"/>
          <w:szCs w:val="20"/>
        </w:rPr>
        <w:t>2</w:t>
      </w:r>
      <w:r w:rsidRPr="00E2689F">
        <w:rPr>
          <w:rFonts w:ascii="Arial" w:eastAsiaTheme="minorEastAsia" w:hAnsi="Arial" w:cs="Arial"/>
          <w:b w:val="0"/>
          <w:bCs w:val="0"/>
          <w:color w:val="auto"/>
          <w:sz w:val="20"/>
          <w:szCs w:val="20"/>
        </w:rPr>
        <w:t xml:space="preserve"> – July 2025</w:t>
      </w:r>
    </w:p>
    <w:p w14:paraId="00FA53BA" w14:textId="77777777"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Led Copilot Adoption &amp; AI Enablement across global Operations Centers, achieving 87–89% adoption through activation campaigns, gamified learning, and targeted interventions.</w:t>
      </w:r>
    </w:p>
    <w:p w14:paraId="351F1019" w14:textId="50B0F064"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Designed and delivered the Change Adopters Programme, upskilling 70–80 people managers in AI, change management, and digital adoption.</w:t>
      </w:r>
    </w:p>
    <w:p w14:paraId="770CE4AB" w14:textId="70A165E4"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Established a Digital Academy integrated with Kantar Academy, delivering foundational and role-specific digital skills.</w:t>
      </w:r>
    </w:p>
    <w:p w14:paraId="4AF30151" w14:textId="17581D7B"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lastRenderedPageBreak/>
        <w:t>Partnered with leadership to shape digital transformation strategy and drive 2025 commissioning planning.</w:t>
      </w:r>
    </w:p>
    <w:p w14:paraId="27EE5821" w14:textId="5391A0CF"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Directed UAT, rollout, and stakeholder engagement for platforms including UC1 (Designer), UC3 (Studio), and Pulse (project operations), supporting 170+ users.</w:t>
      </w:r>
    </w:p>
    <w:p w14:paraId="08B9090D" w14:textId="171BFD81"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Automated compliance processes (e.g., SDM MUD checklists), reducing manual effort and improving audit readiness.</w:t>
      </w:r>
    </w:p>
    <w:p w14:paraId="49ACC18B" w14:textId="7BDC529D"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Championed innovation projects such as Text2Topics, Ops Assistant, and Copilot Agent, improving operational productivity.</w:t>
      </w:r>
    </w:p>
    <w:p w14:paraId="56564A6A" w14:textId="6521B24E"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Built governance through storytelling, dashboards, and analytics to measure adoption and foster continuous learning.</w:t>
      </w:r>
    </w:p>
    <w:p w14:paraId="7DAA7FA3" w14:textId="77777777"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Oversaw automation tools (Commissioning Tracker, QIT) via PowerApps and Power Automate.</w:t>
      </w:r>
    </w:p>
    <w:p w14:paraId="52300D20" w14:textId="77777777" w:rsidR="009B286F"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Served as certified internal auditor (ISO 9001, ISO 27001, ISO 20252) and drove audit readiness.</w:t>
      </w:r>
    </w:p>
    <w:p w14:paraId="12FCBC10" w14:textId="3A1852DF" w:rsidR="009D4B62" w:rsidRPr="00E2689F" w:rsidRDefault="009B286F" w:rsidP="00E2689F">
      <w:pPr>
        <w:pStyle w:val="ListBullet"/>
        <w:spacing w:line="360" w:lineRule="auto"/>
        <w:ind w:left="357" w:hanging="357"/>
        <w:rPr>
          <w:rFonts w:ascii="Arial" w:hAnsi="Arial" w:cs="Arial"/>
          <w:sz w:val="20"/>
          <w:szCs w:val="20"/>
        </w:rPr>
      </w:pPr>
      <w:r w:rsidRPr="00E2689F">
        <w:rPr>
          <w:rFonts w:ascii="Arial" w:hAnsi="Arial" w:cs="Arial"/>
          <w:sz w:val="20"/>
          <w:szCs w:val="20"/>
        </w:rPr>
        <w:t>Delivered leadership coaching, technical training, and talent transformation initiatives across global teams.</w:t>
      </w:r>
    </w:p>
    <w:p w14:paraId="10BEE897" w14:textId="0D621EB8" w:rsidR="009D4B62" w:rsidRPr="00E2689F" w:rsidRDefault="009D4B62" w:rsidP="00E2689F">
      <w:pPr>
        <w:pStyle w:val="Heading1"/>
        <w:spacing w:before="240" w:after="80" w:line="360" w:lineRule="auto"/>
        <w:rPr>
          <w:rFonts w:ascii="Arial" w:eastAsiaTheme="minorEastAsia" w:hAnsi="Arial" w:cs="Arial"/>
          <w:color w:val="auto"/>
          <w:sz w:val="20"/>
          <w:szCs w:val="20"/>
        </w:rPr>
      </w:pPr>
      <w:r w:rsidRPr="00E2689F">
        <w:rPr>
          <w:rFonts w:ascii="Arial" w:eastAsiaTheme="minorEastAsia" w:hAnsi="Arial" w:cs="Arial"/>
          <w:color w:val="auto"/>
          <w:sz w:val="20"/>
          <w:szCs w:val="20"/>
        </w:rPr>
        <w:t>Operations and Project Manager – BI &amp; Reporting</w:t>
      </w:r>
      <w:r w:rsidRPr="00E2689F">
        <w:rPr>
          <w:rFonts w:ascii="Arial" w:eastAsiaTheme="minorEastAsia" w:hAnsi="Arial" w:cs="Arial"/>
          <w:color w:val="auto"/>
          <w:sz w:val="20"/>
          <w:szCs w:val="20"/>
        </w:rPr>
        <w:br/>
      </w:r>
      <w:r w:rsidRPr="00E2689F">
        <w:rPr>
          <w:rFonts w:ascii="Arial" w:eastAsiaTheme="minorEastAsia" w:hAnsi="Arial" w:cs="Arial"/>
          <w:b w:val="0"/>
          <w:bCs w:val="0"/>
          <w:color w:val="auto"/>
          <w:sz w:val="20"/>
          <w:szCs w:val="20"/>
        </w:rPr>
        <w:t>Kantar, Hyderabad | April 2016 – July 2022</w:t>
      </w:r>
    </w:p>
    <w:p w14:paraId="0A09580A"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Directed global BI transformation projects across 20+ countries, ensuring analytics delivery aligned with business goals.</w:t>
      </w:r>
    </w:p>
    <w:p w14:paraId="2EC95C1E"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Gathered business requirements, defined use cases, and delivered scalable solutions in Power BI and Python.</w:t>
      </w:r>
    </w:p>
    <w:p w14:paraId="31745D0B"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Led cross-functional teams to build forecasting models, automated commentary, and KPI dashboards.</w:t>
      </w:r>
    </w:p>
    <w:p w14:paraId="58CE53A6"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Introduced Agile practices to improve delivery speed and stakeholder collaboration.</w:t>
      </w:r>
    </w:p>
    <w:p w14:paraId="151A3209"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Oversaw reporting automation and dashboard migration, improving efficiency by 40%.</w:t>
      </w:r>
    </w:p>
    <w:p w14:paraId="6C5700C0"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Conducted gap analysis and stakeholder interviews to align KPIs and reporting needs.</w:t>
      </w:r>
    </w:p>
    <w:p w14:paraId="5AC8049E" w14:textId="77777777"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Managed offshore delivery teams, driving consistent quality across business units.</w:t>
      </w:r>
    </w:p>
    <w:p w14:paraId="1B768F80" w14:textId="6C2822B2" w:rsidR="009B286F" w:rsidRPr="00E2689F" w:rsidRDefault="009B286F" w:rsidP="00E2689F">
      <w:pPr>
        <w:pStyle w:val="ListBullet"/>
        <w:spacing w:before="240" w:after="80" w:line="360" w:lineRule="auto"/>
        <w:ind w:left="357" w:hanging="357"/>
        <w:rPr>
          <w:rFonts w:ascii="Arial" w:hAnsi="Arial" w:cs="Arial"/>
          <w:sz w:val="20"/>
          <w:szCs w:val="20"/>
        </w:rPr>
      </w:pPr>
      <w:r w:rsidRPr="00E2689F">
        <w:rPr>
          <w:rFonts w:ascii="Arial" w:hAnsi="Arial" w:cs="Arial"/>
          <w:sz w:val="20"/>
          <w:szCs w:val="20"/>
        </w:rPr>
        <w:t>Developed training materials and documentation to support BI adoption and change management.</w:t>
      </w:r>
    </w:p>
    <w:p w14:paraId="28711B0E" w14:textId="3C6F5D7B" w:rsidR="009D4B62" w:rsidRPr="00E2689F" w:rsidRDefault="009D4B62" w:rsidP="00E2689F">
      <w:pPr>
        <w:pStyle w:val="Heading1"/>
        <w:spacing w:before="240" w:after="80" w:line="360" w:lineRule="auto"/>
        <w:rPr>
          <w:rFonts w:ascii="Arial" w:eastAsiaTheme="minorEastAsia" w:hAnsi="Arial" w:cs="Arial"/>
          <w:b w:val="0"/>
          <w:bCs w:val="0"/>
          <w:color w:val="auto"/>
          <w:sz w:val="20"/>
          <w:szCs w:val="20"/>
        </w:rPr>
      </w:pPr>
      <w:r w:rsidRPr="00E2689F">
        <w:rPr>
          <w:rFonts w:ascii="Arial" w:eastAsiaTheme="minorEastAsia" w:hAnsi="Arial" w:cs="Arial"/>
          <w:color w:val="auto"/>
          <w:sz w:val="20"/>
          <w:szCs w:val="20"/>
        </w:rPr>
        <w:t>Analyst to Manager – Analytics and &amp; Reporting</w:t>
      </w:r>
      <w:r w:rsidRPr="00E2689F">
        <w:rPr>
          <w:rFonts w:ascii="Arial" w:eastAsiaTheme="minorEastAsia" w:hAnsi="Arial" w:cs="Arial"/>
          <w:color w:val="auto"/>
          <w:sz w:val="20"/>
          <w:szCs w:val="20"/>
        </w:rPr>
        <w:br/>
      </w:r>
      <w:r w:rsidR="00CD4D24" w:rsidRPr="00E2689F">
        <w:rPr>
          <w:rFonts w:ascii="Arial" w:eastAsiaTheme="minorEastAsia" w:hAnsi="Arial" w:cs="Arial"/>
          <w:b w:val="0"/>
          <w:bCs w:val="0"/>
          <w:color w:val="auto"/>
          <w:sz w:val="20"/>
          <w:szCs w:val="20"/>
        </w:rPr>
        <w:t xml:space="preserve">TNS ORSC and </w:t>
      </w:r>
      <w:r w:rsidRPr="00E2689F">
        <w:rPr>
          <w:rFonts w:ascii="Arial" w:eastAsiaTheme="minorEastAsia" w:hAnsi="Arial" w:cs="Arial"/>
          <w:b w:val="0"/>
          <w:bCs w:val="0"/>
          <w:color w:val="auto"/>
          <w:sz w:val="20"/>
          <w:szCs w:val="20"/>
        </w:rPr>
        <w:t>Kantar</w:t>
      </w:r>
      <w:r w:rsidR="00CD4D24" w:rsidRPr="00E2689F">
        <w:rPr>
          <w:rFonts w:ascii="Arial" w:eastAsiaTheme="minorEastAsia" w:hAnsi="Arial" w:cs="Arial"/>
          <w:b w:val="0"/>
          <w:bCs w:val="0"/>
          <w:color w:val="auto"/>
          <w:sz w:val="20"/>
          <w:szCs w:val="20"/>
        </w:rPr>
        <w:t xml:space="preserve"> Operations</w:t>
      </w:r>
      <w:r w:rsidRPr="00E2689F">
        <w:rPr>
          <w:rFonts w:ascii="Arial" w:eastAsiaTheme="minorEastAsia" w:hAnsi="Arial" w:cs="Arial"/>
          <w:b w:val="0"/>
          <w:bCs w:val="0"/>
          <w:color w:val="auto"/>
          <w:sz w:val="20"/>
          <w:szCs w:val="20"/>
        </w:rPr>
        <w:t>, Hyderabad | May 2006 – March 2016</w:t>
      </w:r>
    </w:p>
    <w:p w14:paraId="20D9C983" w14:textId="671346BD" w:rsidR="009E58F8" w:rsidRPr="00E2689F" w:rsidRDefault="009E58F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Delivered insights and reporting solutions for Fortune 500 clients across FMCG, retail, and media.</w:t>
      </w:r>
    </w:p>
    <w:p w14:paraId="5E147976" w14:textId="77777777" w:rsidR="009E58F8" w:rsidRPr="00E2689F" w:rsidRDefault="009E58F8" w:rsidP="00E2689F">
      <w:pPr>
        <w:pStyle w:val="ListBullet"/>
        <w:spacing w:line="360" w:lineRule="auto"/>
        <w:ind w:left="357" w:hanging="357"/>
        <w:rPr>
          <w:rFonts w:ascii="Arial" w:hAnsi="Arial" w:cs="Arial"/>
          <w:sz w:val="20"/>
          <w:szCs w:val="20"/>
        </w:rPr>
      </w:pPr>
      <w:r w:rsidRPr="00E2689F">
        <w:rPr>
          <w:rFonts w:ascii="Arial" w:hAnsi="Arial" w:cs="Arial"/>
          <w:sz w:val="20"/>
          <w:szCs w:val="20"/>
        </w:rPr>
        <w:lastRenderedPageBreak/>
        <w:t>Led process improvement initiatives and automated manual workflows using Excel VBA and SQL.</w:t>
      </w:r>
    </w:p>
    <w:p w14:paraId="78CEADC6" w14:textId="2118AE38" w:rsidR="009E58F8" w:rsidRPr="00E2689F" w:rsidRDefault="009E58F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Supported project planning, backlog management, and seasonal readiness across analytics programs.</w:t>
      </w:r>
    </w:p>
    <w:p w14:paraId="1C2F93DB" w14:textId="77777777" w:rsidR="005A0B66" w:rsidRPr="00E2689F" w:rsidRDefault="006A1EB8" w:rsidP="00E2689F">
      <w:pPr>
        <w:pStyle w:val="Heading1"/>
        <w:spacing w:before="240" w:after="80" w:line="360" w:lineRule="auto"/>
        <w:rPr>
          <w:rFonts w:ascii="Arial" w:hAnsi="Arial" w:cs="Arial"/>
          <w:color w:val="auto"/>
          <w:sz w:val="20"/>
          <w:szCs w:val="20"/>
        </w:rPr>
      </w:pPr>
      <w:r w:rsidRPr="00E2689F">
        <w:rPr>
          <w:rFonts w:ascii="Arial" w:hAnsi="Arial" w:cs="Arial"/>
          <w:color w:val="auto"/>
          <w:sz w:val="20"/>
          <w:szCs w:val="20"/>
        </w:rPr>
        <w:t>KEY ACHIEVEMENTS</w:t>
      </w:r>
    </w:p>
    <w:p w14:paraId="6847E8BC" w14:textId="77777777" w:rsidR="005A0B66" w:rsidRPr="00E2689F" w:rsidRDefault="006A1EB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Kantar Operations Performance Award – 2022</w:t>
      </w:r>
    </w:p>
    <w:p w14:paraId="29B86CA2" w14:textId="77777777" w:rsidR="005A0B66" w:rsidRPr="00E2689F" w:rsidRDefault="006A1EB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Positive Impact Award – Q3 2021</w:t>
      </w:r>
    </w:p>
    <w:p w14:paraId="232C51C1" w14:textId="77777777" w:rsidR="005A0B66" w:rsidRPr="00E2689F" w:rsidRDefault="006A1EB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Heart of Kantar – 2019</w:t>
      </w:r>
    </w:p>
    <w:p w14:paraId="764916DA" w14:textId="77777777" w:rsidR="005A0B66" w:rsidRPr="00E2689F" w:rsidRDefault="006A1EB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Best Manager – 2017</w:t>
      </w:r>
    </w:p>
    <w:p w14:paraId="1A2CE906" w14:textId="5BAC5CCF" w:rsidR="005A0B66" w:rsidRPr="00E2689F" w:rsidRDefault="006A1EB8" w:rsidP="00E2689F">
      <w:pPr>
        <w:pStyle w:val="ListBullet"/>
        <w:spacing w:line="360" w:lineRule="auto"/>
        <w:ind w:left="357" w:hanging="357"/>
        <w:rPr>
          <w:rFonts w:ascii="Arial" w:hAnsi="Arial" w:cs="Arial"/>
          <w:sz w:val="20"/>
          <w:szCs w:val="20"/>
        </w:rPr>
      </w:pPr>
      <w:r w:rsidRPr="00E2689F">
        <w:rPr>
          <w:rFonts w:ascii="Arial" w:hAnsi="Arial" w:cs="Arial"/>
          <w:sz w:val="20"/>
          <w:szCs w:val="20"/>
        </w:rPr>
        <w:t xml:space="preserve">TNS Diamond Citations – </w:t>
      </w:r>
      <w:r w:rsidRPr="00E2689F">
        <w:rPr>
          <w:rFonts w:ascii="Arial" w:hAnsi="Arial" w:cs="Arial"/>
          <w:sz w:val="20"/>
          <w:szCs w:val="20"/>
        </w:rPr>
        <w:t>2008 &amp; 2009</w:t>
      </w:r>
    </w:p>
    <w:p w14:paraId="47F4397C" w14:textId="77777777" w:rsidR="005A0B66" w:rsidRPr="00E2689F" w:rsidRDefault="006A1EB8" w:rsidP="00E2689F">
      <w:pPr>
        <w:pStyle w:val="Heading1"/>
        <w:spacing w:before="240" w:after="80" w:line="360" w:lineRule="auto"/>
        <w:rPr>
          <w:rFonts w:ascii="Arial" w:hAnsi="Arial" w:cs="Arial"/>
          <w:color w:val="auto"/>
          <w:sz w:val="20"/>
          <w:szCs w:val="20"/>
        </w:rPr>
      </w:pPr>
      <w:r w:rsidRPr="00E2689F">
        <w:rPr>
          <w:rFonts w:ascii="Arial" w:hAnsi="Arial" w:cs="Arial"/>
          <w:color w:val="auto"/>
          <w:sz w:val="20"/>
          <w:szCs w:val="20"/>
        </w:rPr>
        <w:t>EDUCATION</w:t>
      </w:r>
    </w:p>
    <w:p w14:paraId="236A1074" w14:textId="77777777" w:rsidR="00FF5756" w:rsidRPr="00E2689F" w:rsidRDefault="006A1EB8" w:rsidP="00E2689F">
      <w:pPr>
        <w:pStyle w:val="ListParagraph"/>
        <w:numPr>
          <w:ilvl w:val="0"/>
          <w:numId w:val="11"/>
        </w:numPr>
        <w:spacing w:line="360" w:lineRule="auto"/>
        <w:ind w:left="714" w:hanging="357"/>
        <w:rPr>
          <w:rFonts w:ascii="Arial" w:hAnsi="Arial" w:cs="Arial"/>
          <w:sz w:val="20"/>
          <w:szCs w:val="20"/>
        </w:rPr>
      </w:pPr>
      <w:r w:rsidRPr="00E2689F">
        <w:rPr>
          <w:rFonts w:ascii="Arial" w:hAnsi="Arial" w:cs="Arial"/>
          <w:sz w:val="20"/>
          <w:szCs w:val="20"/>
        </w:rPr>
        <w:t>MBA – Marketing &amp; Finance, Osmania University, Hyderabad – 2004 (First Division)</w:t>
      </w:r>
    </w:p>
    <w:p w14:paraId="75393C52" w14:textId="71855711" w:rsidR="005A0B66" w:rsidRPr="00E2689F" w:rsidRDefault="006A1EB8" w:rsidP="00E2689F">
      <w:pPr>
        <w:pStyle w:val="ListParagraph"/>
        <w:numPr>
          <w:ilvl w:val="0"/>
          <w:numId w:val="11"/>
        </w:numPr>
        <w:spacing w:line="360" w:lineRule="auto"/>
        <w:ind w:left="714" w:hanging="357"/>
        <w:rPr>
          <w:rFonts w:ascii="Arial" w:hAnsi="Arial" w:cs="Arial"/>
          <w:sz w:val="20"/>
          <w:szCs w:val="20"/>
        </w:rPr>
      </w:pPr>
      <w:r w:rsidRPr="00E2689F">
        <w:rPr>
          <w:rFonts w:ascii="Arial" w:hAnsi="Arial" w:cs="Arial"/>
          <w:sz w:val="20"/>
          <w:szCs w:val="20"/>
        </w:rPr>
        <w:t>BCA – Computer Applications, Kakatiya University, Warangal – 2002 (First Division)</w:t>
      </w:r>
    </w:p>
    <w:sectPr w:rsidR="005A0B66" w:rsidRPr="00E26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5D96C1EE"/>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2570215"/>
    <w:multiLevelType w:val="hybridMultilevel"/>
    <w:tmpl w:val="36FA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487017F"/>
    <w:multiLevelType w:val="hybridMultilevel"/>
    <w:tmpl w:val="0E261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8"/>
  </w:num>
  <w:num w:numId="13">
    <w:abstractNumId w:val="8"/>
  </w:num>
  <w:num w:numId="14">
    <w:abstractNumId w:val="8"/>
  </w:num>
  <w:num w:numId="15">
    <w:abstractNumId w:val="8"/>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2DA"/>
    <w:rsid w:val="00034616"/>
    <w:rsid w:val="0006063C"/>
    <w:rsid w:val="000A5C30"/>
    <w:rsid w:val="000D77B3"/>
    <w:rsid w:val="00114127"/>
    <w:rsid w:val="0015074B"/>
    <w:rsid w:val="00174369"/>
    <w:rsid w:val="001E60DE"/>
    <w:rsid w:val="0026434D"/>
    <w:rsid w:val="0029639D"/>
    <w:rsid w:val="00326F90"/>
    <w:rsid w:val="00525628"/>
    <w:rsid w:val="005554D3"/>
    <w:rsid w:val="005A0B66"/>
    <w:rsid w:val="005C37AB"/>
    <w:rsid w:val="005E3937"/>
    <w:rsid w:val="00690C6C"/>
    <w:rsid w:val="006A1EB8"/>
    <w:rsid w:val="00751555"/>
    <w:rsid w:val="00756049"/>
    <w:rsid w:val="008A71E1"/>
    <w:rsid w:val="00910A2A"/>
    <w:rsid w:val="00922A9F"/>
    <w:rsid w:val="00944B2B"/>
    <w:rsid w:val="009660E2"/>
    <w:rsid w:val="009B286F"/>
    <w:rsid w:val="009D4B62"/>
    <w:rsid w:val="009E58F8"/>
    <w:rsid w:val="00A03690"/>
    <w:rsid w:val="00A11187"/>
    <w:rsid w:val="00A87809"/>
    <w:rsid w:val="00AA1D8D"/>
    <w:rsid w:val="00B22CF7"/>
    <w:rsid w:val="00B47730"/>
    <w:rsid w:val="00C13F04"/>
    <w:rsid w:val="00C50A35"/>
    <w:rsid w:val="00CB0664"/>
    <w:rsid w:val="00CD4D24"/>
    <w:rsid w:val="00D0160B"/>
    <w:rsid w:val="00D42574"/>
    <w:rsid w:val="00E2689F"/>
    <w:rsid w:val="00EF63EC"/>
    <w:rsid w:val="00F05598"/>
    <w:rsid w:val="00FC693F"/>
    <w:rsid w:val="00FF5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C45E2"/>
  <w14:defaultImageDpi w14:val="300"/>
  <w15:docId w15:val="{17019744-3F5C-43AE-A2D5-4128BB05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4D2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202BA-D3F8-4C57-9EDA-618D79F1D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16</cp:revision>
  <dcterms:created xsi:type="dcterms:W3CDTF">2025-10-01T00:27:00Z</dcterms:created>
  <dcterms:modified xsi:type="dcterms:W3CDTF">2025-11-21T19:12:00Z</dcterms:modified>
  <cp:category/>
</cp:coreProperties>
</file>