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30CD10" w14:textId="77777777" w:rsidR="00624831" w:rsidRPr="005F3615" w:rsidRDefault="00C70B3B" w:rsidP="00E04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center"/>
        <w:rPr>
          <w:rFonts w:ascii="Times New Roman" w:hAnsi="Times New Roman" w:cs="Times New Roman"/>
          <w:sz w:val="36"/>
          <w:szCs w:val="36"/>
        </w:rPr>
      </w:pPr>
      <w:r w:rsidRPr="005F3615">
        <w:rPr>
          <w:rFonts w:ascii="Times New Roman" w:hAnsi="Times New Roman" w:cs="Times New Roman"/>
          <w:b/>
          <w:sz w:val="36"/>
          <w:szCs w:val="36"/>
        </w:rPr>
        <w:t>Syed Mohammed Ahmed Mohiuddin</w:t>
      </w:r>
    </w:p>
    <w:p w14:paraId="3F37DA5F" w14:textId="1327D262" w:rsidR="00624831" w:rsidRPr="005F3615" w:rsidRDefault="00C70B3B" w:rsidP="00E04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center"/>
        <w:rPr>
          <w:rFonts w:ascii="Georgia" w:hAnsi="Georgia"/>
          <w:sz w:val="28"/>
          <w:szCs w:val="28"/>
        </w:rPr>
      </w:pPr>
      <w:r w:rsidRPr="005F3615">
        <w:rPr>
          <w:rFonts w:ascii="Georgia" w:hAnsi="Georgia"/>
          <w:sz w:val="28"/>
          <w:szCs w:val="28"/>
        </w:rPr>
        <w:t xml:space="preserve">Senior Business </w:t>
      </w:r>
      <w:r w:rsidR="004F1F71" w:rsidRPr="005F3615">
        <w:rPr>
          <w:rFonts w:ascii="Georgia" w:hAnsi="Georgia"/>
          <w:sz w:val="28"/>
          <w:szCs w:val="28"/>
        </w:rPr>
        <w:t xml:space="preserve">System </w:t>
      </w:r>
      <w:r w:rsidRPr="005F3615">
        <w:rPr>
          <w:rFonts w:ascii="Georgia" w:hAnsi="Georgia"/>
          <w:sz w:val="28"/>
          <w:szCs w:val="28"/>
        </w:rPr>
        <w:t>Analyst</w:t>
      </w:r>
    </w:p>
    <w:p w14:paraId="5CC13624" w14:textId="79BEBBAF" w:rsidR="00624831" w:rsidRPr="005F3615" w:rsidRDefault="00C70B3B" w:rsidP="00E04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center"/>
        <w:rPr>
          <w:rFonts w:ascii="Georgia" w:hAnsi="Georgia"/>
          <w:sz w:val="28"/>
          <w:szCs w:val="28"/>
        </w:rPr>
      </w:pPr>
      <w:r w:rsidRPr="005F3615">
        <w:rPr>
          <w:rFonts w:ascii="Georgia" w:hAnsi="Georgia"/>
          <w:sz w:val="28"/>
          <w:szCs w:val="28"/>
        </w:rPr>
        <w:t xml:space="preserve"> Phone Number</w:t>
      </w:r>
      <w:r w:rsidR="00995A85" w:rsidRPr="005F3615">
        <w:rPr>
          <w:rFonts w:ascii="Georgia" w:hAnsi="Georgia"/>
          <w:sz w:val="28"/>
          <w:szCs w:val="28"/>
        </w:rPr>
        <w:t xml:space="preserve">: </w:t>
      </w:r>
      <w:r w:rsidR="004F1F71" w:rsidRPr="005F3615">
        <w:rPr>
          <w:rFonts w:ascii="Georgia" w:hAnsi="Georgia"/>
          <w:sz w:val="28"/>
          <w:szCs w:val="28"/>
        </w:rPr>
        <w:t>+1 8602491052</w:t>
      </w:r>
      <w:r w:rsidRPr="005F3615">
        <w:rPr>
          <w:rFonts w:ascii="Georgia" w:hAnsi="Georgia"/>
          <w:sz w:val="28"/>
          <w:szCs w:val="28"/>
        </w:rPr>
        <w:t xml:space="preserve"> | Email</w:t>
      </w:r>
      <w:r w:rsidR="00995A85" w:rsidRPr="005F3615">
        <w:rPr>
          <w:rFonts w:ascii="Georgia" w:hAnsi="Georgia"/>
          <w:sz w:val="28"/>
          <w:szCs w:val="28"/>
        </w:rPr>
        <w:t xml:space="preserve">: </w:t>
      </w:r>
      <w:hyperlink r:id="rId8" w:history="1">
        <w:r w:rsidR="004F1F71" w:rsidRPr="005F3615">
          <w:rPr>
            <w:rStyle w:val="Hyperlink"/>
            <w:rFonts w:ascii="Georgia" w:hAnsi="Georgia"/>
            <w:sz w:val="28"/>
            <w:szCs w:val="28"/>
          </w:rPr>
          <w:t>sma.mohiuddin5@gmail.com</w:t>
        </w:r>
      </w:hyperlink>
    </w:p>
    <w:p w14:paraId="7B46F5CA" w14:textId="77777777" w:rsidR="00624831" w:rsidRPr="005F3615" w:rsidRDefault="00C70B3B">
      <w:pPr>
        <w:pStyle w:val="Heading2"/>
        <w:rPr>
          <w:rFonts w:ascii="Georgia" w:hAnsi="Georgia"/>
          <w:color w:val="auto"/>
        </w:rPr>
      </w:pPr>
      <w:r w:rsidRPr="005F3615">
        <w:rPr>
          <w:rFonts w:ascii="Georgia" w:hAnsi="Georgia"/>
          <w:color w:val="auto"/>
        </w:rPr>
        <w:t>Professional Summary</w:t>
      </w:r>
    </w:p>
    <w:p w14:paraId="297923D0" w14:textId="77777777" w:rsidR="00F535DB" w:rsidRPr="00B456AA" w:rsidRDefault="00F535DB" w:rsidP="003E0075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 xml:space="preserve">Senior Business Systems Analyst with </w:t>
      </w:r>
      <w:r w:rsidRPr="00B456AA">
        <w:rPr>
          <w:rFonts w:asciiTheme="majorHAnsi" w:hAnsiTheme="majorHAnsi" w:cstheme="majorHAnsi"/>
          <w:b/>
          <w:bCs/>
          <w:lang w:val="en-IN"/>
        </w:rPr>
        <w:t>11+ years of IT experience</w:t>
      </w:r>
      <w:r w:rsidRPr="00B456AA">
        <w:rPr>
          <w:rFonts w:asciiTheme="majorHAnsi" w:hAnsiTheme="majorHAnsi" w:cstheme="majorHAnsi"/>
          <w:lang w:val="en-IN"/>
        </w:rPr>
        <w:t xml:space="preserve"> delivering enterprise-scale solutions across </w:t>
      </w:r>
      <w:r w:rsidRPr="00B456AA">
        <w:rPr>
          <w:rFonts w:asciiTheme="majorHAnsi" w:hAnsiTheme="majorHAnsi" w:cstheme="majorHAnsi"/>
          <w:b/>
          <w:bCs/>
          <w:lang w:val="en-IN"/>
        </w:rPr>
        <w:t>capital markets, asset management, retail banking, and insurance domains</w:t>
      </w:r>
      <w:r w:rsidRPr="00B456AA">
        <w:rPr>
          <w:rFonts w:asciiTheme="majorHAnsi" w:hAnsiTheme="majorHAnsi" w:cstheme="majorHAnsi"/>
          <w:lang w:val="en-IN"/>
        </w:rPr>
        <w:t xml:space="preserve">. Strong hands-on expertise in </w:t>
      </w:r>
      <w:r w:rsidRPr="00B456AA">
        <w:rPr>
          <w:rFonts w:asciiTheme="majorHAnsi" w:hAnsiTheme="majorHAnsi" w:cstheme="majorHAnsi"/>
          <w:b/>
          <w:bCs/>
          <w:lang w:val="en-IN"/>
        </w:rPr>
        <w:t>front-to-back trade lifecycle, portfolio management, risk and compliance reporting, digital lending, payments, and core banking platforms</w:t>
      </w:r>
      <w:r w:rsidRPr="00B456AA">
        <w:rPr>
          <w:rFonts w:asciiTheme="majorHAnsi" w:hAnsiTheme="majorHAnsi" w:cstheme="majorHAnsi"/>
          <w:lang w:val="en-IN"/>
        </w:rPr>
        <w:t xml:space="preserve">. Proven ability to translate complex </w:t>
      </w:r>
      <w:r w:rsidRPr="00B456AA">
        <w:rPr>
          <w:rFonts w:asciiTheme="majorHAnsi" w:hAnsiTheme="majorHAnsi" w:cstheme="majorHAnsi"/>
          <w:b/>
          <w:bCs/>
          <w:lang w:val="en-IN"/>
        </w:rPr>
        <w:t>business, regulatory, and data requirements</w:t>
      </w:r>
      <w:r w:rsidRPr="00B456AA">
        <w:rPr>
          <w:rFonts w:asciiTheme="majorHAnsi" w:hAnsiTheme="majorHAnsi" w:cstheme="majorHAnsi"/>
          <w:lang w:val="en-IN"/>
        </w:rPr>
        <w:t xml:space="preserve"> into detailed </w:t>
      </w:r>
      <w:r w:rsidRPr="00B456AA">
        <w:rPr>
          <w:rFonts w:asciiTheme="majorHAnsi" w:hAnsiTheme="majorHAnsi" w:cstheme="majorHAnsi"/>
          <w:b/>
          <w:bCs/>
          <w:lang w:val="en-IN"/>
        </w:rPr>
        <w:t>BRDs, FRDs, user stories, workflows, and functional specifications</w:t>
      </w:r>
      <w:r w:rsidRPr="00B456AA">
        <w:rPr>
          <w:rFonts w:asciiTheme="majorHAnsi" w:hAnsiTheme="majorHAnsi" w:cstheme="majorHAnsi"/>
          <w:lang w:val="en-IN"/>
        </w:rPr>
        <w:t xml:space="preserve"> supporting scalable system architecture.</w:t>
      </w:r>
    </w:p>
    <w:p w14:paraId="275F9F68" w14:textId="77777777" w:rsidR="00F535DB" w:rsidRPr="00B456AA" w:rsidRDefault="00F535DB" w:rsidP="003E0075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 xml:space="preserve">Extensive experience driving </w:t>
      </w:r>
      <w:r w:rsidRPr="00B456AA">
        <w:rPr>
          <w:rFonts w:asciiTheme="majorHAnsi" w:hAnsiTheme="majorHAnsi" w:cstheme="majorHAnsi"/>
          <w:b/>
          <w:bCs/>
          <w:lang w:val="en-IN"/>
        </w:rPr>
        <w:t>API-based int</w:t>
      </w:r>
      <w:bookmarkStart w:id="0" w:name="_GoBack"/>
      <w:bookmarkEnd w:id="0"/>
      <w:r w:rsidRPr="00B456AA">
        <w:rPr>
          <w:rFonts w:asciiTheme="majorHAnsi" w:hAnsiTheme="majorHAnsi" w:cstheme="majorHAnsi"/>
          <w:b/>
          <w:bCs/>
          <w:lang w:val="en-IN"/>
        </w:rPr>
        <w:t>egrations</w:t>
      </w:r>
      <w:r w:rsidRPr="00B456AA">
        <w:rPr>
          <w:rFonts w:asciiTheme="majorHAnsi" w:hAnsiTheme="majorHAnsi" w:cstheme="majorHAnsi"/>
          <w:lang w:val="en-IN"/>
        </w:rPr>
        <w:t xml:space="preserve"> with market data vendors, credit bureaus, fraud detection services, payment gateways, prime brokers, and custodians. Deep understanding of </w:t>
      </w:r>
      <w:r w:rsidRPr="00B456AA">
        <w:rPr>
          <w:rFonts w:asciiTheme="majorHAnsi" w:hAnsiTheme="majorHAnsi" w:cstheme="majorHAnsi"/>
          <w:b/>
          <w:bCs/>
          <w:lang w:val="en-IN"/>
        </w:rPr>
        <w:t>regulatory frameworks</w:t>
      </w:r>
      <w:r w:rsidRPr="00B456AA">
        <w:rPr>
          <w:rFonts w:asciiTheme="majorHAnsi" w:hAnsiTheme="majorHAnsi" w:cstheme="majorHAnsi"/>
          <w:lang w:val="en-IN"/>
        </w:rPr>
        <w:t xml:space="preserve"> including </w:t>
      </w:r>
      <w:r w:rsidRPr="00B456AA">
        <w:rPr>
          <w:rFonts w:asciiTheme="majorHAnsi" w:hAnsiTheme="majorHAnsi" w:cstheme="majorHAnsi"/>
          <w:b/>
          <w:bCs/>
          <w:lang w:val="en-IN"/>
        </w:rPr>
        <w:t>SEC Rule 18f-4, FINRA, AML, KYC, Reg B, ECOA, FCRA, and CARES Act</w:t>
      </w:r>
      <w:r w:rsidRPr="00B456AA">
        <w:rPr>
          <w:rFonts w:asciiTheme="majorHAnsi" w:hAnsiTheme="majorHAnsi" w:cstheme="majorHAnsi"/>
          <w:lang w:val="en-IN"/>
        </w:rPr>
        <w:t xml:space="preserve">, ensuring audit-ready compliance and traceability. Strong background in </w:t>
      </w:r>
      <w:r w:rsidRPr="00B456AA">
        <w:rPr>
          <w:rFonts w:asciiTheme="majorHAnsi" w:hAnsiTheme="majorHAnsi" w:cstheme="majorHAnsi"/>
          <w:b/>
          <w:bCs/>
          <w:lang w:val="en-IN"/>
        </w:rPr>
        <w:t>data validation, reconciliation, reporting, and exception handling</w:t>
      </w:r>
      <w:r w:rsidRPr="00B456AA">
        <w:rPr>
          <w:rFonts w:asciiTheme="majorHAnsi" w:hAnsiTheme="majorHAnsi" w:cstheme="majorHAnsi"/>
          <w:lang w:val="en-IN"/>
        </w:rPr>
        <w:t xml:space="preserve"> across trading, lending, and payment systems.</w:t>
      </w:r>
    </w:p>
    <w:p w14:paraId="1A731F24" w14:textId="77777777" w:rsidR="00F535DB" w:rsidRPr="00B456AA" w:rsidRDefault="00F535DB" w:rsidP="003E0075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 xml:space="preserve">Highly experienced in </w:t>
      </w:r>
      <w:r w:rsidRPr="00B456AA">
        <w:rPr>
          <w:rFonts w:asciiTheme="majorHAnsi" w:hAnsiTheme="majorHAnsi" w:cstheme="majorHAnsi"/>
          <w:b/>
          <w:bCs/>
          <w:lang w:val="en-IN"/>
        </w:rPr>
        <w:t>Agile and hybrid delivery models</w:t>
      </w:r>
      <w:r w:rsidRPr="00B456AA">
        <w:rPr>
          <w:rFonts w:asciiTheme="majorHAnsi" w:hAnsiTheme="majorHAnsi" w:cstheme="majorHAnsi"/>
          <w:lang w:val="en-IN"/>
        </w:rPr>
        <w:t xml:space="preserve">, actively supporting </w:t>
      </w:r>
      <w:r w:rsidRPr="00B456AA">
        <w:rPr>
          <w:rFonts w:asciiTheme="majorHAnsi" w:hAnsiTheme="majorHAnsi" w:cstheme="majorHAnsi"/>
          <w:b/>
          <w:bCs/>
          <w:lang w:val="en-IN"/>
        </w:rPr>
        <w:t>backlog grooming, sprint planning, UAT coordination, defect triage, and release governance</w:t>
      </w:r>
      <w:r w:rsidRPr="00B456AA">
        <w:rPr>
          <w:rFonts w:asciiTheme="majorHAnsi" w:hAnsiTheme="majorHAnsi" w:cstheme="majorHAnsi"/>
          <w:lang w:val="en-IN"/>
        </w:rPr>
        <w:t xml:space="preserve">. Known for partnering effectively with </w:t>
      </w:r>
      <w:r w:rsidRPr="00B456AA">
        <w:rPr>
          <w:rFonts w:asciiTheme="majorHAnsi" w:hAnsiTheme="majorHAnsi" w:cstheme="majorHAnsi"/>
          <w:b/>
          <w:bCs/>
          <w:lang w:val="en-IN"/>
        </w:rPr>
        <w:t>portfolio managers, traders, compliance teams, risk analysts, engineers, and vendors</w:t>
      </w:r>
      <w:r w:rsidRPr="00B456AA">
        <w:rPr>
          <w:rFonts w:asciiTheme="majorHAnsi" w:hAnsiTheme="majorHAnsi" w:cstheme="majorHAnsi"/>
          <w:lang w:val="en-IN"/>
        </w:rPr>
        <w:t xml:space="preserve"> to deliver high-impact, production-ready solutions that improve operational efficiency, system stability, and regulatory alignment.</w:t>
      </w:r>
    </w:p>
    <w:p w14:paraId="3ACDB711" w14:textId="3FE13B2D" w:rsidR="00F535DB" w:rsidRPr="00B456AA" w:rsidRDefault="00F535DB" w:rsidP="003E0075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 xml:space="preserve">Proven experience supporting cloud and legacy platform coexistence, including </w:t>
      </w:r>
      <w:r w:rsidRPr="00B456AA">
        <w:rPr>
          <w:rFonts w:asciiTheme="majorHAnsi" w:hAnsiTheme="majorHAnsi" w:cstheme="majorHAnsi"/>
          <w:b/>
          <w:bCs/>
          <w:lang w:val="en-IN"/>
        </w:rPr>
        <w:t xml:space="preserve">data migration, system modernization, and backward compatibility </w:t>
      </w:r>
      <w:r w:rsidRPr="00B456AA">
        <w:rPr>
          <w:rFonts w:asciiTheme="majorHAnsi" w:hAnsiTheme="majorHAnsi" w:cstheme="majorHAnsi"/>
          <w:lang w:val="en-IN"/>
        </w:rPr>
        <w:t>across enterprise banking and trading systems.</w:t>
      </w:r>
    </w:p>
    <w:p w14:paraId="4EA839C5" w14:textId="68012397" w:rsidR="00F535DB" w:rsidRPr="00B456AA" w:rsidRDefault="00F535DB" w:rsidP="003E0075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 xml:space="preserve">Strong expertise in system impact analysis, change management, and release readiness, ensuring </w:t>
      </w:r>
      <w:r w:rsidRPr="00B456AA">
        <w:rPr>
          <w:rFonts w:asciiTheme="majorHAnsi" w:hAnsiTheme="majorHAnsi" w:cstheme="majorHAnsi"/>
          <w:b/>
          <w:bCs/>
          <w:lang w:val="en-IN"/>
        </w:rPr>
        <w:t>minimal production risk for regulatory and high-volume transaction platforms.</w:t>
      </w:r>
    </w:p>
    <w:p w14:paraId="4BD2D485" w14:textId="319F986E" w:rsidR="00F535DB" w:rsidRPr="00B456AA" w:rsidRDefault="00F535DB" w:rsidP="003E0075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Demonstrated ability to drive data-driven decisioning by partnering with analytics teams to define reporting, dashboards, and KPIs for business, risk, and compliance stakeholders.</w:t>
      </w:r>
    </w:p>
    <w:p w14:paraId="52A78243" w14:textId="61B829AE" w:rsidR="00F535DB" w:rsidRDefault="00F535DB" w:rsidP="00F535DB">
      <w:pPr>
        <w:rPr>
          <w:lang w:val="en-IN"/>
        </w:rPr>
      </w:pPr>
    </w:p>
    <w:p w14:paraId="57DBC199" w14:textId="5C618E9C" w:rsidR="00F535DB" w:rsidRPr="005F3615" w:rsidRDefault="00F535DB" w:rsidP="00F535DB">
      <w:pPr>
        <w:pStyle w:val="Heading2"/>
        <w:rPr>
          <w:rFonts w:ascii="Georgia" w:hAnsi="Georgia"/>
          <w:color w:val="auto"/>
        </w:rPr>
      </w:pPr>
      <w:r w:rsidRPr="005F3615">
        <w:rPr>
          <w:rFonts w:ascii="Georgia" w:hAnsi="Georgia"/>
          <w:color w:val="auto"/>
        </w:rPr>
        <w:t>Technical Table</w:t>
      </w:r>
    </w:p>
    <w:tbl>
      <w:tblPr>
        <w:tblStyle w:val="TableGridLight"/>
        <w:tblW w:w="10910" w:type="dxa"/>
        <w:tblLayout w:type="fixed"/>
        <w:tblLook w:val="06A0" w:firstRow="1" w:lastRow="0" w:firstColumn="1" w:lastColumn="0" w:noHBand="1" w:noVBand="1"/>
      </w:tblPr>
      <w:tblGrid>
        <w:gridCol w:w="3150"/>
        <w:gridCol w:w="7760"/>
      </w:tblGrid>
      <w:tr w:rsidR="00F535DB" w:rsidRPr="00F535DB" w14:paraId="6191C5F0" w14:textId="77777777" w:rsidTr="00E04179">
        <w:trPr>
          <w:trHeight w:val="300"/>
        </w:trPr>
        <w:tc>
          <w:tcPr>
            <w:tcW w:w="3150" w:type="dxa"/>
            <w:shd w:val="clear" w:color="auto" w:fill="F2F2F2" w:themeFill="background1" w:themeFillShade="F2"/>
          </w:tcPr>
          <w:p w14:paraId="4F2924CF" w14:textId="77777777" w:rsidR="00F535DB" w:rsidRPr="00F535DB" w:rsidRDefault="00F535DB" w:rsidP="00B456AA">
            <w:pPr>
              <w:spacing w:after="200" w:line="276" w:lineRule="auto"/>
              <w:jc w:val="center"/>
              <w:rPr>
                <w:b/>
                <w:bCs/>
              </w:rPr>
            </w:pPr>
            <w:r w:rsidRPr="00F535DB">
              <w:rPr>
                <w:b/>
                <w:bCs/>
              </w:rPr>
              <w:t>Category</w:t>
            </w:r>
          </w:p>
        </w:tc>
        <w:tc>
          <w:tcPr>
            <w:tcW w:w="7760" w:type="dxa"/>
            <w:shd w:val="clear" w:color="auto" w:fill="D9D9D9" w:themeFill="background1" w:themeFillShade="D9"/>
          </w:tcPr>
          <w:p w14:paraId="7875FDAD" w14:textId="77777777" w:rsidR="00F535DB" w:rsidRPr="00F535DB" w:rsidRDefault="00F535DB" w:rsidP="00B456AA">
            <w:pPr>
              <w:spacing w:after="200" w:line="276" w:lineRule="auto"/>
              <w:jc w:val="center"/>
              <w:rPr>
                <w:b/>
                <w:bCs/>
              </w:rPr>
            </w:pPr>
            <w:r w:rsidRPr="00F535DB">
              <w:rPr>
                <w:b/>
                <w:bCs/>
              </w:rPr>
              <w:t>Skill</w:t>
            </w:r>
          </w:p>
        </w:tc>
      </w:tr>
      <w:tr w:rsidR="00F535DB" w:rsidRPr="00F535DB" w14:paraId="70E03642" w14:textId="77777777" w:rsidTr="005F3615">
        <w:trPr>
          <w:trHeight w:val="300"/>
        </w:trPr>
        <w:tc>
          <w:tcPr>
            <w:tcW w:w="3150" w:type="dxa"/>
            <w:shd w:val="clear" w:color="auto" w:fill="D9D9D9" w:themeFill="background1" w:themeFillShade="D9"/>
          </w:tcPr>
          <w:p w14:paraId="30637E33" w14:textId="0A0AFC21" w:rsidR="00F535DB" w:rsidRPr="00B456AA" w:rsidRDefault="00F535DB" w:rsidP="00F535DB">
            <w:pPr>
              <w:spacing w:after="200" w:line="276" w:lineRule="auto"/>
              <w:rPr>
                <w:b/>
                <w:bCs/>
              </w:rPr>
            </w:pPr>
            <w:r w:rsidRPr="00B456AA">
              <w:rPr>
                <w:b/>
                <w:bCs/>
              </w:rPr>
              <w:t>Business Analysis &amp; Delivery</w:t>
            </w:r>
          </w:p>
        </w:tc>
        <w:tc>
          <w:tcPr>
            <w:tcW w:w="7760" w:type="dxa"/>
            <w:shd w:val="clear" w:color="auto" w:fill="F2F2F2" w:themeFill="background1" w:themeFillShade="F2"/>
          </w:tcPr>
          <w:p w14:paraId="73ED4796" w14:textId="14BF50BB" w:rsidR="00F535DB" w:rsidRPr="00F535DB" w:rsidRDefault="00F535DB" w:rsidP="00F535DB">
            <w:pPr>
              <w:spacing w:after="200" w:line="276" w:lineRule="auto"/>
            </w:pPr>
            <w:r w:rsidRPr="00784FE2">
              <w:t>Requirements Elicitation, Stakeholder Workshops, JAD Sessions, BRD, FRD, Epics &amp; User Stories, Use Cases, Acceptance Criteria, Gap &amp; Impact Analysis, Functional Specifications, Process Modeling, BPMN, Workflow &amp; Swimlane Diagrams, Traceability Matrix</w:t>
            </w:r>
          </w:p>
        </w:tc>
      </w:tr>
      <w:tr w:rsidR="00F535DB" w:rsidRPr="00F535DB" w14:paraId="51986811" w14:textId="77777777" w:rsidTr="005F3615">
        <w:trPr>
          <w:trHeight w:val="300"/>
        </w:trPr>
        <w:tc>
          <w:tcPr>
            <w:tcW w:w="3150" w:type="dxa"/>
            <w:shd w:val="clear" w:color="auto" w:fill="D9D9D9" w:themeFill="background1" w:themeFillShade="D9"/>
          </w:tcPr>
          <w:p w14:paraId="648E6A0D" w14:textId="3B506214" w:rsidR="00F535DB" w:rsidRPr="00B456AA" w:rsidRDefault="00F535DB" w:rsidP="00F535DB">
            <w:pPr>
              <w:spacing w:after="200" w:line="276" w:lineRule="auto"/>
              <w:rPr>
                <w:b/>
                <w:bCs/>
              </w:rPr>
            </w:pPr>
            <w:r w:rsidRPr="00B456AA">
              <w:rPr>
                <w:b/>
                <w:bCs/>
              </w:rPr>
              <w:t>Banking, Capital Markets &amp; Insurance Domains</w:t>
            </w:r>
          </w:p>
        </w:tc>
        <w:tc>
          <w:tcPr>
            <w:tcW w:w="7760" w:type="dxa"/>
            <w:shd w:val="clear" w:color="auto" w:fill="F2F2F2" w:themeFill="background1" w:themeFillShade="F2"/>
          </w:tcPr>
          <w:p w14:paraId="46875A1A" w14:textId="50913AB9" w:rsidR="00F535DB" w:rsidRPr="00F535DB" w:rsidRDefault="00F535DB" w:rsidP="00F535DB">
            <w:pPr>
              <w:spacing w:after="200" w:line="276" w:lineRule="auto"/>
            </w:pPr>
            <w:r w:rsidRPr="00784FE2">
              <w:t>Asset &amp; Portfolio Management, Front-to-Back Trade Lifecycle, Post-Trade Operations, Risk &amp; Compliance Reporting, Retail &amp; Commercial Banking, Digital Lending &amp; Loan Origination, Treasury Management, Payments (ACH, Wire, RTP), Policy Administration</w:t>
            </w:r>
          </w:p>
        </w:tc>
      </w:tr>
      <w:tr w:rsidR="00F535DB" w:rsidRPr="00F535DB" w14:paraId="3C28F116" w14:textId="77777777" w:rsidTr="005F3615">
        <w:trPr>
          <w:trHeight w:val="300"/>
        </w:trPr>
        <w:tc>
          <w:tcPr>
            <w:tcW w:w="3150" w:type="dxa"/>
            <w:shd w:val="clear" w:color="auto" w:fill="D9D9D9" w:themeFill="background1" w:themeFillShade="D9"/>
          </w:tcPr>
          <w:p w14:paraId="5EDD3F19" w14:textId="4122B040" w:rsidR="00F535DB" w:rsidRPr="00B456AA" w:rsidRDefault="00F535DB" w:rsidP="00F535DB">
            <w:pPr>
              <w:spacing w:after="200" w:line="276" w:lineRule="auto"/>
              <w:rPr>
                <w:b/>
                <w:bCs/>
              </w:rPr>
            </w:pPr>
            <w:r w:rsidRPr="00B456AA">
              <w:rPr>
                <w:b/>
                <w:bCs/>
              </w:rPr>
              <w:t>Regulatory &amp; Compliance</w:t>
            </w:r>
          </w:p>
        </w:tc>
        <w:tc>
          <w:tcPr>
            <w:tcW w:w="7760" w:type="dxa"/>
            <w:shd w:val="clear" w:color="auto" w:fill="F2F2F2" w:themeFill="background1" w:themeFillShade="F2"/>
          </w:tcPr>
          <w:p w14:paraId="68CA83A3" w14:textId="59966517" w:rsidR="00F535DB" w:rsidRPr="00F535DB" w:rsidRDefault="00F535DB" w:rsidP="00F535DB">
            <w:pPr>
              <w:spacing w:after="200" w:line="276" w:lineRule="auto"/>
            </w:pPr>
            <w:r w:rsidRPr="00784FE2">
              <w:t>SEC Rule 18f-4, FINRA Regulations, AML, KYC, Reg B, ECOA, FCRA, CARES Act, Fair Lending, Audit Readiness, Regulatory Reporting, Control &amp; Governance Documentation</w:t>
            </w:r>
          </w:p>
        </w:tc>
      </w:tr>
      <w:tr w:rsidR="00F535DB" w:rsidRPr="00F535DB" w14:paraId="63B61560" w14:textId="77777777" w:rsidTr="005F3615">
        <w:trPr>
          <w:trHeight w:val="300"/>
        </w:trPr>
        <w:tc>
          <w:tcPr>
            <w:tcW w:w="3150" w:type="dxa"/>
            <w:shd w:val="clear" w:color="auto" w:fill="D9D9D9" w:themeFill="background1" w:themeFillShade="D9"/>
          </w:tcPr>
          <w:p w14:paraId="09B5AFEA" w14:textId="1A778497" w:rsidR="00F535DB" w:rsidRPr="00B456AA" w:rsidRDefault="00F535DB" w:rsidP="00F535DB">
            <w:pPr>
              <w:spacing w:after="200" w:line="276" w:lineRule="auto"/>
              <w:rPr>
                <w:b/>
                <w:bCs/>
              </w:rPr>
            </w:pPr>
            <w:r w:rsidRPr="00B456AA">
              <w:rPr>
                <w:b/>
                <w:bCs/>
              </w:rPr>
              <w:lastRenderedPageBreak/>
              <w:t>Integrations &amp; Data</w:t>
            </w:r>
          </w:p>
        </w:tc>
        <w:tc>
          <w:tcPr>
            <w:tcW w:w="7760" w:type="dxa"/>
            <w:shd w:val="clear" w:color="auto" w:fill="F2F2F2" w:themeFill="background1" w:themeFillShade="F2"/>
          </w:tcPr>
          <w:p w14:paraId="1A2A4C19" w14:textId="391B8F3D" w:rsidR="00F535DB" w:rsidRPr="00F535DB" w:rsidRDefault="00F535DB" w:rsidP="00F535DB">
            <w:pPr>
              <w:spacing w:after="200" w:line="276" w:lineRule="auto"/>
            </w:pPr>
            <w:r w:rsidRPr="00784FE2">
              <w:t>API Integrations (REST/SOAP), Market Data Feeds, Credit Bureau Interfaces, Fraud &amp; Identity Services, Payment Gateways, Prime Broker &amp; Custodian Interfaces, Data Mapping, Data Validation, Reconciliation, Exception Handling</w:t>
            </w:r>
          </w:p>
        </w:tc>
      </w:tr>
      <w:tr w:rsidR="00F535DB" w:rsidRPr="00F535DB" w14:paraId="6418BED8" w14:textId="77777777" w:rsidTr="005F3615">
        <w:trPr>
          <w:trHeight w:val="300"/>
        </w:trPr>
        <w:tc>
          <w:tcPr>
            <w:tcW w:w="3150" w:type="dxa"/>
            <w:shd w:val="clear" w:color="auto" w:fill="D9D9D9" w:themeFill="background1" w:themeFillShade="D9"/>
          </w:tcPr>
          <w:p w14:paraId="5B5EE9DA" w14:textId="12230AA5" w:rsidR="00F535DB" w:rsidRPr="00B456AA" w:rsidRDefault="00F535DB" w:rsidP="00F535DB">
            <w:pPr>
              <w:spacing w:after="200" w:line="276" w:lineRule="auto"/>
              <w:rPr>
                <w:b/>
                <w:bCs/>
              </w:rPr>
            </w:pPr>
            <w:r w:rsidRPr="00B456AA">
              <w:rPr>
                <w:b/>
                <w:bCs/>
              </w:rPr>
              <w:t>Tools &amp; Platforms</w:t>
            </w:r>
          </w:p>
        </w:tc>
        <w:tc>
          <w:tcPr>
            <w:tcW w:w="7760" w:type="dxa"/>
            <w:shd w:val="clear" w:color="auto" w:fill="F2F2F2" w:themeFill="background1" w:themeFillShade="F2"/>
          </w:tcPr>
          <w:p w14:paraId="633E3233" w14:textId="1ABF2B67" w:rsidR="00F535DB" w:rsidRPr="00F535DB" w:rsidRDefault="00F535DB" w:rsidP="00F535DB">
            <w:pPr>
              <w:spacing w:after="200" w:line="276" w:lineRule="auto"/>
            </w:pPr>
            <w:r w:rsidRPr="00784FE2">
              <w:t>JIRA, Confluence, ServiceNow, MS Visio, Tableau, SQL, API Documentation Tools, UAT Management Tools, Reporting &amp; Dashboard Platforms</w:t>
            </w:r>
          </w:p>
        </w:tc>
      </w:tr>
      <w:tr w:rsidR="00F535DB" w:rsidRPr="00F535DB" w14:paraId="1919F245" w14:textId="77777777" w:rsidTr="005F3615">
        <w:trPr>
          <w:trHeight w:val="300"/>
        </w:trPr>
        <w:tc>
          <w:tcPr>
            <w:tcW w:w="3150" w:type="dxa"/>
            <w:shd w:val="clear" w:color="auto" w:fill="D9D9D9" w:themeFill="background1" w:themeFillShade="D9"/>
          </w:tcPr>
          <w:p w14:paraId="245E4906" w14:textId="5CE8D638" w:rsidR="00F535DB" w:rsidRPr="00B456AA" w:rsidRDefault="00F535DB" w:rsidP="00F535DB">
            <w:pPr>
              <w:spacing w:after="200" w:line="276" w:lineRule="auto"/>
              <w:rPr>
                <w:b/>
                <w:bCs/>
              </w:rPr>
            </w:pPr>
            <w:r w:rsidRPr="00B456AA">
              <w:rPr>
                <w:b/>
                <w:bCs/>
              </w:rPr>
              <w:t>Testing &amp; Quality Assurance</w:t>
            </w:r>
          </w:p>
        </w:tc>
        <w:tc>
          <w:tcPr>
            <w:tcW w:w="7760" w:type="dxa"/>
            <w:shd w:val="clear" w:color="auto" w:fill="F2F2F2" w:themeFill="background1" w:themeFillShade="F2"/>
          </w:tcPr>
          <w:p w14:paraId="50243BE0" w14:textId="1E17CE5E" w:rsidR="00F535DB" w:rsidRPr="00F535DB" w:rsidRDefault="00F535DB" w:rsidP="00F535DB">
            <w:pPr>
              <w:spacing w:after="200" w:line="276" w:lineRule="auto"/>
            </w:pPr>
            <w:r w:rsidRPr="00784FE2">
              <w:t>UAT Strategy &amp; Coordination, Test Scenario &amp; Test Case Design, Defect Triage &amp; Management, Regression Testing, Functional Testing, Data Reconciliation &amp; Validation</w:t>
            </w:r>
          </w:p>
        </w:tc>
      </w:tr>
      <w:tr w:rsidR="00F535DB" w:rsidRPr="00F535DB" w14:paraId="182F07C4" w14:textId="77777777" w:rsidTr="005F3615">
        <w:trPr>
          <w:trHeight w:val="300"/>
        </w:trPr>
        <w:tc>
          <w:tcPr>
            <w:tcW w:w="3150" w:type="dxa"/>
            <w:shd w:val="clear" w:color="auto" w:fill="D9D9D9" w:themeFill="background1" w:themeFillShade="D9"/>
          </w:tcPr>
          <w:p w14:paraId="136FF824" w14:textId="53EF899F" w:rsidR="00F535DB" w:rsidRPr="00B456AA" w:rsidRDefault="00F535DB" w:rsidP="00F535DB">
            <w:pPr>
              <w:spacing w:after="200" w:line="276" w:lineRule="auto"/>
              <w:rPr>
                <w:b/>
                <w:bCs/>
              </w:rPr>
            </w:pPr>
            <w:r w:rsidRPr="00B456AA">
              <w:rPr>
                <w:b/>
                <w:bCs/>
              </w:rPr>
              <w:t>Methodologies &amp; Delivery Models</w:t>
            </w:r>
          </w:p>
        </w:tc>
        <w:tc>
          <w:tcPr>
            <w:tcW w:w="7760" w:type="dxa"/>
            <w:shd w:val="clear" w:color="auto" w:fill="F2F2F2" w:themeFill="background1" w:themeFillShade="F2"/>
          </w:tcPr>
          <w:p w14:paraId="498F43F6" w14:textId="6355E1D5" w:rsidR="00F535DB" w:rsidRPr="00F535DB" w:rsidRDefault="00F535DB" w:rsidP="00F535DB">
            <w:pPr>
              <w:spacing w:after="200" w:line="276" w:lineRule="auto"/>
            </w:pPr>
            <w:r w:rsidRPr="00784FE2">
              <w:t>Agile Scrum, Kanban, Waterfall, Hybrid Delivery Models, Sprint Planning, Backlog Grooming, Release &amp; Change Management</w:t>
            </w:r>
          </w:p>
        </w:tc>
      </w:tr>
    </w:tbl>
    <w:p w14:paraId="25A8D66F" w14:textId="77777777" w:rsidR="00F535DB" w:rsidRPr="00F535DB" w:rsidRDefault="00F535DB" w:rsidP="00F535DB">
      <w:pPr>
        <w:rPr>
          <w:lang w:val="en-IN"/>
        </w:rPr>
      </w:pPr>
    </w:p>
    <w:p w14:paraId="0E1B1F54" w14:textId="3D614689" w:rsidR="00624831" w:rsidRPr="005F3615" w:rsidRDefault="00C70B3B">
      <w:pPr>
        <w:pStyle w:val="Heading2"/>
        <w:rPr>
          <w:rFonts w:ascii="Georgia" w:hAnsi="Georgia"/>
          <w:color w:val="auto"/>
        </w:rPr>
      </w:pPr>
      <w:r w:rsidRPr="005F3615">
        <w:rPr>
          <w:rFonts w:ascii="Georgia" w:hAnsi="Georgia"/>
          <w:color w:val="auto"/>
        </w:rPr>
        <w:t>Professional Experience</w:t>
      </w:r>
    </w:p>
    <w:p w14:paraId="6C86B38A" w14:textId="1839D3D9" w:rsidR="00624831" w:rsidRPr="005F3615" w:rsidRDefault="00C70B3B">
      <w:pPr>
        <w:rPr>
          <w:rFonts w:ascii="Times New Roman" w:hAnsi="Times New Roman" w:cs="Times New Roman"/>
        </w:rPr>
      </w:pPr>
      <w:r w:rsidRPr="005F3615">
        <w:rPr>
          <w:rFonts w:ascii="Times New Roman" w:hAnsi="Times New Roman" w:cs="Times New Roman"/>
          <w:b/>
          <w:sz w:val="28"/>
          <w:szCs w:val="28"/>
        </w:rPr>
        <w:t>Senior Business Analyst – Balyasny Asset Management | Manchester, CT</w:t>
      </w:r>
      <w:r w:rsidR="00995A85" w:rsidRPr="005F3615">
        <w:rPr>
          <w:rFonts w:ascii="Times New Roman" w:hAnsi="Times New Roman" w:cs="Times New Roman"/>
        </w:rPr>
        <w:br/>
      </w:r>
      <w:r w:rsidRPr="005F3615">
        <w:rPr>
          <w:rFonts w:ascii="Times New Roman" w:hAnsi="Times New Roman" w:cs="Times New Roman"/>
          <w:b/>
          <w:bCs/>
          <w:i/>
          <w:iCs/>
        </w:rPr>
        <w:t>Jan 2023 – Present</w:t>
      </w:r>
    </w:p>
    <w:p w14:paraId="35003067" w14:textId="7A56EC32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Led end-to-end business analysis for proprietary front-to-back trading and portfolio management platforms supporting equities, fixed income, FX, and derivatives strategies.</w:t>
      </w:r>
    </w:p>
    <w:p w14:paraId="634DB61C" w14:textId="0742B89C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Partnered with portfolio managers, traders, and risk teams to capture requirements for OMS/EMS enhancements covering trade capture, allocations, amendments, and cancellations.</w:t>
      </w:r>
    </w:p>
    <w:p w14:paraId="37503015" w14:textId="085A0832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Defined functional requirements for post-trade processing workflows, including confirmations, allocations, settlement lifecycle, and exception handling across prime brokers and custodians.</w:t>
      </w:r>
    </w:p>
    <w:p w14:paraId="1A515C4A" w14:textId="6001C43B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Spearheaded integration of external market data vendors (pricing, reference data, corporate actions) via API and batch feeds, ensuring data normalization and governance standards.</w:t>
      </w:r>
    </w:p>
    <w:p w14:paraId="3E4E4160" w14:textId="0D1EA132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 xml:space="preserve">Delivered SEC Rule 18f-4 regulatory changes by defining requirements for derivatives exposure reporting, leverage limits, </w:t>
      </w:r>
      <w:proofErr w:type="spellStart"/>
      <w:r w:rsidRPr="00B456AA">
        <w:rPr>
          <w:rFonts w:asciiTheme="majorHAnsi" w:hAnsiTheme="majorHAnsi" w:cstheme="majorHAnsi"/>
          <w:lang w:val="en-IN"/>
        </w:rPr>
        <w:t>VaR</w:t>
      </w:r>
      <w:proofErr w:type="spellEnd"/>
      <w:r w:rsidRPr="00B456AA">
        <w:rPr>
          <w:rFonts w:asciiTheme="majorHAnsi" w:hAnsiTheme="majorHAnsi" w:cstheme="majorHAnsi"/>
          <w:lang w:val="en-IN"/>
        </w:rPr>
        <w:t xml:space="preserve"> calculations, and compliance monitoring dashboards.</w:t>
      </w:r>
    </w:p>
    <w:p w14:paraId="5B2EC615" w14:textId="79FB78B2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 xml:space="preserve">Collaborated with risk technology teams to enhance daily </w:t>
      </w:r>
      <w:proofErr w:type="spellStart"/>
      <w:r w:rsidRPr="00B456AA">
        <w:rPr>
          <w:rFonts w:asciiTheme="majorHAnsi" w:hAnsiTheme="majorHAnsi" w:cstheme="majorHAnsi"/>
          <w:lang w:val="en-IN"/>
        </w:rPr>
        <w:t>VaR</w:t>
      </w:r>
      <w:proofErr w:type="spellEnd"/>
      <w:r w:rsidRPr="00B456AA">
        <w:rPr>
          <w:rFonts w:asciiTheme="majorHAnsi" w:hAnsiTheme="majorHAnsi" w:cstheme="majorHAnsi"/>
          <w:lang w:val="en-IN"/>
        </w:rPr>
        <w:t>, stress testing, and P&amp;L attribution reports used for portfolio oversight and regulatory reviews.</w:t>
      </w:r>
    </w:p>
    <w:p w14:paraId="2C71F50A" w14:textId="1B85D66D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Authored detailed BRDs, FRDs, and JIRA user stories with clear acceptance criteria, enabling traceability across development, testing, and release cycles.</w:t>
      </w:r>
    </w:p>
    <w:p w14:paraId="2AD23935" w14:textId="4AB06591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Designed optimized post-trade allocation and reconciliation workflows, reducing front-to-middle office trade breaks and improving settlement turnaround times.</w:t>
      </w:r>
    </w:p>
    <w:p w14:paraId="5DE95F0C" w14:textId="22F3B9EE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Conducted security master and reference data analysis to identify data quality issues impacting downstream trade processing, risk calculations, and regulatory reporting.</w:t>
      </w:r>
    </w:p>
    <w:p w14:paraId="5CF0436C" w14:textId="55F7D10A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Worked closely with data engineering teams to validate ingestion pipelines feeding OMS, risk systems, and reporting platforms.</w:t>
      </w:r>
    </w:p>
    <w:p w14:paraId="08576DF0" w14:textId="1D486D4B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Led UAT planning and execution across multiple trading platform releases, coordinating test scenarios, defect triage, and business sign-off.</w:t>
      </w:r>
    </w:p>
    <w:p w14:paraId="1D2152A7" w14:textId="2E945E92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Managed high-priority production issues related to trade lifecycle, market data latency, and reporting discrepancies, coordinating resolution with technology teams.</w:t>
      </w:r>
    </w:p>
    <w:p w14:paraId="226C8891" w14:textId="5C21A70F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Acted as primary liaison with prime brokers and custodians to resolve settlement breaks, corporate action discrepancies, and allocation mismatches.</w:t>
      </w:r>
    </w:p>
    <w:p w14:paraId="38BFE97C" w14:textId="7C280086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Developed workflow diagrams and system impact assessments for new trading features and regulatory-driven enhancements.</w:t>
      </w:r>
    </w:p>
    <w:p w14:paraId="356D067A" w14:textId="6D425480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lastRenderedPageBreak/>
        <w:t>Partnered with compliance teams to ensure audit-ready documentation for trading controls, regulatory reporting, and risk governance processes.</w:t>
      </w:r>
    </w:p>
    <w:p w14:paraId="329E344A" w14:textId="3AB9ECE6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Supported enhancements to compliance alerting and surveillance dashboards used to monitor portfolio exposure and risk thresholds.</w:t>
      </w:r>
    </w:p>
    <w:p w14:paraId="7A48B6AC" w14:textId="758FF633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Established structured change and release governance processes, reducing production rollback incidents and improving release stability.</w:t>
      </w:r>
    </w:p>
    <w:p w14:paraId="5294E2BD" w14:textId="77B8DBED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Collaborated with infrastructure and application support teams during release windows and post-deployment validation.</w:t>
      </w:r>
    </w:p>
    <w:p w14:paraId="34CB490C" w14:textId="16550023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Delivered operational readiness documentation and training support for portfolio management assistants and middle-office users.</w:t>
      </w:r>
    </w:p>
    <w:p w14:paraId="75BE29C6" w14:textId="2411B32E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Produced weekly system performance and issue trend reports for senior technology and investment leadership.</w:t>
      </w:r>
    </w:p>
    <w:p w14:paraId="1B5577A9" w14:textId="5E89826B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Ensured Agile delivery alignment by participating in sprint planning, backlog grooming, and release retrospectives.</w:t>
      </w:r>
    </w:p>
    <w:p w14:paraId="01D29BD9" w14:textId="0A0C4914" w:rsidR="00624831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Maintained version-controlled project documentation in Confluence, ensuring consistency across regulatory, operational, and technology stakeholders.</w:t>
      </w:r>
    </w:p>
    <w:p w14:paraId="16E53668" w14:textId="74B25F36" w:rsidR="00926807" w:rsidRDefault="00926807">
      <w:pPr>
        <w:rPr>
          <w:lang w:val="en-IN"/>
        </w:rPr>
      </w:pPr>
      <w:r w:rsidRPr="005F3615">
        <w:rPr>
          <w:rFonts w:ascii="Times New Roman" w:hAnsi="Times New Roman" w:cs="Times New Roman"/>
          <w:b/>
          <w:sz w:val="24"/>
          <w:szCs w:val="24"/>
        </w:rPr>
        <w:t>Environment / Tools:</w:t>
      </w:r>
      <w:r w:rsidRPr="00926807">
        <w:br/>
      </w:r>
      <w:r w:rsidRPr="00B456AA">
        <w:rPr>
          <w:rFonts w:asciiTheme="majorHAnsi" w:hAnsiTheme="majorHAnsi" w:cstheme="majorHAnsi"/>
          <w:lang w:val="en-IN"/>
        </w:rPr>
        <w:t>Proprietary OMS/EMS, Portfolio Management Systems, Risk &amp; Compliance Platforms, Market Data Feeds, Prime Broker Integrations, JIRA, Confluence, SQL, API Documentation, Tableau, MS Visio, Agile Scrum</w:t>
      </w:r>
    </w:p>
    <w:p w14:paraId="79FB8B62" w14:textId="77777777" w:rsidR="00E04179" w:rsidRPr="00926807" w:rsidRDefault="00E04179">
      <w:pPr>
        <w:rPr>
          <w:lang w:val="en-IN"/>
        </w:rPr>
      </w:pPr>
    </w:p>
    <w:p w14:paraId="3E61CD3D" w14:textId="52E7182C" w:rsidR="00624831" w:rsidRPr="005F3615" w:rsidRDefault="00C70B3B">
      <w:pPr>
        <w:rPr>
          <w:rFonts w:ascii="Times New Roman" w:hAnsi="Times New Roman" w:cs="Times New Roman"/>
          <w:b/>
          <w:sz w:val="28"/>
          <w:szCs w:val="28"/>
        </w:rPr>
      </w:pPr>
      <w:r w:rsidRPr="005F3615">
        <w:rPr>
          <w:rFonts w:ascii="Times New Roman" w:hAnsi="Times New Roman" w:cs="Times New Roman"/>
          <w:b/>
          <w:sz w:val="28"/>
          <w:szCs w:val="28"/>
        </w:rPr>
        <w:t>Business Analyst – Capital One | McLean, VA</w:t>
      </w:r>
      <w:r w:rsidR="00995A85" w:rsidRPr="005F3615">
        <w:rPr>
          <w:rFonts w:ascii="Times New Roman" w:hAnsi="Times New Roman" w:cs="Times New Roman"/>
          <w:b/>
          <w:sz w:val="28"/>
          <w:szCs w:val="28"/>
        </w:rPr>
        <w:br/>
      </w:r>
      <w:r w:rsidRPr="005F3615">
        <w:rPr>
          <w:rFonts w:ascii="Times New Roman" w:hAnsi="Times New Roman" w:cs="Times New Roman"/>
          <w:b/>
          <w:i/>
          <w:iCs/>
          <w:sz w:val="28"/>
          <w:szCs w:val="28"/>
        </w:rPr>
        <w:t>Jan 2021 – Dec 2022</w:t>
      </w:r>
    </w:p>
    <w:p w14:paraId="1BED3037" w14:textId="5373ACBA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Led business analysis for consumer lending platforms supporting digital loan origination, credit decisioning, and servicing workflows across secured and unsecured products.</w:t>
      </w:r>
    </w:p>
    <w:p w14:paraId="755F77A2" w14:textId="561B13ED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Partnered with product owners and engineering teams to define functional requirements for post-pandemic CARES Act lending enhancements and customer relief programs.</w:t>
      </w:r>
    </w:p>
    <w:p w14:paraId="6A7D70E5" w14:textId="42C138C7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Drove API-based integrations between internal credit decision engines and third-party credit bureaus (Experian, Equifax, TransUnion) for real-time credit scoring and eligibility checks.</w:t>
      </w:r>
    </w:p>
    <w:p w14:paraId="6960E285" w14:textId="0F9E7C69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Defined business rules for automated income, employment, and identity verification, reducing manual underwriting review effort</w:t>
      </w:r>
      <w:r w:rsidR="00E04179">
        <w:rPr>
          <w:rFonts w:asciiTheme="majorHAnsi" w:hAnsiTheme="majorHAnsi" w:cstheme="majorHAnsi"/>
          <w:lang w:val="en-IN"/>
        </w:rPr>
        <w:t>.</w:t>
      </w:r>
    </w:p>
    <w:p w14:paraId="44DF06A5" w14:textId="046C1552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Authored BRDs, FRDs, and JIRA user stories with detailed acceptance criteria, ensuring end-to-end traceability across Agile delivery cycles.</w:t>
      </w:r>
    </w:p>
    <w:p w14:paraId="3B0ECB39" w14:textId="0F13E3CA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Collaborated with fraud and risk teams to integrate fraud detection and identity verification services into the online loan application journey.</w:t>
      </w:r>
    </w:p>
    <w:p w14:paraId="41971709" w14:textId="710D2173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Designed wireframes and functional flows for digital loan application and pre-qualification experiences, improving customer completion and conversion rates.</w:t>
      </w:r>
    </w:p>
    <w:p w14:paraId="5C5B7921" w14:textId="154F39C6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Ensured regulatory compliance with Reg B, ECOA, FCRA, and fair lending guidelines across credit decisioning and underwriting enhancements.</w:t>
      </w:r>
    </w:p>
    <w:p w14:paraId="3C42BE0E" w14:textId="49D44EA6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Worked with data analytics teams to define requirements for delinquency, charge-off, and portfolio performance dashboards using Tableau.</w:t>
      </w:r>
    </w:p>
    <w:p w14:paraId="6781FB78" w14:textId="336FB11E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Supported migration of loan servicing data from legacy mainframe systems to cloud-based servicing platforms, including data mapping and validation.</w:t>
      </w:r>
    </w:p>
    <w:p w14:paraId="00992960" w14:textId="1F85A5BD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Defined acceptance criteria and coordinated UAT execution for lending platform releases, managing defect triage and business sign-off.</w:t>
      </w:r>
    </w:p>
    <w:p w14:paraId="0ED5083E" w14:textId="6CC23A5A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lastRenderedPageBreak/>
        <w:t>Partnered with marketing teams to align pre-approval and pre-qualification campaign logic with underwriting and risk criteria.</w:t>
      </w:r>
    </w:p>
    <w:p w14:paraId="1DA9E720" w14:textId="3CD2C30D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Led requirements workshops and backlog refinement sessions to prioritize features based on regulatory, risk, and business impact.</w:t>
      </w:r>
    </w:p>
    <w:p w14:paraId="1A14893C" w14:textId="456C9ED1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Collaborated with vendors providing identity verification, e-signature, and document management services to resolve integration and production issues.</w:t>
      </w:r>
    </w:p>
    <w:p w14:paraId="20E19362" w14:textId="7FDF4D62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Developed process flow diagrams for customer onboarding, loan booking, and disbursement workflows.</w:t>
      </w:r>
    </w:p>
    <w:p w14:paraId="08DFEADD" w14:textId="315DB2A1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Supported implementation of enhanced audit logging and decision traceability for credit models and underwriting decisions.</w:t>
      </w:r>
    </w:p>
    <w:p w14:paraId="1141CA5C" w14:textId="334965F9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Participated in sprint planning, daily stand-ups, sprint reviews, and retrospectives to ensure on-time Agile delivery.</w:t>
      </w:r>
    </w:p>
    <w:p w14:paraId="23FCF1BE" w14:textId="36054AB7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Maintained version-controlled documentation repositories in Confluence to support audit and compliance reviews.</w:t>
      </w:r>
    </w:p>
    <w:p w14:paraId="39D2DEB4" w14:textId="4068E559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Delivered training and knowledge transfer sessions for operations and customer service teams on newly released lending features.</w:t>
      </w:r>
    </w:p>
    <w:p w14:paraId="69B664F6" w14:textId="77B0727C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Conducted post-implementation reviews to identify process gaps and optimization opportunities across lending workflows.</w:t>
      </w:r>
    </w:p>
    <w:p w14:paraId="154C1121" w14:textId="7388294E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Supported production issue analysis related to credit decisions, data mismatches, and customer application errors.</w:t>
      </w:r>
    </w:p>
    <w:p w14:paraId="6208F45F" w14:textId="2E78142F" w:rsidR="00624831" w:rsidRDefault="00926807">
      <w:r w:rsidRPr="005F3615">
        <w:rPr>
          <w:rFonts w:ascii="Times New Roman" w:hAnsi="Times New Roman" w:cs="Times New Roman"/>
          <w:b/>
          <w:sz w:val="24"/>
          <w:szCs w:val="24"/>
        </w:rPr>
        <w:t>Environment / Tools:</w:t>
      </w:r>
      <w:r w:rsidRPr="00926807">
        <w:br/>
      </w:r>
      <w:r w:rsidRPr="00B456AA">
        <w:rPr>
          <w:rFonts w:asciiTheme="majorHAnsi" w:hAnsiTheme="majorHAnsi" w:cstheme="majorHAnsi"/>
          <w:lang w:val="en-IN"/>
        </w:rPr>
        <w:t>Digital Lending Platforms, Credit Decision Engines, API Integrations, Credit Bureau Interfaces, JIRA, Confluence, Tableau, SQL, ServiceNow, Agile Scrum, Cloud-based Loan Servicing Systems</w:t>
      </w:r>
    </w:p>
    <w:p w14:paraId="4AC5F006" w14:textId="77777777" w:rsidR="00926807" w:rsidRDefault="00926807"/>
    <w:p w14:paraId="1F4BE7BA" w14:textId="73C42BF0" w:rsidR="00624831" w:rsidRPr="005F3615" w:rsidRDefault="00C70B3B">
      <w:pPr>
        <w:rPr>
          <w:rFonts w:ascii="Times New Roman" w:hAnsi="Times New Roman" w:cs="Times New Roman"/>
          <w:b/>
          <w:sz w:val="28"/>
          <w:szCs w:val="28"/>
        </w:rPr>
      </w:pPr>
      <w:r w:rsidRPr="005F3615">
        <w:rPr>
          <w:rFonts w:ascii="Times New Roman" w:hAnsi="Times New Roman" w:cs="Times New Roman"/>
          <w:b/>
          <w:sz w:val="28"/>
          <w:szCs w:val="28"/>
        </w:rPr>
        <w:t>Business Analyst – PNC Bank | Pittsburgh, PA</w:t>
      </w:r>
      <w:r w:rsidR="00995A85" w:rsidRPr="005F3615">
        <w:rPr>
          <w:rFonts w:ascii="Times New Roman" w:hAnsi="Times New Roman" w:cs="Times New Roman"/>
          <w:b/>
          <w:sz w:val="28"/>
          <w:szCs w:val="28"/>
        </w:rPr>
        <w:br/>
      </w:r>
      <w:r w:rsidRPr="005F3615">
        <w:rPr>
          <w:rFonts w:ascii="Times New Roman" w:hAnsi="Times New Roman" w:cs="Times New Roman"/>
          <w:b/>
          <w:i/>
          <w:iCs/>
          <w:sz w:val="28"/>
          <w:szCs w:val="28"/>
        </w:rPr>
        <w:t>Aug 2017 – Dec 2020</w:t>
      </w:r>
    </w:p>
    <w:p w14:paraId="4D782B5B" w14:textId="3AF16ACE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Led business analysis for retail and commercial banking initiatives, focusing on treasury management, cash flow forecasting, and digital banking platform enhancements.</w:t>
      </w:r>
    </w:p>
    <w:p w14:paraId="16241C5A" w14:textId="02CA1C1F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Defined functional requirements for ACH, wire, and RTP payment processing systems, including payment initiation, validation, posting, and exception handling workflows.</w:t>
      </w:r>
    </w:p>
    <w:p w14:paraId="02605774" w14:textId="42D743A3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Partnered with payment operations and technology teams to enhance real-time payment capabilities and improve transaction processing reliability.</w:t>
      </w:r>
    </w:p>
    <w:p w14:paraId="4507BDCE" w14:textId="22AC1604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Conducted gap and impact analysis for integrating online banking platforms with mobile banking applications.</w:t>
      </w:r>
    </w:p>
    <w:p w14:paraId="5509584F" w14:textId="446B0417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Authored BRDs and FRDs for core banking system enhancements, including deposit account processing and customer profile management.</w:t>
      </w:r>
    </w:p>
    <w:p w14:paraId="628DC2B0" w14:textId="6D61237C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Collaborated with AML and compliance teams to implement KYC and FinCEN-driven regulatory updates within payment and account servicing systems.</w:t>
      </w:r>
    </w:p>
    <w:p w14:paraId="7372BAAB" w14:textId="2D44437F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Created API specifications and data mapping documents for integrations between payment processing systems and customer-facing portals.</w:t>
      </w:r>
    </w:p>
    <w:p w14:paraId="13701F12" w14:textId="68949E87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Led UAT planning and execution for bill payment and funds transfer feature releases across web and mobile channels.</w:t>
      </w:r>
    </w:p>
    <w:p w14:paraId="4F64AD36" w14:textId="42F6E32A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Worked with fraud prevention teams to evaluate and integrate fraud detection tools into online and mobile banking platforms.</w:t>
      </w:r>
    </w:p>
    <w:p w14:paraId="6455C8E1" w14:textId="6787099B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Partnered with data teams to define requirements for dashboards monitoring high-value transactions and suspicious activity patterns.</w:t>
      </w:r>
    </w:p>
    <w:p w14:paraId="4A085EE4" w14:textId="5B8E5602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lastRenderedPageBreak/>
        <w:t>Managed defect triage and resolution during critical payment and digital banking release cycles.</w:t>
      </w:r>
    </w:p>
    <w:p w14:paraId="3E2D3409" w14:textId="53130050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Produced regulatory and operational impact assessments for proposed changes affecting payment and treasury systems.</w:t>
      </w:r>
    </w:p>
    <w:p w14:paraId="673203A0" w14:textId="10CA49B9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Designed wireframes and process flows for enhanced mobile transfer and bill payment user experiences.</w:t>
      </w:r>
    </w:p>
    <w:p w14:paraId="04C20079" w14:textId="4870CE1F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Coordinated with infrastructure and DR teams to support disaster recovery testing of core banking and payment platforms.</w:t>
      </w:r>
    </w:p>
    <w:p w14:paraId="2198D24A" w14:textId="2AC30D5B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Developed functional test data sets to validate end-to-end transactional workflows.</w:t>
      </w:r>
    </w:p>
    <w:p w14:paraId="7EC81A6D" w14:textId="4387FD10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Conducted post-implementation reviews to identify system performance gaps and optimization opportunities.</w:t>
      </w:r>
    </w:p>
    <w:p w14:paraId="5DAAB49E" w14:textId="7F53B84D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Maintained version-controlled documentation and traceability for all banking platform enhancements.</w:t>
      </w:r>
    </w:p>
    <w:p w14:paraId="14267BDA" w14:textId="101440A1" w:rsidR="00624831" w:rsidRDefault="00926807">
      <w:pPr>
        <w:rPr>
          <w:lang w:val="en-IN"/>
        </w:rPr>
      </w:pPr>
      <w:r w:rsidRPr="005F3615">
        <w:rPr>
          <w:rFonts w:ascii="Times New Roman" w:hAnsi="Times New Roman" w:cs="Times New Roman"/>
          <w:b/>
          <w:sz w:val="24"/>
          <w:szCs w:val="24"/>
        </w:rPr>
        <w:t>Environment / Tools:</w:t>
      </w:r>
      <w:r w:rsidRPr="00926807">
        <w:rPr>
          <w:lang w:val="en-IN"/>
        </w:rPr>
        <w:br/>
      </w:r>
      <w:r w:rsidRPr="00B456AA">
        <w:rPr>
          <w:rFonts w:asciiTheme="majorHAnsi" w:hAnsiTheme="majorHAnsi" w:cstheme="majorHAnsi"/>
          <w:lang w:val="en-IN"/>
        </w:rPr>
        <w:t>Core Banking Systems, Treasury Management Platforms, ACH/Wire/RTP, Digital Banking Channels, API Integrations, JIRA, Confluence, SQL, MS Visio, ServiceNow, Agile &amp; Waterfall</w:t>
      </w:r>
    </w:p>
    <w:p w14:paraId="740024E5" w14:textId="77777777" w:rsidR="005F3615" w:rsidRPr="005F3615" w:rsidRDefault="005F3615">
      <w:pPr>
        <w:rPr>
          <w:lang w:val="en-IN"/>
        </w:rPr>
      </w:pPr>
    </w:p>
    <w:p w14:paraId="3952F1DC" w14:textId="0C1B25AF" w:rsidR="00624831" w:rsidRPr="005F3615" w:rsidRDefault="00C70B3B">
      <w:pPr>
        <w:rPr>
          <w:rFonts w:ascii="Times New Roman" w:hAnsi="Times New Roman" w:cs="Times New Roman"/>
          <w:b/>
          <w:sz w:val="28"/>
          <w:szCs w:val="28"/>
        </w:rPr>
      </w:pPr>
      <w:r w:rsidRPr="005F3615">
        <w:rPr>
          <w:rFonts w:ascii="Times New Roman" w:hAnsi="Times New Roman" w:cs="Times New Roman"/>
          <w:b/>
          <w:sz w:val="28"/>
          <w:szCs w:val="28"/>
        </w:rPr>
        <w:t>Associate Business Analyst – Nationwide Insurance | Columbus, OH</w:t>
      </w:r>
      <w:r w:rsidR="00995A85" w:rsidRPr="005F3615">
        <w:rPr>
          <w:rFonts w:ascii="Times New Roman" w:hAnsi="Times New Roman" w:cs="Times New Roman"/>
          <w:b/>
          <w:sz w:val="28"/>
          <w:szCs w:val="28"/>
        </w:rPr>
        <w:br/>
      </w:r>
      <w:r w:rsidRPr="005F3615">
        <w:rPr>
          <w:rFonts w:ascii="Times New Roman" w:hAnsi="Times New Roman" w:cs="Times New Roman"/>
          <w:b/>
          <w:i/>
          <w:iCs/>
          <w:sz w:val="28"/>
          <w:szCs w:val="28"/>
        </w:rPr>
        <w:t>Aug 2016 – Jul 2017</w:t>
      </w:r>
    </w:p>
    <w:p w14:paraId="45B55070" w14:textId="337269C8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Supported business analysis for policy administration system enhancements covering policy issuance, endorsements, renewals, and cancellations.</w:t>
      </w:r>
    </w:p>
    <w:p w14:paraId="57DBBE4A" w14:textId="1EE708AB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Partnered with underwriting teams to refine risk assessment rules and rating logic within insurance policy workflows.</w:t>
      </w:r>
    </w:p>
    <w:p w14:paraId="2420026A" w14:textId="5F19B2DF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 xml:space="preserve">Assisted data migration initiatives from legacy insurance platforms to Guidewire </w:t>
      </w:r>
      <w:proofErr w:type="spellStart"/>
      <w:r w:rsidRPr="00B456AA">
        <w:rPr>
          <w:rFonts w:asciiTheme="majorHAnsi" w:hAnsiTheme="majorHAnsi" w:cstheme="majorHAnsi"/>
          <w:lang w:val="en-IN"/>
        </w:rPr>
        <w:t>PolicyCenter</w:t>
      </w:r>
      <w:proofErr w:type="spellEnd"/>
      <w:r w:rsidRPr="00B456AA">
        <w:rPr>
          <w:rFonts w:asciiTheme="majorHAnsi" w:hAnsiTheme="majorHAnsi" w:cstheme="majorHAnsi"/>
          <w:lang w:val="en-IN"/>
        </w:rPr>
        <w:t>, including data mapping and validation activities.</w:t>
      </w:r>
    </w:p>
    <w:p w14:paraId="7B0954B3" w14:textId="17DA1A57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Authored functional specifications and user stories for policy servicing and underwriting enhancements.</w:t>
      </w:r>
    </w:p>
    <w:p w14:paraId="30036013" w14:textId="7C5AB27B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Created workflow diagrams for claims and policy servicing processes to identify operational bottlenecks and automation opportunities.</w:t>
      </w:r>
    </w:p>
    <w:p w14:paraId="0C8974EC" w14:textId="47C24DBA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Defined integration requirements for third-party inspection, appraisal, and credit reporting services.</w:t>
      </w:r>
    </w:p>
    <w:p w14:paraId="1057482C" w14:textId="150D5704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Coordinated UAT planning and execution with business SMEs for policy administration system releases.</w:t>
      </w:r>
    </w:p>
    <w:p w14:paraId="7F786991" w14:textId="7D609499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Maintained end-to-end requirements traceability from intake through production deployment.</w:t>
      </w:r>
    </w:p>
    <w:p w14:paraId="4976D89C" w14:textId="40E3390B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Supported implementation of state-specific regulatory and compliance updates within policy rating and underwriting rules.</w:t>
      </w:r>
    </w:p>
    <w:p w14:paraId="6F60B91A" w14:textId="251C8D67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Assisted QA teams with functional and regression testing, validating policy lifecycle scenarios.</w:t>
      </w:r>
    </w:p>
    <w:p w14:paraId="6CAA11E1" w14:textId="1CA43314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Facilitated defect triage sessions between business and technical teams to drive timely resolution.</w:t>
      </w:r>
    </w:p>
    <w:p w14:paraId="537CD342" w14:textId="1DB059DF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Documented post-release issues, enhancements, and business feedback for continuous improvement.</w:t>
      </w:r>
    </w:p>
    <w:p w14:paraId="76C161D1" w14:textId="694599F0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Supported updates to policyholder communication templates triggered by policy lifecycle events.</w:t>
      </w:r>
    </w:p>
    <w:p w14:paraId="73D27CC5" w14:textId="20EACB28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Created data mapping documentation for downstream integrations and reporting systems.</w:t>
      </w:r>
    </w:p>
    <w:p w14:paraId="6D09767E" w14:textId="3DAEDCA7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Delivered user training and knowledge transfer sessions for operations teams on new policy processing features.</w:t>
      </w:r>
    </w:p>
    <w:p w14:paraId="69302C7F" w14:textId="0F7A7EB9" w:rsidR="00624831" w:rsidRPr="005F3615" w:rsidRDefault="00926807">
      <w:pPr>
        <w:rPr>
          <w:lang w:val="en-IN"/>
        </w:rPr>
      </w:pPr>
      <w:r w:rsidRPr="005F3615">
        <w:rPr>
          <w:rFonts w:ascii="Times New Roman" w:hAnsi="Times New Roman" w:cs="Times New Roman"/>
          <w:b/>
          <w:sz w:val="24"/>
          <w:szCs w:val="24"/>
        </w:rPr>
        <w:t>Environment / Tools:</w:t>
      </w:r>
      <w:r w:rsidRPr="00926807">
        <w:rPr>
          <w:lang w:val="en-IN"/>
        </w:rPr>
        <w:br/>
      </w:r>
      <w:r w:rsidRPr="00B456AA">
        <w:rPr>
          <w:rFonts w:asciiTheme="majorHAnsi" w:hAnsiTheme="majorHAnsi" w:cstheme="majorHAnsi"/>
          <w:lang w:val="en-IN"/>
        </w:rPr>
        <w:t xml:space="preserve">Guidewire </w:t>
      </w:r>
      <w:proofErr w:type="spellStart"/>
      <w:r w:rsidRPr="00B456AA">
        <w:rPr>
          <w:rFonts w:asciiTheme="majorHAnsi" w:hAnsiTheme="majorHAnsi" w:cstheme="majorHAnsi"/>
          <w:lang w:val="en-IN"/>
        </w:rPr>
        <w:t>PolicyCenter</w:t>
      </w:r>
      <w:proofErr w:type="spellEnd"/>
      <w:r w:rsidRPr="00B456AA">
        <w:rPr>
          <w:rFonts w:asciiTheme="majorHAnsi" w:hAnsiTheme="majorHAnsi" w:cstheme="majorHAnsi"/>
          <w:lang w:val="en-IN"/>
        </w:rPr>
        <w:t>, Insurance Policy Administration Systems, JIRA, Confluence, SQL, MS Visio, UAT Tools, Agile Scrum</w:t>
      </w:r>
    </w:p>
    <w:p w14:paraId="3174F834" w14:textId="2634EE64" w:rsidR="00624831" w:rsidRPr="005F3615" w:rsidRDefault="00C70B3B">
      <w:pPr>
        <w:rPr>
          <w:rFonts w:ascii="Times New Roman" w:hAnsi="Times New Roman" w:cs="Times New Roman"/>
          <w:b/>
          <w:sz w:val="28"/>
          <w:szCs w:val="28"/>
        </w:rPr>
      </w:pPr>
      <w:r w:rsidRPr="005F3615">
        <w:rPr>
          <w:rFonts w:ascii="Times New Roman" w:hAnsi="Times New Roman" w:cs="Times New Roman"/>
          <w:b/>
          <w:sz w:val="28"/>
          <w:szCs w:val="28"/>
        </w:rPr>
        <w:t>Business Analyst – Zenith Software Ltd | Hyderabad, India</w:t>
      </w:r>
      <w:r w:rsidR="00995A85" w:rsidRPr="005F3615">
        <w:rPr>
          <w:rFonts w:ascii="Times New Roman" w:hAnsi="Times New Roman" w:cs="Times New Roman"/>
          <w:b/>
          <w:sz w:val="28"/>
          <w:szCs w:val="28"/>
        </w:rPr>
        <w:br/>
      </w:r>
      <w:r w:rsidR="00926807" w:rsidRPr="005F3615">
        <w:rPr>
          <w:rFonts w:ascii="Times New Roman" w:hAnsi="Times New Roman" w:cs="Times New Roman"/>
          <w:b/>
          <w:i/>
          <w:iCs/>
          <w:sz w:val="28"/>
          <w:szCs w:val="28"/>
        </w:rPr>
        <w:t>July</w:t>
      </w:r>
      <w:r w:rsidRPr="005F3615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2014 – Jan 2016</w:t>
      </w:r>
    </w:p>
    <w:p w14:paraId="394F138A" w14:textId="2E32E201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lastRenderedPageBreak/>
        <w:t>Supported business analysis for internet and mobile banking implementations for multiple banking clients across retail and SME segments.</w:t>
      </w:r>
    </w:p>
    <w:p w14:paraId="29AD5533" w14:textId="2C9884CB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Gathered and documented functional requirements for fund transfers, bill payments, account inquiries, and transaction history modules.</w:t>
      </w:r>
    </w:p>
    <w:p w14:paraId="79AA449D" w14:textId="4E1C0E89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Created detailed process maps and functional workflows for core banking, payment, and channel integrations.</w:t>
      </w:r>
    </w:p>
    <w:p w14:paraId="141738FE" w14:textId="209EF75C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Authored functional specifications for integrations with payment gateways, ATM networks, and core banking systems.</w:t>
      </w:r>
    </w:p>
    <w:p w14:paraId="59F228C9" w14:textId="38CF2AFA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Conducted gap analysis to support client migrations from legacy banking platforms to upgraded digital banking solutions.</w:t>
      </w:r>
    </w:p>
    <w:p w14:paraId="3A138FEB" w14:textId="15679F8C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Worked closely with development teams to clarify business rules and functional logic during build and configuration cycles.</w:t>
      </w:r>
    </w:p>
    <w:p w14:paraId="1B850F9A" w14:textId="653374C9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Developed and executed functional test cases to validate end-to-end banking workflows prior to release.</w:t>
      </w:r>
    </w:p>
    <w:p w14:paraId="5AB449A1" w14:textId="2BF05BFD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Assisted banking clients during UAT execution, defect triage, and release sign-off activities.</w:t>
      </w:r>
    </w:p>
    <w:p w14:paraId="517998A7" w14:textId="537BF6E3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Created SQL queries to validate backend data integrity across accounts, transactions, and payment records.</w:t>
      </w:r>
    </w:p>
    <w:p w14:paraId="40E21F7A" w14:textId="0B4BFC59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Documented reconciliation workflows between core banking systems and payment subsystems.</w:t>
      </w:r>
    </w:p>
    <w:p w14:paraId="3DDE58DF" w14:textId="6417306C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 xml:space="preserve">Supported production go-live and </w:t>
      </w:r>
      <w:proofErr w:type="spellStart"/>
      <w:r w:rsidRPr="00B456AA">
        <w:rPr>
          <w:rFonts w:asciiTheme="majorHAnsi" w:hAnsiTheme="majorHAnsi" w:cstheme="majorHAnsi"/>
          <w:lang w:val="en-IN"/>
        </w:rPr>
        <w:t>hypercare</w:t>
      </w:r>
      <w:proofErr w:type="spellEnd"/>
      <w:r w:rsidRPr="00B456AA">
        <w:rPr>
          <w:rFonts w:asciiTheme="majorHAnsi" w:hAnsiTheme="majorHAnsi" w:cstheme="majorHAnsi"/>
          <w:lang w:val="en-IN"/>
        </w:rPr>
        <w:t xml:space="preserve"> activities, addressing functional issues and user adoption challenges.</w:t>
      </w:r>
    </w:p>
    <w:p w14:paraId="16043CC7" w14:textId="600CDBA0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Prepared user guides and training materials for bank staff on newly implemented digital banking features.</w:t>
      </w:r>
    </w:p>
    <w:p w14:paraId="3B9C68FF" w14:textId="1B1E400B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Maintained requirements traceability matrices across multiple parallel client projects.</w:t>
      </w:r>
    </w:p>
    <w:p w14:paraId="7A74DC25" w14:textId="73CE54D3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Participated in weekly status and governance calls with client IT and business stakeholders.</w:t>
      </w:r>
    </w:p>
    <w:p w14:paraId="702E6BA7" w14:textId="18D94DD4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Provided functional support during system outages, performance degradation, and transaction processing issues.</w:t>
      </w:r>
    </w:p>
    <w:p w14:paraId="3FE4DB61" w14:textId="37B4603E" w:rsidR="00926807" w:rsidRPr="00B456AA" w:rsidRDefault="00926807" w:rsidP="005F3615">
      <w:pPr>
        <w:pStyle w:val="ListParagraph"/>
        <w:numPr>
          <w:ilvl w:val="0"/>
          <w:numId w:val="17"/>
        </w:numPr>
        <w:jc w:val="both"/>
        <w:rPr>
          <w:rFonts w:asciiTheme="majorHAnsi" w:hAnsiTheme="majorHAnsi" w:cstheme="majorHAnsi"/>
          <w:lang w:val="en-IN"/>
        </w:rPr>
      </w:pPr>
      <w:r w:rsidRPr="00B456AA">
        <w:rPr>
          <w:rFonts w:asciiTheme="majorHAnsi" w:hAnsiTheme="majorHAnsi" w:cstheme="majorHAnsi"/>
          <w:lang w:val="en-IN"/>
        </w:rPr>
        <w:t>Coordinated with offshore and onshore teams to ensure timely delivery of change requests and enhancements.</w:t>
      </w:r>
    </w:p>
    <w:p w14:paraId="653C39AD" w14:textId="1460750A" w:rsidR="00624831" w:rsidRDefault="00926807">
      <w:pPr>
        <w:rPr>
          <w:lang w:val="en-IN"/>
        </w:rPr>
      </w:pPr>
      <w:r w:rsidRPr="005F3615">
        <w:rPr>
          <w:rFonts w:ascii="Times New Roman" w:hAnsi="Times New Roman" w:cs="Times New Roman"/>
          <w:b/>
          <w:sz w:val="24"/>
          <w:szCs w:val="24"/>
        </w:rPr>
        <w:t>Environment / Tools:</w:t>
      </w:r>
      <w:r w:rsidRPr="00926807">
        <w:rPr>
          <w:lang w:val="en-IN"/>
        </w:rPr>
        <w:br/>
      </w:r>
      <w:r w:rsidRPr="00B456AA">
        <w:rPr>
          <w:rFonts w:asciiTheme="majorHAnsi" w:hAnsiTheme="majorHAnsi" w:cstheme="majorHAnsi"/>
          <w:lang w:val="en-IN"/>
        </w:rPr>
        <w:t>Internet &amp; Mobile Banking Platforms, Core Banking Systems, Payment Gateways, ATM Integrations, SQL, JIRA, MS Visio, UAT Tools, Agile &amp; Waterfall</w:t>
      </w:r>
    </w:p>
    <w:p w14:paraId="5376CBEF" w14:textId="77777777" w:rsidR="005F3615" w:rsidRPr="005F3615" w:rsidRDefault="005F3615">
      <w:pPr>
        <w:rPr>
          <w:lang w:val="en-IN"/>
        </w:rPr>
      </w:pPr>
    </w:p>
    <w:p w14:paraId="527D99A8" w14:textId="77777777" w:rsidR="00624831" w:rsidRPr="005F3615" w:rsidRDefault="00C70B3B" w:rsidP="00E04179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Georgia" w:hAnsi="Georgia"/>
          <w:color w:val="auto"/>
        </w:rPr>
      </w:pPr>
      <w:r w:rsidRPr="005F3615">
        <w:rPr>
          <w:rFonts w:ascii="Georgia" w:hAnsi="Georgia"/>
          <w:color w:val="auto"/>
        </w:rPr>
        <w:t>Education</w:t>
      </w:r>
    </w:p>
    <w:p w14:paraId="377CACE1" w14:textId="77777777" w:rsidR="00624831" w:rsidRPr="005F3615" w:rsidRDefault="00C70B3B" w:rsidP="00E04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 w:themeFill="background1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5F3615">
        <w:rPr>
          <w:rFonts w:ascii="Times New Roman" w:hAnsi="Times New Roman" w:cs="Times New Roman"/>
          <w:b/>
          <w:i/>
          <w:iCs/>
          <w:sz w:val="24"/>
          <w:szCs w:val="24"/>
        </w:rPr>
        <w:t>B.E (Bachelor of Engineering) – Osmania University – 2014</w:t>
      </w:r>
    </w:p>
    <w:sectPr w:rsidR="00624831" w:rsidRPr="005F3615" w:rsidSect="005F3615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AA245D" w14:textId="77777777" w:rsidR="00F43C71" w:rsidRDefault="00F43C71" w:rsidP="00993902">
      <w:pPr>
        <w:spacing w:after="0" w:line="240" w:lineRule="auto"/>
      </w:pPr>
      <w:r>
        <w:separator/>
      </w:r>
    </w:p>
  </w:endnote>
  <w:endnote w:type="continuationSeparator" w:id="0">
    <w:p w14:paraId="629AEC64" w14:textId="77777777" w:rsidR="00F43C71" w:rsidRDefault="00F43C71" w:rsidP="00993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5B5D3F" w14:textId="77777777" w:rsidR="00F43C71" w:rsidRDefault="00F43C71" w:rsidP="00993902">
      <w:pPr>
        <w:spacing w:after="0" w:line="240" w:lineRule="auto"/>
      </w:pPr>
      <w:r>
        <w:separator/>
      </w:r>
    </w:p>
  </w:footnote>
  <w:footnote w:type="continuationSeparator" w:id="0">
    <w:p w14:paraId="3FDB67B1" w14:textId="77777777" w:rsidR="00F43C71" w:rsidRDefault="00F43C71" w:rsidP="009939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DE4B21"/>
    <w:multiLevelType w:val="hybridMultilevel"/>
    <w:tmpl w:val="F7669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DA2B29"/>
    <w:multiLevelType w:val="hybridMultilevel"/>
    <w:tmpl w:val="DCC27A84"/>
    <w:lvl w:ilvl="0" w:tplc="DA883F3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890C9E"/>
    <w:multiLevelType w:val="hybridMultilevel"/>
    <w:tmpl w:val="96C2F916"/>
    <w:lvl w:ilvl="0" w:tplc="DA883F3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7A3C40"/>
    <w:multiLevelType w:val="hybridMultilevel"/>
    <w:tmpl w:val="3D4041D2"/>
    <w:lvl w:ilvl="0" w:tplc="DA883F3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BB761D"/>
    <w:multiLevelType w:val="hybridMultilevel"/>
    <w:tmpl w:val="0F84B356"/>
    <w:lvl w:ilvl="0" w:tplc="DA883F3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DA883F32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2352BD"/>
    <w:multiLevelType w:val="hybridMultilevel"/>
    <w:tmpl w:val="ACE45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CB7B48"/>
    <w:multiLevelType w:val="hybridMultilevel"/>
    <w:tmpl w:val="940C279E"/>
    <w:lvl w:ilvl="0" w:tplc="DA883F3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AF4B09"/>
    <w:multiLevelType w:val="hybridMultilevel"/>
    <w:tmpl w:val="E9D41BD0"/>
    <w:lvl w:ilvl="0" w:tplc="DA883F3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9"/>
  </w:num>
  <w:num w:numId="12">
    <w:abstractNumId w:val="16"/>
  </w:num>
  <w:num w:numId="13">
    <w:abstractNumId w:val="10"/>
  </w:num>
  <w:num w:numId="14">
    <w:abstractNumId w:val="12"/>
  </w:num>
  <w:num w:numId="15">
    <w:abstractNumId w:val="11"/>
  </w:num>
  <w:num w:numId="16">
    <w:abstractNumId w:val="1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017"/>
    <w:rsid w:val="0015074B"/>
    <w:rsid w:val="001E07B1"/>
    <w:rsid w:val="0029639D"/>
    <w:rsid w:val="00326F90"/>
    <w:rsid w:val="003E0075"/>
    <w:rsid w:val="004F1F71"/>
    <w:rsid w:val="0050373B"/>
    <w:rsid w:val="005650E0"/>
    <w:rsid w:val="005F3615"/>
    <w:rsid w:val="00624831"/>
    <w:rsid w:val="00846372"/>
    <w:rsid w:val="00877EB9"/>
    <w:rsid w:val="008D4F07"/>
    <w:rsid w:val="00926807"/>
    <w:rsid w:val="00993902"/>
    <w:rsid w:val="00995A85"/>
    <w:rsid w:val="009C3A1D"/>
    <w:rsid w:val="00AA1D8D"/>
    <w:rsid w:val="00B456AA"/>
    <w:rsid w:val="00B47730"/>
    <w:rsid w:val="00C70B3B"/>
    <w:rsid w:val="00CB0664"/>
    <w:rsid w:val="00E04179"/>
    <w:rsid w:val="00F43C71"/>
    <w:rsid w:val="00F535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3C54185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F1F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F71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99"/>
    <w:rsid w:val="00F535D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99"/>
    <w:rsid w:val="00F535D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a.mohiuddin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EE9265-AE72-412B-81D7-FB7436A0E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2504</Words>
  <Characters>14276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2026-01-02T17:10:00Z</dcterms:created>
  <dcterms:modified xsi:type="dcterms:W3CDTF">2026-01-02T17:51:00Z</dcterms:modified>
  <cp:category/>
</cp:coreProperties>
</file>