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bottom w:val="single" w:sz="12" w:space="0" w:color="39A5B7" w:themeColor="accent1"/>
        </w:tblBorders>
        <w:tblLook w:val="0600" w:firstRow="0" w:lastRow="0" w:firstColumn="0" w:lastColumn="0" w:noHBand="1" w:noVBand="1"/>
        <w:tblCaption w:val="Layout table"/>
      </w:tblPr>
      <w:tblGrid>
        <w:gridCol w:w="10800"/>
      </w:tblGrid>
      <w:tr w:rsidR="00545B7A" w:rsidRPr="00030242" w14:paraId="5772EDF4" w14:textId="77777777" w:rsidTr="00A95BB6">
        <w:trPr>
          <w:trHeight w:val="851"/>
        </w:trPr>
        <w:tc>
          <w:tcPr>
            <w:tcW w:w="9936" w:type="dxa"/>
          </w:tcPr>
          <w:p w14:paraId="3882D820" w14:textId="77777777" w:rsidR="00545B7A" w:rsidRDefault="083F81A4" w:rsidP="00A428CA">
            <w:pPr>
              <w:pStyle w:val="Title"/>
              <w:rPr>
                <w:rFonts w:cs="Calibri"/>
                <w:color w:val="000000" w:themeColor="text1"/>
                <w:sz w:val="28"/>
                <w:szCs w:val="28"/>
              </w:rPr>
            </w:pPr>
            <w:proofErr w:type="spellStart"/>
            <w:r w:rsidRPr="00AA74F7">
              <w:rPr>
                <w:rFonts w:ascii="Arial Black" w:hAnsi="Arial Black" w:cs="Calibri"/>
                <w:color w:val="000000" w:themeColor="text1"/>
                <w:sz w:val="32"/>
                <w:szCs w:val="32"/>
              </w:rPr>
              <w:t>Umema</w:t>
            </w:r>
            <w:proofErr w:type="spellEnd"/>
            <w:r w:rsidRPr="00AA74F7">
              <w:rPr>
                <w:rFonts w:ascii="Arial Black" w:hAnsi="Arial Black" w:cs="Calibri"/>
                <w:color w:val="000000" w:themeColor="text1"/>
                <w:sz w:val="32"/>
                <w:szCs w:val="32"/>
              </w:rPr>
              <w:t xml:space="preserve"> </w:t>
            </w:r>
            <w:proofErr w:type="spellStart"/>
            <w:r w:rsidRPr="00AA74F7">
              <w:rPr>
                <w:rFonts w:ascii="Arial Black" w:hAnsi="Arial Black" w:cs="Calibri"/>
                <w:color w:val="000000" w:themeColor="text1"/>
                <w:sz w:val="32"/>
                <w:szCs w:val="32"/>
              </w:rPr>
              <w:t>Amthul</w:t>
            </w:r>
            <w:proofErr w:type="spellEnd"/>
            <w:r w:rsidRPr="00AA74F7">
              <w:rPr>
                <w:rFonts w:ascii="Arial Black" w:hAnsi="Arial Black" w:cs="Calibri"/>
                <w:color w:val="000000" w:themeColor="text1"/>
                <w:sz w:val="32"/>
                <w:szCs w:val="32"/>
              </w:rPr>
              <w:t xml:space="preserve"> </w:t>
            </w:r>
            <w:proofErr w:type="spellStart"/>
            <w:r w:rsidRPr="00AA74F7">
              <w:rPr>
                <w:rFonts w:ascii="Arial Black" w:hAnsi="Arial Black" w:cs="Calibri"/>
                <w:color w:val="000000" w:themeColor="text1"/>
                <w:sz w:val="32"/>
                <w:szCs w:val="32"/>
              </w:rPr>
              <w:t>Syeda</w:t>
            </w:r>
            <w:proofErr w:type="spellEnd"/>
            <w:r w:rsidR="00AA74F7">
              <w:rPr>
                <w:rFonts w:ascii="Arial Black" w:hAnsi="Arial Black" w:cs="Calibri"/>
                <w:sz w:val="32"/>
                <w:szCs w:val="32"/>
              </w:rPr>
              <w:t xml:space="preserve"> </w:t>
            </w:r>
            <w:r w:rsidR="00AA74F7" w:rsidRPr="00AA74F7">
              <w:rPr>
                <w:rFonts w:ascii="Arial Black" w:hAnsi="Arial Black" w:cs="Calibri"/>
                <w:color w:val="000000" w:themeColor="text1"/>
                <w:sz w:val="32"/>
                <w:szCs w:val="32"/>
              </w:rPr>
              <w:t>|</w:t>
            </w:r>
            <w:r w:rsidR="000C720E">
              <w:rPr>
                <w:rFonts w:ascii="Calibri" w:hAnsi="Calibri" w:cs="Calibri"/>
                <w:sz w:val="32"/>
                <w:szCs w:val="32"/>
              </w:rPr>
              <w:t xml:space="preserve"> </w:t>
            </w:r>
            <w:r w:rsidR="007A656C" w:rsidRPr="007A656C">
              <w:rPr>
                <w:rFonts w:cs="Calibri"/>
                <w:color w:val="000000" w:themeColor="text1"/>
                <w:sz w:val="28"/>
                <w:szCs w:val="28"/>
              </w:rPr>
              <w:t xml:space="preserve">Sr. Business Systems Analyst </w:t>
            </w:r>
          </w:p>
          <w:p w14:paraId="639EA027" w14:textId="7859CF18" w:rsidR="009A26D8" w:rsidRPr="00A95BB6" w:rsidRDefault="00453665" w:rsidP="00A95BB6">
            <w:pPr>
              <w:rPr>
                <w:rFonts w:ascii="Calibri" w:eastAsia="Calibri" w:hAnsi="Calibri" w:cs="Calibri"/>
                <w:color w:val="auto"/>
                <w:lang w:eastAsia="en-IN" w:bidi="hi-IN"/>
                <w14:ligatures w14:val="standardContextual"/>
              </w:rPr>
            </w:pPr>
            <w:hyperlink r:id="rId11" w:history="1">
              <w:r w:rsidR="009A26D8" w:rsidRPr="008839AF">
                <w:rPr>
                  <w:rFonts w:eastAsia="Calibri"/>
                  <w:color w:val="000000" w:themeColor="text1"/>
                  <w:lang w:eastAsia="en-IN" w:bidi="hi-IN"/>
                  <w14:ligatures w14:val="standardContextual"/>
                </w:rPr>
                <w:t>syedaumema414</w:t>
              </w:r>
              <w:r w:rsidR="009A26D8" w:rsidRPr="00AA74F7">
                <w:rPr>
                  <w:rFonts w:eastAsia="Calibri"/>
                  <w:color w:val="0563C1"/>
                  <w:lang w:eastAsia="en-IN" w:bidi="hi-IN"/>
                  <w14:ligatures w14:val="standardContextual"/>
                </w:rPr>
                <w:t>@gmail.com</w:t>
              </w:r>
            </w:hyperlink>
            <w:r w:rsidR="009A26D8" w:rsidRPr="000C720E">
              <w:rPr>
                <w:rFonts w:ascii="Calibri" w:hAnsi="Calibri" w:cs="Calibri"/>
              </w:rPr>
              <w:t xml:space="preserve"> | </w:t>
            </w:r>
            <w:r w:rsidR="009A26D8" w:rsidRPr="005B78CA">
              <w:rPr>
                <w:rFonts w:ascii="Calibri" w:hAnsi="Calibri" w:cs="Calibri"/>
              </w:rPr>
              <w:t xml:space="preserve">(619) </w:t>
            </w:r>
            <w:r w:rsidR="009A26D8" w:rsidRPr="008839AF">
              <w:rPr>
                <w:rFonts w:eastAsia="Calibri"/>
                <w:color w:val="0563C1"/>
                <w:lang w:eastAsia="en-IN" w:bidi="hi-IN"/>
                <w14:ligatures w14:val="standardContextual"/>
              </w:rPr>
              <w:t>375-0103</w:t>
            </w:r>
            <w:r w:rsidR="009A26D8" w:rsidRPr="008839AF">
              <w:rPr>
                <w:rFonts w:ascii="Calibri" w:hAnsi="Calibri" w:cs="Calibri"/>
                <w:color w:val="0070C0"/>
              </w:rPr>
              <w:t xml:space="preserve"> </w:t>
            </w:r>
            <w:r w:rsidR="009A26D8" w:rsidRPr="000C720E">
              <w:rPr>
                <w:rFonts w:ascii="Calibri" w:hAnsi="Calibri" w:cs="Calibri"/>
              </w:rPr>
              <w:t xml:space="preserve">| </w:t>
            </w:r>
            <w:hyperlink r:id="rId12" w:tgtFrame="_blank" w:history="1">
              <w:r w:rsidR="009A26D8" w:rsidRPr="008839AF">
                <w:rPr>
                  <w:rFonts w:ascii="Calibri" w:eastAsia="Calibri" w:hAnsi="Calibri" w:cs="Calibri"/>
                  <w:color w:val="000000" w:themeColor="text1"/>
                  <w:u w:val="single"/>
                  <w:lang w:eastAsia="en-IN" w:bidi="hi-IN"/>
                  <w14:ligatures w14:val="standardContextual"/>
                </w:rPr>
                <w:t>https://www.linkedin.com/in/</w:t>
              </w:r>
              <w:r w:rsidR="009A26D8" w:rsidRPr="008839AF">
                <w:rPr>
                  <w:rFonts w:eastAsia="Calibri"/>
                  <w:color w:val="0563C1"/>
                  <w:lang w:eastAsia="en-IN" w:bidi="hi-IN"/>
                  <w14:ligatures w14:val="standardContextual"/>
                </w:rPr>
                <w:t>syedaumema46/</w:t>
              </w:r>
            </w:hyperlink>
          </w:p>
        </w:tc>
      </w:tr>
    </w:tbl>
    <w:p w14:paraId="6B0425B0" w14:textId="3EB80019" w:rsidR="0075155B" w:rsidRPr="00347D58" w:rsidRDefault="00A428CA" w:rsidP="00A428CA">
      <w:pPr>
        <w:pStyle w:val="Heading1"/>
        <w:rPr>
          <w:rFonts w:ascii="Arial" w:eastAsiaTheme="minorEastAsia" w:hAnsi="Arial" w:cs="Arial"/>
          <w:bCs/>
          <w:color w:val="404040" w:themeColor="text1" w:themeTint="BF"/>
          <w:sz w:val="22"/>
          <w:szCs w:val="22"/>
          <w:u w:val="single"/>
        </w:rPr>
      </w:pPr>
      <w:r w:rsidRPr="00347D58">
        <w:rPr>
          <w:rFonts w:ascii="Arial" w:eastAsiaTheme="minorEastAsia" w:hAnsi="Arial" w:cs="Arial"/>
          <w:bCs/>
          <w:color w:val="404040" w:themeColor="text1" w:themeTint="BF"/>
          <w:sz w:val="22"/>
          <w:szCs w:val="22"/>
          <w:u w:val="single"/>
        </w:rPr>
        <w:t>Profe</w:t>
      </w:r>
      <w:r w:rsidR="6DF5B527" w:rsidRPr="00347D58">
        <w:rPr>
          <w:rFonts w:ascii="Arial" w:eastAsiaTheme="minorEastAsia" w:hAnsi="Arial" w:cs="Arial"/>
          <w:bCs/>
          <w:color w:val="404040" w:themeColor="text1" w:themeTint="BF"/>
          <w:sz w:val="22"/>
          <w:szCs w:val="22"/>
          <w:u w:val="single"/>
        </w:rPr>
        <w:t>ssional Summary</w:t>
      </w:r>
    </w:p>
    <w:p w14:paraId="1DB5C4EB" w14:textId="77777777" w:rsidR="00AD1120" w:rsidRDefault="00AD1120" w:rsidP="00AD1120">
      <w:pPr>
        <w:pStyle w:val="Heading1"/>
        <w:ind w:left="360"/>
        <w:jc w:val="both"/>
        <w:rPr>
          <w:rFonts w:ascii="Arial" w:eastAsiaTheme="minorEastAsia" w:hAnsi="Arial" w:cs="Arial"/>
          <w:b w:val="0"/>
          <w:color w:val="404040" w:themeColor="text1" w:themeTint="BF"/>
          <w:sz w:val="22"/>
          <w:szCs w:val="22"/>
        </w:rPr>
      </w:pPr>
    </w:p>
    <w:p w14:paraId="6BEC6CB3" w14:textId="2066AADE" w:rsidR="00A95BB6" w:rsidRPr="002F1E0B" w:rsidRDefault="00A95BB6" w:rsidP="002F1E0B">
      <w:pPr>
        <w:pStyle w:val="ListParagraph"/>
        <w:numPr>
          <w:ilvl w:val="0"/>
          <w:numId w:val="1"/>
        </w:numPr>
        <w:spacing w:before="240"/>
        <w:ind w:left="450" w:hanging="450"/>
        <w:jc w:val="both"/>
        <w:rPr>
          <w:rFonts w:ascii="Arial" w:hAnsi="Arial" w:cs="Arial"/>
        </w:rPr>
      </w:pPr>
      <w:r w:rsidRPr="00A95BB6">
        <w:rPr>
          <w:rFonts w:ascii="Arial" w:hAnsi="Arial" w:cs="Arial"/>
        </w:rPr>
        <w:t>Senior Business Systems Analyst with 10+ years of experience across Banking, Capital Markets, Risk, and Regulatory Compliance, driving process transformation, data governance, and automation initiatives.</w:t>
      </w:r>
    </w:p>
    <w:p w14:paraId="6812F261" w14:textId="47D4CC80" w:rsidR="00A95BB6" w:rsidRPr="002F1E0B" w:rsidRDefault="00A95BB6" w:rsidP="002F1E0B">
      <w:pPr>
        <w:pStyle w:val="ListParagraph"/>
        <w:numPr>
          <w:ilvl w:val="0"/>
          <w:numId w:val="1"/>
        </w:numPr>
        <w:spacing w:before="240"/>
        <w:ind w:left="450" w:hanging="450"/>
        <w:jc w:val="both"/>
        <w:rPr>
          <w:rFonts w:ascii="Arial" w:hAnsi="Arial" w:cs="Arial"/>
        </w:rPr>
      </w:pPr>
      <w:r w:rsidRPr="00A95BB6">
        <w:rPr>
          <w:rFonts w:ascii="Arial" w:hAnsi="Arial" w:cs="Arial"/>
        </w:rPr>
        <w:t>Proven ability to partner with front, middle, and back-office teams to translate complex requirements into scalable workflows and dashboards using SQL, Power BI, and Tableau.</w:t>
      </w:r>
    </w:p>
    <w:p w14:paraId="39E96E0C" w14:textId="49B616B4" w:rsidR="00A95BB6" w:rsidRPr="002F1E0B" w:rsidRDefault="00A95BB6" w:rsidP="002F1E0B">
      <w:pPr>
        <w:pStyle w:val="ListParagraph"/>
        <w:numPr>
          <w:ilvl w:val="0"/>
          <w:numId w:val="1"/>
        </w:numPr>
        <w:spacing w:before="240"/>
        <w:ind w:left="450" w:hanging="450"/>
        <w:jc w:val="both"/>
        <w:rPr>
          <w:rFonts w:ascii="Arial" w:hAnsi="Arial" w:cs="Arial"/>
        </w:rPr>
      </w:pPr>
      <w:r w:rsidRPr="00A95BB6">
        <w:rPr>
          <w:rFonts w:ascii="Arial" w:hAnsi="Arial" w:cs="Arial"/>
        </w:rPr>
        <w:t>Hands-on expertise in Corporate Actions, Custody Processing, KYC/AML, and Risk Reporting, ensuring compliance with SOX, Basel III, FATCA, MiFID II, and ISO 20022.</w:t>
      </w:r>
    </w:p>
    <w:p w14:paraId="271D5F1C" w14:textId="77777777" w:rsidR="002374E4" w:rsidRPr="002F1E0B" w:rsidRDefault="00A95BB6" w:rsidP="002F1E0B">
      <w:pPr>
        <w:pStyle w:val="ListParagraph"/>
        <w:numPr>
          <w:ilvl w:val="0"/>
          <w:numId w:val="1"/>
        </w:numPr>
        <w:spacing w:before="240"/>
        <w:ind w:left="450" w:hanging="450"/>
        <w:jc w:val="both"/>
        <w:rPr>
          <w:rFonts w:ascii="Arial" w:hAnsi="Arial" w:cs="Arial"/>
        </w:rPr>
      </w:pPr>
      <w:r w:rsidRPr="00A95BB6">
        <w:rPr>
          <w:rFonts w:ascii="Arial" w:hAnsi="Arial" w:cs="Arial"/>
        </w:rPr>
        <w:t>Skilled in requirements elicitation, gap analysis, and data mapping within Agile/</w:t>
      </w:r>
      <w:proofErr w:type="spellStart"/>
      <w:r w:rsidRPr="00A95BB6">
        <w:rPr>
          <w:rFonts w:ascii="Arial" w:hAnsi="Arial" w:cs="Arial"/>
        </w:rPr>
        <w:t>SAFe</w:t>
      </w:r>
      <w:proofErr w:type="spellEnd"/>
      <w:r w:rsidRPr="00A95BB6">
        <w:rPr>
          <w:rFonts w:ascii="Arial" w:hAnsi="Arial" w:cs="Arial"/>
        </w:rPr>
        <w:t xml:space="preserve"> environments, managing full SDLC through UAT and production release.</w:t>
      </w:r>
      <w:r w:rsidR="002374E4" w:rsidRPr="002374E4">
        <w:rPr>
          <w:rFonts w:ascii="Arial" w:hAnsi="Arial" w:cs="Arial"/>
        </w:rPr>
        <w:t xml:space="preserve"> </w:t>
      </w:r>
    </w:p>
    <w:p w14:paraId="4B2F9109" w14:textId="607FEFBF" w:rsidR="00A95BB6" w:rsidRPr="002F1E0B" w:rsidRDefault="002374E4" w:rsidP="002F1E0B">
      <w:pPr>
        <w:pStyle w:val="ListParagraph"/>
        <w:numPr>
          <w:ilvl w:val="0"/>
          <w:numId w:val="1"/>
        </w:numPr>
        <w:spacing w:before="240"/>
        <w:ind w:left="450" w:hanging="450"/>
        <w:jc w:val="both"/>
        <w:rPr>
          <w:rFonts w:ascii="Arial" w:hAnsi="Arial" w:cs="Arial"/>
        </w:rPr>
      </w:pPr>
      <w:r w:rsidRPr="002374E4">
        <w:rPr>
          <w:rFonts w:ascii="Arial" w:hAnsi="Arial" w:cs="Arial"/>
        </w:rPr>
        <w:t>Experienced collaborating with onshore-offshore delivery models, managing distributed Agile teams to ensure alignment across time zones.</w:t>
      </w:r>
    </w:p>
    <w:p w14:paraId="7ADBD577" w14:textId="1BF78062" w:rsidR="00A95BB6" w:rsidRPr="002F1E0B" w:rsidRDefault="00A95BB6" w:rsidP="002F1E0B">
      <w:pPr>
        <w:pStyle w:val="ListParagraph"/>
        <w:numPr>
          <w:ilvl w:val="0"/>
          <w:numId w:val="1"/>
        </w:numPr>
        <w:spacing w:before="240"/>
        <w:ind w:left="450" w:hanging="450"/>
        <w:jc w:val="both"/>
        <w:rPr>
          <w:rFonts w:ascii="Arial" w:hAnsi="Arial" w:cs="Arial"/>
        </w:rPr>
      </w:pPr>
      <w:r w:rsidRPr="002374E4">
        <w:rPr>
          <w:rFonts w:ascii="Arial" w:hAnsi="Arial" w:cs="Arial"/>
        </w:rPr>
        <w:t>Adept in using JIRA, Confluence, Visio, Postman, and SQL for system design, API validation, and traceability.</w:t>
      </w:r>
    </w:p>
    <w:p w14:paraId="3D9C55ED" w14:textId="45ED41AE" w:rsidR="002374E4" w:rsidRPr="002F1E0B" w:rsidRDefault="00A95BB6" w:rsidP="002F1E0B">
      <w:pPr>
        <w:pStyle w:val="ListParagraph"/>
        <w:numPr>
          <w:ilvl w:val="0"/>
          <w:numId w:val="1"/>
        </w:numPr>
        <w:spacing w:before="240"/>
        <w:ind w:left="450" w:hanging="450"/>
        <w:jc w:val="both"/>
        <w:rPr>
          <w:rFonts w:ascii="Arial" w:hAnsi="Arial" w:cs="Arial"/>
        </w:rPr>
      </w:pPr>
      <w:r w:rsidRPr="002374E4">
        <w:rPr>
          <w:rFonts w:ascii="Arial" w:hAnsi="Arial" w:cs="Arial"/>
        </w:rPr>
        <w:t>Strong analytical skills in data validation and reconciliation, delivering real-time exception dashboards and operational metrics to improve transparency and efficiency.</w:t>
      </w:r>
    </w:p>
    <w:p w14:paraId="1A808CB4" w14:textId="77777777" w:rsidR="002374E4" w:rsidRPr="002F1E0B" w:rsidRDefault="00A95BB6" w:rsidP="002F1E0B">
      <w:pPr>
        <w:pStyle w:val="ListParagraph"/>
        <w:numPr>
          <w:ilvl w:val="0"/>
          <w:numId w:val="1"/>
        </w:numPr>
        <w:spacing w:before="240"/>
        <w:ind w:left="450" w:hanging="450"/>
        <w:jc w:val="both"/>
        <w:rPr>
          <w:rFonts w:ascii="Arial" w:hAnsi="Arial" w:cs="Arial"/>
        </w:rPr>
      </w:pPr>
      <w:r w:rsidRPr="002374E4">
        <w:rPr>
          <w:rFonts w:ascii="Arial" w:hAnsi="Arial" w:cs="Arial"/>
        </w:rPr>
        <w:t>Domain expertise spanning Investment Banking (Equities, Derivatives), Retail Banking (Loans, Deposits), and Capital Markets (Trade Lifecycle, Settlements).</w:t>
      </w:r>
      <w:r w:rsidR="002374E4" w:rsidRPr="002374E4">
        <w:rPr>
          <w:rFonts w:ascii="Arial" w:hAnsi="Arial" w:cs="Arial"/>
        </w:rPr>
        <w:t xml:space="preserve"> </w:t>
      </w:r>
    </w:p>
    <w:p w14:paraId="133FE8EA" w14:textId="4A7235A3" w:rsidR="002374E4" w:rsidRPr="002F1E0B" w:rsidRDefault="002374E4" w:rsidP="002F1E0B">
      <w:pPr>
        <w:pStyle w:val="ListParagraph"/>
        <w:numPr>
          <w:ilvl w:val="0"/>
          <w:numId w:val="1"/>
        </w:numPr>
        <w:spacing w:before="240"/>
        <w:ind w:left="450" w:hanging="450"/>
        <w:jc w:val="both"/>
        <w:rPr>
          <w:rFonts w:ascii="Arial" w:hAnsi="Arial" w:cs="Arial"/>
        </w:rPr>
      </w:pPr>
      <w:r w:rsidRPr="002374E4">
        <w:rPr>
          <w:rFonts w:ascii="Arial" w:hAnsi="Arial" w:cs="Arial"/>
        </w:rPr>
        <w:t>Demonstrated ability to bridge business goals and technology execution, consistently delivering compliant, data-driven, and high-impact enterprise solutions.</w:t>
      </w:r>
    </w:p>
    <w:p w14:paraId="364DFF5B" w14:textId="3FC1E961" w:rsidR="00A95BB6" w:rsidRPr="002F1E0B" w:rsidRDefault="00A95BB6" w:rsidP="002F1E0B">
      <w:pPr>
        <w:pStyle w:val="ListParagraph"/>
        <w:numPr>
          <w:ilvl w:val="0"/>
          <w:numId w:val="1"/>
        </w:numPr>
        <w:spacing w:before="240"/>
        <w:ind w:left="450" w:hanging="450"/>
        <w:jc w:val="both"/>
        <w:rPr>
          <w:rFonts w:ascii="Arial" w:hAnsi="Arial" w:cs="Arial"/>
        </w:rPr>
      </w:pPr>
      <w:r w:rsidRPr="002374E4">
        <w:rPr>
          <w:rFonts w:ascii="Arial" w:hAnsi="Arial" w:cs="Arial"/>
        </w:rPr>
        <w:t>Experience with Risk Management Systems</w:t>
      </w:r>
      <w:r w:rsidR="00A57254" w:rsidRPr="002374E4">
        <w:rPr>
          <w:rFonts w:ascii="Arial" w:hAnsi="Arial" w:cs="Arial"/>
        </w:rPr>
        <w:t xml:space="preserve">, </w:t>
      </w:r>
      <w:r w:rsidRPr="002374E4">
        <w:rPr>
          <w:rFonts w:ascii="Arial" w:hAnsi="Arial" w:cs="Arial"/>
        </w:rPr>
        <w:t xml:space="preserve">including </w:t>
      </w:r>
      <w:proofErr w:type="spellStart"/>
      <w:r w:rsidRPr="002374E4">
        <w:rPr>
          <w:rFonts w:ascii="Arial" w:hAnsi="Arial" w:cs="Arial"/>
        </w:rPr>
        <w:t>VaR</w:t>
      </w:r>
      <w:proofErr w:type="spellEnd"/>
      <w:r w:rsidRPr="002374E4">
        <w:rPr>
          <w:rFonts w:ascii="Arial" w:hAnsi="Arial" w:cs="Arial"/>
        </w:rPr>
        <w:t xml:space="preserve">, </w:t>
      </w:r>
      <w:proofErr w:type="spellStart"/>
      <w:r w:rsidRPr="002374E4">
        <w:rPr>
          <w:rFonts w:ascii="Arial" w:hAnsi="Arial" w:cs="Arial"/>
        </w:rPr>
        <w:t>PnL</w:t>
      </w:r>
      <w:proofErr w:type="spellEnd"/>
      <w:r w:rsidRPr="002374E4">
        <w:rPr>
          <w:rFonts w:ascii="Arial" w:hAnsi="Arial" w:cs="Arial"/>
        </w:rPr>
        <w:t>, and credit exposure tracking</w:t>
      </w:r>
      <w:r w:rsidR="00347D58" w:rsidRPr="002374E4">
        <w:rPr>
          <w:rFonts w:ascii="Arial" w:hAnsi="Arial" w:cs="Arial"/>
        </w:rPr>
        <w:t xml:space="preserve">, </w:t>
      </w:r>
      <w:r w:rsidRPr="002374E4">
        <w:rPr>
          <w:rFonts w:ascii="Arial" w:hAnsi="Arial" w:cs="Arial"/>
        </w:rPr>
        <w:t>to enhance financial reporting accuracy.</w:t>
      </w:r>
    </w:p>
    <w:p w14:paraId="66AABE40" w14:textId="77777777" w:rsidR="00615B2A" w:rsidRPr="002F1E0B" w:rsidRDefault="00A95BB6" w:rsidP="002F1E0B">
      <w:pPr>
        <w:pStyle w:val="ListParagraph"/>
        <w:numPr>
          <w:ilvl w:val="0"/>
          <w:numId w:val="1"/>
        </w:numPr>
        <w:spacing w:before="240"/>
        <w:ind w:left="450" w:hanging="450"/>
        <w:jc w:val="both"/>
        <w:rPr>
          <w:rFonts w:ascii="Arial" w:hAnsi="Arial" w:cs="Arial"/>
        </w:rPr>
      </w:pPr>
      <w:r w:rsidRPr="002374E4">
        <w:rPr>
          <w:rFonts w:ascii="Arial" w:hAnsi="Arial" w:cs="Arial"/>
        </w:rPr>
        <w:t>Worked extensively on third-party integrations (FIX, SWIFT, REST, SOAP) and data migration/ETL pipelines ensuring stable end-to-end trade data flow.</w:t>
      </w:r>
      <w:r w:rsidR="002374E4" w:rsidRPr="002374E4">
        <w:rPr>
          <w:rFonts w:ascii="Arial" w:hAnsi="Arial" w:cs="Arial"/>
        </w:rPr>
        <w:t xml:space="preserve"> </w:t>
      </w:r>
    </w:p>
    <w:p w14:paraId="694A1328" w14:textId="22C7D107" w:rsidR="00A95BB6" w:rsidRPr="002F1E0B" w:rsidRDefault="002374E4" w:rsidP="002F1E0B">
      <w:pPr>
        <w:pStyle w:val="ListParagraph"/>
        <w:numPr>
          <w:ilvl w:val="0"/>
          <w:numId w:val="1"/>
        </w:numPr>
        <w:spacing w:before="240"/>
        <w:ind w:left="450" w:hanging="450"/>
        <w:jc w:val="both"/>
        <w:rPr>
          <w:rFonts w:ascii="Arial" w:hAnsi="Arial" w:cs="Arial"/>
        </w:rPr>
      </w:pPr>
      <w:r w:rsidRPr="002374E4">
        <w:rPr>
          <w:rFonts w:ascii="Arial" w:hAnsi="Arial" w:cs="Arial"/>
        </w:rPr>
        <w:t>Adept at mentoring junior analysts and contributing to continuous-improvement initiatives that enhance documentation quality and delivery standards.</w:t>
      </w:r>
    </w:p>
    <w:p w14:paraId="59CDE236" w14:textId="740EBD1A" w:rsidR="00A95BB6" w:rsidRPr="002F1E0B" w:rsidRDefault="00A95BB6" w:rsidP="002F1E0B">
      <w:pPr>
        <w:pStyle w:val="ListParagraph"/>
        <w:numPr>
          <w:ilvl w:val="0"/>
          <w:numId w:val="1"/>
        </w:numPr>
        <w:spacing w:before="240"/>
        <w:ind w:left="450" w:hanging="450"/>
        <w:jc w:val="both"/>
        <w:rPr>
          <w:rFonts w:ascii="Arial" w:hAnsi="Arial" w:cs="Arial"/>
        </w:rPr>
      </w:pPr>
      <w:r w:rsidRPr="002374E4">
        <w:rPr>
          <w:rFonts w:ascii="Arial" w:hAnsi="Arial" w:cs="Arial"/>
        </w:rPr>
        <w:t>Led cross-functional and onshore-offshore teams, coordinating deliverables across product, QA, and DevOps to ensure on-time releases.</w:t>
      </w:r>
    </w:p>
    <w:p w14:paraId="3BC59A6F" w14:textId="77777777" w:rsidR="00EA0F28" w:rsidRPr="002F1E0B" w:rsidRDefault="00EA0F28" w:rsidP="002F1E0B">
      <w:pPr>
        <w:pStyle w:val="ListParagraph"/>
        <w:numPr>
          <w:ilvl w:val="0"/>
          <w:numId w:val="1"/>
        </w:numPr>
        <w:spacing w:before="240"/>
        <w:ind w:left="450" w:hanging="450"/>
        <w:jc w:val="both"/>
        <w:rPr>
          <w:rFonts w:ascii="Arial" w:hAnsi="Arial" w:cs="Arial"/>
        </w:rPr>
      </w:pPr>
      <w:r w:rsidRPr="002374E4">
        <w:rPr>
          <w:rFonts w:ascii="Arial" w:hAnsi="Arial" w:cs="Arial"/>
        </w:rPr>
        <w:t>Delivered regulatory transformation and data modernization</w:t>
      </w:r>
      <w:r w:rsidRPr="00EA0F28">
        <w:rPr>
          <w:rFonts w:ascii="Arial" w:hAnsi="Arial" w:cs="Arial"/>
        </w:rPr>
        <w:t xml:space="preserve"> solutions for multiple Tier-1 Banking and Financial Services clients.</w:t>
      </w:r>
    </w:p>
    <w:p w14:paraId="46D3F6D7" w14:textId="3F33A820" w:rsidR="00A95BB6" w:rsidRPr="002F1E0B" w:rsidRDefault="00A95BB6" w:rsidP="002F1E0B">
      <w:pPr>
        <w:pStyle w:val="ListParagraph"/>
        <w:numPr>
          <w:ilvl w:val="0"/>
          <w:numId w:val="1"/>
        </w:numPr>
        <w:spacing w:before="240"/>
        <w:ind w:left="450" w:hanging="450"/>
        <w:jc w:val="both"/>
        <w:rPr>
          <w:rFonts w:ascii="Arial" w:hAnsi="Arial" w:cs="Arial"/>
        </w:rPr>
      </w:pPr>
      <w:r w:rsidRPr="00A95BB6">
        <w:rPr>
          <w:rFonts w:ascii="Arial" w:hAnsi="Arial" w:cs="Arial"/>
        </w:rPr>
        <w:t>Recognized for attention to detail, documentation excellence, and stakeholder communication, consistently delivering audit-ready and compliant solutions.</w:t>
      </w:r>
    </w:p>
    <w:p w14:paraId="065A9035" w14:textId="77777777" w:rsidR="00A95BB6" w:rsidRPr="00A95BB6" w:rsidRDefault="00A95BB6" w:rsidP="00A95BB6"/>
    <w:p w14:paraId="14EB2DEF" w14:textId="019EDEBF" w:rsidR="0075155B" w:rsidRPr="00C50B00" w:rsidRDefault="0931F19F" w:rsidP="00A95BB6">
      <w:pPr>
        <w:pStyle w:val="Heading1"/>
        <w:rPr>
          <w:rFonts w:ascii="Arial" w:eastAsiaTheme="minorEastAsia" w:hAnsi="Arial" w:cs="Arial"/>
          <w:bCs/>
          <w:color w:val="404040" w:themeColor="text1" w:themeTint="BF"/>
          <w:sz w:val="22"/>
          <w:szCs w:val="22"/>
          <w:u w:val="single"/>
        </w:rPr>
      </w:pPr>
      <w:r w:rsidRPr="00C50B00">
        <w:rPr>
          <w:rFonts w:ascii="Arial" w:eastAsiaTheme="minorEastAsia" w:hAnsi="Arial" w:cs="Arial"/>
          <w:bCs/>
          <w:color w:val="404040" w:themeColor="text1" w:themeTint="BF"/>
          <w:sz w:val="22"/>
          <w:szCs w:val="22"/>
          <w:u w:val="single"/>
        </w:rPr>
        <w:t>Technical Table</w:t>
      </w:r>
    </w:p>
    <w:tbl>
      <w:tblPr>
        <w:tblStyle w:val="TableGridLight"/>
        <w:tblW w:w="10910" w:type="dxa"/>
        <w:tblLayout w:type="fixed"/>
        <w:tblLook w:val="06A0" w:firstRow="1" w:lastRow="0" w:firstColumn="1" w:lastColumn="0" w:noHBand="1" w:noVBand="1"/>
      </w:tblPr>
      <w:tblGrid>
        <w:gridCol w:w="3150"/>
        <w:gridCol w:w="7760"/>
      </w:tblGrid>
      <w:tr w:rsidR="1F364EEA" w:rsidRPr="00A95BB6" w14:paraId="48CC4725" w14:textId="77777777" w:rsidTr="00347D58">
        <w:trPr>
          <w:trHeight w:val="300"/>
        </w:trPr>
        <w:tc>
          <w:tcPr>
            <w:tcW w:w="3150" w:type="dxa"/>
          </w:tcPr>
          <w:p w14:paraId="5BD568F0" w14:textId="75F7B6E7" w:rsidR="1F364EEA" w:rsidRPr="00A95BB6" w:rsidRDefault="1F364EEA" w:rsidP="1F364EEA">
            <w:pPr>
              <w:jc w:val="center"/>
              <w:rPr>
                <w:rFonts w:ascii="Arial" w:hAnsi="Arial" w:cs="Arial"/>
                <w:b/>
                <w:bCs/>
              </w:rPr>
            </w:pPr>
            <w:r w:rsidRPr="00A95BB6">
              <w:rPr>
                <w:rFonts w:ascii="Arial" w:hAnsi="Arial" w:cs="Arial"/>
                <w:b/>
                <w:bCs/>
              </w:rPr>
              <w:t>Category</w:t>
            </w:r>
          </w:p>
        </w:tc>
        <w:tc>
          <w:tcPr>
            <w:tcW w:w="7760" w:type="dxa"/>
          </w:tcPr>
          <w:p w14:paraId="362AC61D" w14:textId="3553D05E" w:rsidR="1F364EEA" w:rsidRPr="00A95BB6" w:rsidRDefault="1F364EEA" w:rsidP="1F364EEA">
            <w:pPr>
              <w:jc w:val="center"/>
              <w:rPr>
                <w:rFonts w:ascii="Arial" w:hAnsi="Arial" w:cs="Arial"/>
                <w:b/>
                <w:bCs/>
              </w:rPr>
            </w:pPr>
            <w:r w:rsidRPr="00A95BB6">
              <w:rPr>
                <w:rFonts w:ascii="Arial" w:hAnsi="Arial" w:cs="Arial"/>
                <w:b/>
                <w:bCs/>
              </w:rPr>
              <w:t>Skill</w:t>
            </w:r>
          </w:p>
        </w:tc>
      </w:tr>
      <w:tr w:rsidR="1F364EEA" w:rsidRPr="00030242" w14:paraId="7E211A3E" w14:textId="77777777" w:rsidTr="00347D58">
        <w:trPr>
          <w:trHeight w:val="300"/>
        </w:trPr>
        <w:tc>
          <w:tcPr>
            <w:tcW w:w="3150" w:type="dxa"/>
          </w:tcPr>
          <w:p w14:paraId="6A1FAFF2" w14:textId="5B734A09" w:rsidR="1F364EEA" w:rsidRPr="00A95BB6" w:rsidRDefault="1F364EEA" w:rsidP="1F364EEA">
            <w:pPr>
              <w:rPr>
                <w:rFonts w:ascii="Arial" w:hAnsi="Arial" w:cs="Arial"/>
                <w:b/>
                <w:bCs/>
              </w:rPr>
            </w:pPr>
            <w:r w:rsidRPr="00A95BB6">
              <w:rPr>
                <w:rFonts w:ascii="Arial" w:hAnsi="Arial" w:cs="Arial"/>
                <w:b/>
                <w:bCs/>
              </w:rPr>
              <w:t>SDLC &amp; Methodologies</w:t>
            </w:r>
          </w:p>
        </w:tc>
        <w:tc>
          <w:tcPr>
            <w:tcW w:w="7760" w:type="dxa"/>
          </w:tcPr>
          <w:p w14:paraId="6077CA1C" w14:textId="54903CB4" w:rsidR="1F364EEA" w:rsidRPr="00A95BB6" w:rsidRDefault="1F364EEA" w:rsidP="1F364EEA">
            <w:pPr>
              <w:rPr>
                <w:rFonts w:ascii="Arial" w:hAnsi="Arial" w:cs="Arial"/>
              </w:rPr>
            </w:pPr>
            <w:r w:rsidRPr="00A95BB6">
              <w:rPr>
                <w:rFonts w:ascii="Arial" w:hAnsi="Arial" w:cs="Arial"/>
              </w:rPr>
              <w:t xml:space="preserve">Agile (Scrum, </w:t>
            </w:r>
            <w:proofErr w:type="spellStart"/>
            <w:r w:rsidRPr="00A95BB6">
              <w:rPr>
                <w:rFonts w:ascii="Arial" w:hAnsi="Arial" w:cs="Arial"/>
              </w:rPr>
              <w:t>SAFe</w:t>
            </w:r>
            <w:proofErr w:type="spellEnd"/>
            <w:r w:rsidRPr="00A95BB6">
              <w:rPr>
                <w:rFonts w:ascii="Arial" w:hAnsi="Arial" w:cs="Arial"/>
              </w:rPr>
              <w:t>), Waterfall, DevOps Practices</w:t>
            </w:r>
          </w:p>
        </w:tc>
      </w:tr>
      <w:tr w:rsidR="1F364EEA" w:rsidRPr="00030242" w14:paraId="3A35661A" w14:textId="77777777" w:rsidTr="00347D58">
        <w:trPr>
          <w:trHeight w:val="300"/>
        </w:trPr>
        <w:tc>
          <w:tcPr>
            <w:tcW w:w="3150" w:type="dxa"/>
          </w:tcPr>
          <w:p w14:paraId="3BF4E705" w14:textId="0060E455" w:rsidR="1F364EEA" w:rsidRPr="00A95BB6" w:rsidRDefault="1F364EEA" w:rsidP="1F364EEA">
            <w:pPr>
              <w:rPr>
                <w:rFonts w:ascii="Arial" w:hAnsi="Arial" w:cs="Arial"/>
                <w:b/>
                <w:bCs/>
              </w:rPr>
            </w:pPr>
            <w:r w:rsidRPr="00A95BB6">
              <w:rPr>
                <w:rFonts w:ascii="Arial" w:hAnsi="Arial" w:cs="Arial"/>
                <w:b/>
                <w:bCs/>
              </w:rPr>
              <w:t>Requirement Management</w:t>
            </w:r>
          </w:p>
        </w:tc>
        <w:tc>
          <w:tcPr>
            <w:tcW w:w="7760" w:type="dxa"/>
          </w:tcPr>
          <w:p w14:paraId="38D85F3C" w14:textId="019570E8" w:rsidR="1F364EEA" w:rsidRPr="00A95BB6" w:rsidRDefault="1F364EEA" w:rsidP="1F364EEA">
            <w:pPr>
              <w:rPr>
                <w:rFonts w:ascii="Arial" w:hAnsi="Arial" w:cs="Arial"/>
              </w:rPr>
            </w:pPr>
            <w:r w:rsidRPr="00A95BB6">
              <w:rPr>
                <w:rFonts w:ascii="Arial" w:hAnsi="Arial" w:cs="Arial"/>
              </w:rPr>
              <w:t>BRD, FRD, User Stories, Use Cases, Acceptance Criteria</w:t>
            </w:r>
          </w:p>
        </w:tc>
      </w:tr>
      <w:tr w:rsidR="1F364EEA" w:rsidRPr="00030242" w14:paraId="0947DD9B" w14:textId="77777777" w:rsidTr="00347D58">
        <w:trPr>
          <w:trHeight w:val="300"/>
        </w:trPr>
        <w:tc>
          <w:tcPr>
            <w:tcW w:w="3150" w:type="dxa"/>
          </w:tcPr>
          <w:p w14:paraId="5FF6AEC3" w14:textId="5DE75D09" w:rsidR="1F364EEA" w:rsidRPr="00A95BB6" w:rsidRDefault="1F364EEA" w:rsidP="1F364EEA">
            <w:pPr>
              <w:rPr>
                <w:rFonts w:ascii="Arial" w:hAnsi="Arial" w:cs="Arial"/>
                <w:b/>
                <w:bCs/>
              </w:rPr>
            </w:pPr>
            <w:r w:rsidRPr="00A95BB6">
              <w:rPr>
                <w:rFonts w:ascii="Arial" w:hAnsi="Arial" w:cs="Arial"/>
                <w:b/>
                <w:bCs/>
              </w:rPr>
              <w:t>Process Modeling</w:t>
            </w:r>
          </w:p>
        </w:tc>
        <w:tc>
          <w:tcPr>
            <w:tcW w:w="7760" w:type="dxa"/>
          </w:tcPr>
          <w:p w14:paraId="32B03C58" w14:textId="7E16FB11" w:rsidR="1F364EEA" w:rsidRPr="00A95BB6" w:rsidRDefault="1F364EEA" w:rsidP="1F364EEA">
            <w:pPr>
              <w:rPr>
                <w:rFonts w:ascii="Arial" w:hAnsi="Arial" w:cs="Arial"/>
              </w:rPr>
            </w:pPr>
            <w:r w:rsidRPr="00A95BB6">
              <w:rPr>
                <w:rFonts w:ascii="Arial" w:hAnsi="Arial" w:cs="Arial"/>
              </w:rPr>
              <w:t xml:space="preserve">BPMN, Microsoft Visio, </w:t>
            </w:r>
            <w:proofErr w:type="spellStart"/>
            <w:r w:rsidRPr="00A95BB6">
              <w:rPr>
                <w:rFonts w:ascii="Arial" w:hAnsi="Arial" w:cs="Arial"/>
              </w:rPr>
              <w:t>Lucidchart</w:t>
            </w:r>
            <w:proofErr w:type="spellEnd"/>
          </w:p>
        </w:tc>
      </w:tr>
      <w:tr w:rsidR="1F364EEA" w:rsidRPr="00030242" w14:paraId="1D14F45D" w14:textId="77777777" w:rsidTr="00347D58">
        <w:trPr>
          <w:trHeight w:val="300"/>
        </w:trPr>
        <w:tc>
          <w:tcPr>
            <w:tcW w:w="3150" w:type="dxa"/>
          </w:tcPr>
          <w:p w14:paraId="10DA7E3B" w14:textId="6E4CEE39" w:rsidR="1F364EEA" w:rsidRPr="00A95BB6" w:rsidRDefault="1F364EEA" w:rsidP="1F364EEA">
            <w:pPr>
              <w:rPr>
                <w:rFonts w:ascii="Arial" w:hAnsi="Arial" w:cs="Arial"/>
                <w:b/>
                <w:bCs/>
              </w:rPr>
            </w:pPr>
            <w:r w:rsidRPr="00A95BB6">
              <w:rPr>
                <w:rFonts w:ascii="Arial" w:hAnsi="Arial" w:cs="Arial"/>
                <w:b/>
                <w:bCs/>
              </w:rPr>
              <w:t>Project/Task Tools</w:t>
            </w:r>
          </w:p>
        </w:tc>
        <w:tc>
          <w:tcPr>
            <w:tcW w:w="7760" w:type="dxa"/>
          </w:tcPr>
          <w:p w14:paraId="6EDCE3A6" w14:textId="15356764" w:rsidR="1F364EEA" w:rsidRPr="00A95BB6" w:rsidRDefault="1F364EEA" w:rsidP="1F364EEA">
            <w:pPr>
              <w:rPr>
                <w:rFonts w:ascii="Arial" w:hAnsi="Arial" w:cs="Arial"/>
              </w:rPr>
            </w:pPr>
            <w:r w:rsidRPr="00A95BB6">
              <w:rPr>
                <w:rFonts w:ascii="Arial" w:hAnsi="Arial" w:cs="Arial"/>
              </w:rPr>
              <w:t>JIRA, Confluence, ServiceNow, HP ALM</w:t>
            </w:r>
          </w:p>
        </w:tc>
      </w:tr>
      <w:tr w:rsidR="1F364EEA" w:rsidRPr="00030242" w14:paraId="5CD29291" w14:textId="77777777" w:rsidTr="00347D58">
        <w:trPr>
          <w:trHeight w:val="300"/>
        </w:trPr>
        <w:tc>
          <w:tcPr>
            <w:tcW w:w="3150" w:type="dxa"/>
          </w:tcPr>
          <w:p w14:paraId="3BD0233F" w14:textId="5BBABA99" w:rsidR="1F364EEA" w:rsidRPr="00A95BB6" w:rsidRDefault="1F364EEA" w:rsidP="1F364EEA">
            <w:pPr>
              <w:rPr>
                <w:rFonts w:ascii="Arial" w:hAnsi="Arial" w:cs="Arial"/>
                <w:b/>
                <w:bCs/>
              </w:rPr>
            </w:pPr>
            <w:r w:rsidRPr="00A95BB6">
              <w:rPr>
                <w:rFonts w:ascii="Arial" w:hAnsi="Arial" w:cs="Arial"/>
                <w:b/>
                <w:bCs/>
              </w:rPr>
              <w:t>Regulatory &amp; Compliance</w:t>
            </w:r>
          </w:p>
        </w:tc>
        <w:tc>
          <w:tcPr>
            <w:tcW w:w="7760" w:type="dxa"/>
          </w:tcPr>
          <w:p w14:paraId="2BE6D2AE" w14:textId="4A82B650" w:rsidR="1F364EEA" w:rsidRPr="00A95BB6" w:rsidRDefault="1F364EEA" w:rsidP="1F364EEA">
            <w:pPr>
              <w:rPr>
                <w:rFonts w:ascii="Arial" w:hAnsi="Arial" w:cs="Arial"/>
              </w:rPr>
            </w:pPr>
            <w:r w:rsidRPr="00A95BB6">
              <w:rPr>
                <w:rFonts w:ascii="Arial" w:hAnsi="Arial" w:cs="Arial"/>
              </w:rPr>
              <w:t>SOX, AML, KYC, GDPR, FATCA</w:t>
            </w:r>
          </w:p>
        </w:tc>
      </w:tr>
      <w:tr w:rsidR="1F364EEA" w:rsidRPr="00030242" w14:paraId="41871D00" w14:textId="77777777" w:rsidTr="00347D58">
        <w:trPr>
          <w:trHeight w:val="300"/>
        </w:trPr>
        <w:tc>
          <w:tcPr>
            <w:tcW w:w="3150" w:type="dxa"/>
          </w:tcPr>
          <w:p w14:paraId="555069C9" w14:textId="73C79B95" w:rsidR="1F364EEA" w:rsidRPr="00A95BB6" w:rsidRDefault="1F364EEA" w:rsidP="1F364EEA">
            <w:pPr>
              <w:rPr>
                <w:rFonts w:ascii="Arial" w:hAnsi="Arial" w:cs="Arial"/>
                <w:b/>
                <w:bCs/>
              </w:rPr>
            </w:pPr>
            <w:r w:rsidRPr="00A95BB6">
              <w:rPr>
                <w:rFonts w:ascii="Arial" w:hAnsi="Arial" w:cs="Arial"/>
                <w:b/>
                <w:bCs/>
              </w:rPr>
              <w:t>Data Analysis</w:t>
            </w:r>
          </w:p>
        </w:tc>
        <w:tc>
          <w:tcPr>
            <w:tcW w:w="7760" w:type="dxa"/>
          </w:tcPr>
          <w:p w14:paraId="35CFA36E" w14:textId="387E431C" w:rsidR="1F364EEA" w:rsidRPr="00A95BB6" w:rsidRDefault="008F59B2" w:rsidP="1F364EEA">
            <w:pPr>
              <w:rPr>
                <w:rFonts w:ascii="Arial" w:hAnsi="Arial" w:cs="Arial"/>
              </w:rPr>
            </w:pPr>
            <w:r w:rsidRPr="00A95BB6">
              <w:rPr>
                <w:rFonts w:ascii="Arial" w:hAnsi="Arial" w:cs="Arial"/>
              </w:rPr>
              <w:t>SQL (Oracle, SQL Server, PostgreSQL), Data Mapping, Power BI, Tableau, Data Validation</w:t>
            </w:r>
          </w:p>
        </w:tc>
      </w:tr>
      <w:tr w:rsidR="1F364EEA" w:rsidRPr="00030242" w14:paraId="1CAE4204" w14:textId="77777777" w:rsidTr="00347D58">
        <w:trPr>
          <w:trHeight w:val="300"/>
        </w:trPr>
        <w:tc>
          <w:tcPr>
            <w:tcW w:w="3150" w:type="dxa"/>
          </w:tcPr>
          <w:p w14:paraId="0C652332" w14:textId="4FFEAEEE" w:rsidR="1F364EEA" w:rsidRPr="00A95BB6" w:rsidRDefault="1F364EEA" w:rsidP="1F364EEA">
            <w:pPr>
              <w:rPr>
                <w:rFonts w:ascii="Arial" w:hAnsi="Arial" w:cs="Arial"/>
                <w:b/>
                <w:bCs/>
              </w:rPr>
            </w:pPr>
            <w:r w:rsidRPr="00A95BB6">
              <w:rPr>
                <w:rFonts w:ascii="Arial" w:hAnsi="Arial" w:cs="Arial"/>
                <w:b/>
                <w:bCs/>
              </w:rPr>
              <w:t>Banking Domains</w:t>
            </w:r>
          </w:p>
        </w:tc>
        <w:tc>
          <w:tcPr>
            <w:tcW w:w="7760" w:type="dxa"/>
          </w:tcPr>
          <w:p w14:paraId="15BB7031" w14:textId="7E3DECE8" w:rsidR="1F364EEA" w:rsidRPr="00A95BB6" w:rsidRDefault="008F59B2" w:rsidP="1F364EEA">
            <w:pPr>
              <w:rPr>
                <w:rFonts w:ascii="Arial" w:hAnsi="Arial" w:cs="Arial"/>
              </w:rPr>
            </w:pPr>
            <w:r w:rsidRPr="00A95BB6">
              <w:rPr>
                <w:rFonts w:ascii="Arial" w:hAnsi="Arial" w:cs="Arial"/>
              </w:rPr>
              <w:t>Capital Markets, Investment Banking, Custody, Mortgage, Retail Banking</w:t>
            </w:r>
            <w:r w:rsidR="1F364EEA" w:rsidRPr="00A95BB6">
              <w:rPr>
                <w:rFonts w:ascii="Arial" w:hAnsi="Arial" w:cs="Arial"/>
              </w:rPr>
              <w:t>, Loan Servicing</w:t>
            </w:r>
          </w:p>
        </w:tc>
      </w:tr>
      <w:tr w:rsidR="1F364EEA" w:rsidRPr="00030242" w14:paraId="216EC5F9" w14:textId="77777777" w:rsidTr="00347D58">
        <w:trPr>
          <w:trHeight w:val="300"/>
        </w:trPr>
        <w:tc>
          <w:tcPr>
            <w:tcW w:w="3150" w:type="dxa"/>
          </w:tcPr>
          <w:p w14:paraId="687EB5E6" w14:textId="3A918AE3" w:rsidR="1F364EEA" w:rsidRPr="00A95BB6" w:rsidRDefault="1F364EEA" w:rsidP="1F364EEA">
            <w:pPr>
              <w:rPr>
                <w:rFonts w:ascii="Arial" w:hAnsi="Arial" w:cs="Arial"/>
                <w:b/>
                <w:bCs/>
              </w:rPr>
            </w:pPr>
            <w:r w:rsidRPr="00A95BB6">
              <w:rPr>
                <w:rFonts w:ascii="Arial" w:hAnsi="Arial" w:cs="Arial"/>
                <w:b/>
                <w:bCs/>
              </w:rPr>
              <w:lastRenderedPageBreak/>
              <w:t>Risk &amp; Trade Systems</w:t>
            </w:r>
          </w:p>
        </w:tc>
        <w:tc>
          <w:tcPr>
            <w:tcW w:w="7760" w:type="dxa"/>
          </w:tcPr>
          <w:p w14:paraId="77A86E46" w14:textId="0AAE7AF7" w:rsidR="1F364EEA" w:rsidRPr="00A95BB6" w:rsidRDefault="1F364EEA" w:rsidP="1F364EEA">
            <w:pPr>
              <w:rPr>
                <w:rFonts w:ascii="Arial" w:hAnsi="Arial" w:cs="Arial"/>
              </w:rPr>
            </w:pPr>
            <w:proofErr w:type="spellStart"/>
            <w:r w:rsidRPr="00A95BB6">
              <w:rPr>
                <w:rFonts w:ascii="Arial" w:hAnsi="Arial" w:cs="Arial"/>
              </w:rPr>
              <w:t>VaR</w:t>
            </w:r>
            <w:proofErr w:type="spellEnd"/>
            <w:r w:rsidRPr="00A95BB6">
              <w:rPr>
                <w:rFonts w:ascii="Arial" w:hAnsi="Arial" w:cs="Arial"/>
              </w:rPr>
              <w:t xml:space="preserve">, </w:t>
            </w:r>
            <w:proofErr w:type="spellStart"/>
            <w:r w:rsidRPr="00A95BB6">
              <w:rPr>
                <w:rFonts w:ascii="Arial" w:hAnsi="Arial" w:cs="Arial"/>
              </w:rPr>
              <w:t>PnL</w:t>
            </w:r>
            <w:proofErr w:type="spellEnd"/>
            <w:r w:rsidRPr="00A95BB6">
              <w:rPr>
                <w:rFonts w:ascii="Arial" w:hAnsi="Arial" w:cs="Arial"/>
              </w:rPr>
              <w:t xml:space="preserve"> Reporting, Trade Lifecycle, Credit Exposure Tracking</w:t>
            </w:r>
            <w:r w:rsidR="008F59B2" w:rsidRPr="00A95BB6">
              <w:rPr>
                <w:rFonts w:ascii="Arial" w:hAnsi="Arial" w:cs="Arial"/>
              </w:rPr>
              <w:t>, Basel III, SOX, FATCA, AML, KYC, GDPR, ISO 20022</w:t>
            </w:r>
          </w:p>
        </w:tc>
      </w:tr>
      <w:tr w:rsidR="1F364EEA" w:rsidRPr="00030242" w14:paraId="265A5237" w14:textId="77777777" w:rsidTr="00347D58">
        <w:trPr>
          <w:trHeight w:val="300"/>
        </w:trPr>
        <w:tc>
          <w:tcPr>
            <w:tcW w:w="3150" w:type="dxa"/>
          </w:tcPr>
          <w:p w14:paraId="3859F5FA" w14:textId="6E4EB8C7" w:rsidR="1F364EEA" w:rsidRPr="00A95BB6" w:rsidRDefault="1F364EEA" w:rsidP="1F364EEA">
            <w:pPr>
              <w:rPr>
                <w:rFonts w:ascii="Arial" w:hAnsi="Arial" w:cs="Arial"/>
                <w:b/>
                <w:bCs/>
              </w:rPr>
            </w:pPr>
            <w:r w:rsidRPr="00A95BB6">
              <w:rPr>
                <w:rFonts w:ascii="Arial" w:hAnsi="Arial" w:cs="Arial"/>
                <w:b/>
                <w:bCs/>
              </w:rPr>
              <w:t>Testing &amp; QA</w:t>
            </w:r>
          </w:p>
        </w:tc>
        <w:tc>
          <w:tcPr>
            <w:tcW w:w="7760" w:type="dxa"/>
          </w:tcPr>
          <w:p w14:paraId="055458D7" w14:textId="31776A44" w:rsidR="1F364EEA" w:rsidRPr="00A95BB6" w:rsidRDefault="1F364EEA" w:rsidP="1F364EEA">
            <w:pPr>
              <w:rPr>
                <w:rFonts w:ascii="Arial" w:hAnsi="Arial" w:cs="Arial"/>
              </w:rPr>
            </w:pPr>
            <w:r w:rsidRPr="00A95BB6">
              <w:rPr>
                <w:rFonts w:ascii="Arial" w:hAnsi="Arial" w:cs="Arial"/>
              </w:rPr>
              <w:t>UAT, Test Case Design, Defect Management, Traceability Matrices</w:t>
            </w:r>
          </w:p>
        </w:tc>
      </w:tr>
      <w:tr w:rsidR="1F364EEA" w:rsidRPr="00030242" w14:paraId="20A5D64F" w14:textId="77777777" w:rsidTr="00347D58">
        <w:trPr>
          <w:trHeight w:val="300"/>
        </w:trPr>
        <w:tc>
          <w:tcPr>
            <w:tcW w:w="3150" w:type="dxa"/>
          </w:tcPr>
          <w:p w14:paraId="604F74A7" w14:textId="37951A44" w:rsidR="1F364EEA" w:rsidRPr="00A95BB6" w:rsidRDefault="1F364EEA" w:rsidP="1F364EEA">
            <w:pPr>
              <w:rPr>
                <w:rFonts w:ascii="Arial" w:hAnsi="Arial" w:cs="Arial"/>
                <w:b/>
                <w:bCs/>
              </w:rPr>
            </w:pPr>
            <w:r w:rsidRPr="00A95BB6">
              <w:rPr>
                <w:rFonts w:ascii="Arial" w:hAnsi="Arial" w:cs="Arial"/>
                <w:b/>
                <w:bCs/>
              </w:rPr>
              <w:t>API &amp; Integration</w:t>
            </w:r>
          </w:p>
        </w:tc>
        <w:tc>
          <w:tcPr>
            <w:tcW w:w="7760" w:type="dxa"/>
          </w:tcPr>
          <w:p w14:paraId="6F37C80C" w14:textId="575BFB03" w:rsidR="1F364EEA" w:rsidRPr="00A95BB6" w:rsidRDefault="1F364EEA" w:rsidP="1F364EEA">
            <w:pPr>
              <w:rPr>
                <w:rFonts w:ascii="Arial" w:hAnsi="Arial" w:cs="Arial"/>
              </w:rPr>
            </w:pPr>
            <w:r w:rsidRPr="00A95BB6">
              <w:rPr>
                <w:rFonts w:ascii="Arial" w:hAnsi="Arial" w:cs="Arial"/>
              </w:rPr>
              <w:t>REST, SOAP, FIX, SWIFT, API Testing (Postman, Swagger, SoapUI)</w:t>
            </w:r>
          </w:p>
        </w:tc>
      </w:tr>
      <w:tr w:rsidR="1F364EEA" w:rsidRPr="00030242" w14:paraId="01C0170F" w14:textId="77777777" w:rsidTr="00347D58">
        <w:trPr>
          <w:trHeight w:val="300"/>
        </w:trPr>
        <w:tc>
          <w:tcPr>
            <w:tcW w:w="3150" w:type="dxa"/>
          </w:tcPr>
          <w:p w14:paraId="16E60D43" w14:textId="5CE00269" w:rsidR="1F364EEA" w:rsidRPr="00A95BB6" w:rsidRDefault="1F364EEA" w:rsidP="1F364EEA">
            <w:pPr>
              <w:rPr>
                <w:rFonts w:ascii="Arial" w:hAnsi="Arial" w:cs="Arial"/>
                <w:b/>
                <w:bCs/>
              </w:rPr>
            </w:pPr>
            <w:r w:rsidRPr="00A95BB6">
              <w:rPr>
                <w:rFonts w:ascii="Arial" w:hAnsi="Arial" w:cs="Arial"/>
                <w:b/>
                <w:bCs/>
              </w:rPr>
              <w:t>Reporting &amp; BI Tools</w:t>
            </w:r>
          </w:p>
        </w:tc>
        <w:tc>
          <w:tcPr>
            <w:tcW w:w="7760" w:type="dxa"/>
          </w:tcPr>
          <w:p w14:paraId="5C0958D7" w14:textId="41F5CB4F" w:rsidR="1F364EEA" w:rsidRPr="00A95BB6" w:rsidRDefault="1F364EEA" w:rsidP="1F364EEA">
            <w:pPr>
              <w:rPr>
                <w:rFonts w:ascii="Arial" w:hAnsi="Arial" w:cs="Arial"/>
              </w:rPr>
            </w:pPr>
            <w:r w:rsidRPr="00A95BB6">
              <w:rPr>
                <w:rFonts w:ascii="Arial" w:hAnsi="Arial" w:cs="Arial"/>
              </w:rPr>
              <w:t>Power BI, Tableau, Excel (Advanced), VBA</w:t>
            </w:r>
          </w:p>
        </w:tc>
      </w:tr>
      <w:tr w:rsidR="1F364EEA" w:rsidRPr="00030242" w14:paraId="59A89DF1" w14:textId="77777777" w:rsidTr="00347D58">
        <w:trPr>
          <w:trHeight w:val="300"/>
        </w:trPr>
        <w:tc>
          <w:tcPr>
            <w:tcW w:w="3150" w:type="dxa"/>
          </w:tcPr>
          <w:p w14:paraId="18253E21" w14:textId="5A9A7672" w:rsidR="1F364EEA" w:rsidRPr="00A95BB6" w:rsidRDefault="1F364EEA" w:rsidP="1F364EEA">
            <w:pPr>
              <w:rPr>
                <w:rFonts w:ascii="Arial" w:hAnsi="Arial" w:cs="Arial"/>
                <w:b/>
                <w:bCs/>
              </w:rPr>
            </w:pPr>
            <w:r w:rsidRPr="00A95BB6">
              <w:rPr>
                <w:rFonts w:ascii="Arial" w:hAnsi="Arial" w:cs="Arial"/>
                <w:b/>
                <w:bCs/>
              </w:rPr>
              <w:t>ETL &amp; Data Migration</w:t>
            </w:r>
          </w:p>
        </w:tc>
        <w:tc>
          <w:tcPr>
            <w:tcW w:w="7760" w:type="dxa"/>
          </w:tcPr>
          <w:p w14:paraId="48F8FD19" w14:textId="3DA4BBB8" w:rsidR="1F364EEA" w:rsidRPr="00A95BB6" w:rsidRDefault="1F364EEA" w:rsidP="1F364EEA">
            <w:pPr>
              <w:rPr>
                <w:rFonts w:ascii="Arial" w:hAnsi="Arial" w:cs="Arial"/>
              </w:rPr>
            </w:pPr>
            <w:r w:rsidRPr="00A95BB6">
              <w:rPr>
                <w:rFonts w:ascii="Arial" w:hAnsi="Arial" w:cs="Arial"/>
              </w:rPr>
              <w:t>ETL Workflows, Data Transformation, Data Loading</w:t>
            </w:r>
          </w:p>
        </w:tc>
      </w:tr>
      <w:tr w:rsidR="1F364EEA" w:rsidRPr="00030242" w14:paraId="53EFDE17" w14:textId="77777777" w:rsidTr="00347D58">
        <w:trPr>
          <w:trHeight w:val="300"/>
        </w:trPr>
        <w:tc>
          <w:tcPr>
            <w:tcW w:w="3150" w:type="dxa"/>
          </w:tcPr>
          <w:p w14:paraId="689FD806" w14:textId="4E6F2E41" w:rsidR="1F364EEA" w:rsidRPr="00A95BB6" w:rsidRDefault="1F364EEA" w:rsidP="1F364EEA">
            <w:pPr>
              <w:rPr>
                <w:rFonts w:ascii="Arial" w:hAnsi="Arial" w:cs="Arial"/>
                <w:b/>
                <w:bCs/>
              </w:rPr>
            </w:pPr>
            <w:r w:rsidRPr="00A95BB6">
              <w:rPr>
                <w:rFonts w:ascii="Arial" w:hAnsi="Arial" w:cs="Arial"/>
                <w:b/>
                <w:bCs/>
              </w:rPr>
              <w:t>Documentation</w:t>
            </w:r>
          </w:p>
        </w:tc>
        <w:tc>
          <w:tcPr>
            <w:tcW w:w="7760" w:type="dxa"/>
          </w:tcPr>
          <w:p w14:paraId="7AB14E0D" w14:textId="1AF0CD53" w:rsidR="1F364EEA" w:rsidRPr="00A95BB6" w:rsidRDefault="1F364EEA" w:rsidP="1F364EEA">
            <w:pPr>
              <w:rPr>
                <w:rFonts w:ascii="Arial" w:hAnsi="Arial" w:cs="Arial"/>
              </w:rPr>
            </w:pPr>
            <w:r w:rsidRPr="00A95BB6">
              <w:rPr>
                <w:rFonts w:ascii="Arial" w:hAnsi="Arial" w:cs="Arial"/>
              </w:rPr>
              <w:t>SOPs, User Manuals, Release Notes, Training Material</w:t>
            </w:r>
          </w:p>
        </w:tc>
      </w:tr>
      <w:tr w:rsidR="1F364EEA" w:rsidRPr="00030242" w14:paraId="43452F9D" w14:textId="77777777" w:rsidTr="00347D58">
        <w:trPr>
          <w:trHeight w:val="300"/>
        </w:trPr>
        <w:tc>
          <w:tcPr>
            <w:tcW w:w="3150" w:type="dxa"/>
          </w:tcPr>
          <w:p w14:paraId="0E7C5C6E" w14:textId="772D76FF" w:rsidR="1F364EEA" w:rsidRPr="00A95BB6" w:rsidRDefault="1F364EEA" w:rsidP="1F364EEA">
            <w:pPr>
              <w:rPr>
                <w:rFonts w:ascii="Arial" w:hAnsi="Arial" w:cs="Arial"/>
                <w:b/>
                <w:bCs/>
              </w:rPr>
            </w:pPr>
            <w:r w:rsidRPr="00A95BB6">
              <w:rPr>
                <w:rFonts w:ascii="Arial" w:hAnsi="Arial" w:cs="Arial"/>
                <w:b/>
                <w:bCs/>
              </w:rPr>
              <w:t>Security &amp; Audit</w:t>
            </w:r>
          </w:p>
        </w:tc>
        <w:tc>
          <w:tcPr>
            <w:tcW w:w="7760" w:type="dxa"/>
          </w:tcPr>
          <w:p w14:paraId="62C3B36A" w14:textId="466474DD" w:rsidR="1F364EEA" w:rsidRPr="00A95BB6" w:rsidRDefault="008F59B2" w:rsidP="1F364EEA">
            <w:pPr>
              <w:rPr>
                <w:rFonts w:ascii="Arial" w:hAnsi="Arial" w:cs="Arial"/>
              </w:rPr>
            </w:pPr>
            <w:r w:rsidRPr="00A95BB6">
              <w:rPr>
                <w:rFonts w:ascii="Arial" w:hAnsi="Arial" w:cs="Arial"/>
              </w:rPr>
              <w:t xml:space="preserve">Data Encryption, Masking, Tokenization, Access Controls, </w:t>
            </w:r>
            <w:r w:rsidR="1F364EEA" w:rsidRPr="00A95BB6">
              <w:rPr>
                <w:rFonts w:ascii="Arial" w:hAnsi="Arial" w:cs="Arial"/>
              </w:rPr>
              <w:t>Audit Logs, Risk Assessments</w:t>
            </w:r>
          </w:p>
        </w:tc>
      </w:tr>
      <w:tr w:rsidR="1F364EEA" w:rsidRPr="00030242" w14:paraId="162DC817" w14:textId="77777777" w:rsidTr="00347D58">
        <w:trPr>
          <w:trHeight w:val="300"/>
        </w:trPr>
        <w:tc>
          <w:tcPr>
            <w:tcW w:w="3150" w:type="dxa"/>
          </w:tcPr>
          <w:p w14:paraId="497F3C25" w14:textId="443F6CD2" w:rsidR="1F364EEA" w:rsidRPr="00A95BB6" w:rsidRDefault="1F364EEA" w:rsidP="1F364EEA">
            <w:pPr>
              <w:rPr>
                <w:rFonts w:ascii="Arial" w:hAnsi="Arial" w:cs="Arial"/>
                <w:b/>
                <w:bCs/>
              </w:rPr>
            </w:pPr>
            <w:r w:rsidRPr="00A95BB6">
              <w:rPr>
                <w:rFonts w:ascii="Arial" w:hAnsi="Arial" w:cs="Arial"/>
                <w:b/>
                <w:bCs/>
              </w:rPr>
              <w:t>Dev Tools &amp; Environments</w:t>
            </w:r>
          </w:p>
        </w:tc>
        <w:tc>
          <w:tcPr>
            <w:tcW w:w="7760" w:type="dxa"/>
          </w:tcPr>
          <w:p w14:paraId="67FD3B0A" w14:textId="4895B8EF" w:rsidR="1F364EEA" w:rsidRPr="00A95BB6" w:rsidRDefault="1F364EEA" w:rsidP="1F364EEA">
            <w:pPr>
              <w:rPr>
                <w:rFonts w:ascii="Arial" w:hAnsi="Arial" w:cs="Arial"/>
              </w:rPr>
            </w:pPr>
            <w:r w:rsidRPr="00A95BB6">
              <w:rPr>
                <w:rFonts w:ascii="Arial" w:hAnsi="Arial" w:cs="Arial"/>
              </w:rPr>
              <w:t>CI/CD Pipelines, Version Control,</w:t>
            </w:r>
            <w:r w:rsidR="008F59B2" w:rsidRPr="00A95BB6">
              <w:rPr>
                <w:rFonts w:ascii="Arial" w:hAnsi="Arial" w:cs="Arial"/>
              </w:rPr>
              <w:t xml:space="preserve"> HP ALM,</w:t>
            </w:r>
            <w:r w:rsidRPr="00A95BB6">
              <w:rPr>
                <w:rFonts w:ascii="Arial" w:hAnsi="Arial" w:cs="Arial"/>
              </w:rPr>
              <w:t xml:space="preserve"> Shell Scripts (basic)</w:t>
            </w:r>
          </w:p>
        </w:tc>
      </w:tr>
      <w:tr w:rsidR="1F364EEA" w:rsidRPr="00030242" w14:paraId="2DFBE4F1" w14:textId="77777777" w:rsidTr="00347D58">
        <w:trPr>
          <w:trHeight w:val="300"/>
        </w:trPr>
        <w:tc>
          <w:tcPr>
            <w:tcW w:w="3150" w:type="dxa"/>
          </w:tcPr>
          <w:p w14:paraId="3D189FF2" w14:textId="5E757971" w:rsidR="1F364EEA" w:rsidRPr="00A95BB6" w:rsidRDefault="1F364EEA" w:rsidP="1F364EEA">
            <w:pPr>
              <w:rPr>
                <w:rFonts w:ascii="Arial" w:hAnsi="Arial" w:cs="Arial"/>
                <w:b/>
                <w:bCs/>
              </w:rPr>
            </w:pPr>
            <w:r w:rsidRPr="00A95BB6">
              <w:rPr>
                <w:rFonts w:ascii="Arial" w:hAnsi="Arial" w:cs="Arial"/>
                <w:b/>
                <w:bCs/>
              </w:rPr>
              <w:t>User Support &amp; Training</w:t>
            </w:r>
          </w:p>
        </w:tc>
        <w:tc>
          <w:tcPr>
            <w:tcW w:w="7760" w:type="dxa"/>
          </w:tcPr>
          <w:p w14:paraId="32BB8692" w14:textId="14E207BE" w:rsidR="1F364EEA" w:rsidRPr="00A95BB6" w:rsidRDefault="1F364EEA" w:rsidP="1F364EEA">
            <w:pPr>
              <w:rPr>
                <w:rFonts w:ascii="Arial" w:hAnsi="Arial" w:cs="Arial"/>
              </w:rPr>
            </w:pPr>
            <w:r w:rsidRPr="00A95BB6">
              <w:rPr>
                <w:rFonts w:ascii="Arial" w:hAnsi="Arial" w:cs="Arial"/>
              </w:rPr>
              <w:t>End-user Training, Knowledge Base Creation, Rollout Support</w:t>
            </w:r>
          </w:p>
        </w:tc>
      </w:tr>
      <w:tr w:rsidR="1F364EEA" w:rsidRPr="00030242" w14:paraId="2831B128" w14:textId="77777777" w:rsidTr="00347D58">
        <w:trPr>
          <w:trHeight w:val="300"/>
        </w:trPr>
        <w:tc>
          <w:tcPr>
            <w:tcW w:w="3150" w:type="dxa"/>
          </w:tcPr>
          <w:p w14:paraId="70813B03" w14:textId="0593DFFF" w:rsidR="1F364EEA" w:rsidRPr="00A95BB6" w:rsidRDefault="1F364EEA" w:rsidP="1F364EEA">
            <w:pPr>
              <w:rPr>
                <w:rFonts w:ascii="Arial" w:hAnsi="Arial" w:cs="Arial"/>
                <w:b/>
                <w:bCs/>
              </w:rPr>
            </w:pPr>
            <w:r w:rsidRPr="00A95BB6">
              <w:rPr>
                <w:rFonts w:ascii="Arial" w:hAnsi="Arial" w:cs="Arial"/>
                <w:b/>
                <w:bCs/>
              </w:rPr>
              <w:t>Visualization Tools</w:t>
            </w:r>
          </w:p>
        </w:tc>
        <w:tc>
          <w:tcPr>
            <w:tcW w:w="7760" w:type="dxa"/>
          </w:tcPr>
          <w:p w14:paraId="2494984D" w14:textId="1AE659F0" w:rsidR="1F364EEA" w:rsidRPr="00A95BB6" w:rsidRDefault="1F364EEA" w:rsidP="1F364EEA">
            <w:pPr>
              <w:rPr>
                <w:rFonts w:ascii="Arial" w:hAnsi="Arial" w:cs="Arial"/>
              </w:rPr>
            </w:pPr>
            <w:r w:rsidRPr="00A95BB6">
              <w:rPr>
                <w:rFonts w:ascii="Arial" w:hAnsi="Arial" w:cs="Arial"/>
              </w:rPr>
              <w:t>Dashboard Design, KPI Reporting, Pivot Tables</w:t>
            </w:r>
          </w:p>
        </w:tc>
      </w:tr>
    </w:tbl>
    <w:p w14:paraId="6979F477" w14:textId="06A474F1" w:rsidR="007966AB" w:rsidRPr="007966AB" w:rsidRDefault="4613BA30" w:rsidP="007966AB">
      <w:pPr>
        <w:pStyle w:val="Heading1"/>
        <w:rPr>
          <w:rFonts w:ascii="Arial" w:eastAsiaTheme="minorEastAsia" w:hAnsi="Arial" w:cs="Arial"/>
          <w:bCs/>
          <w:color w:val="404040" w:themeColor="text1" w:themeTint="BF"/>
          <w:sz w:val="22"/>
          <w:szCs w:val="22"/>
          <w:u w:val="single"/>
        </w:rPr>
      </w:pPr>
      <w:r w:rsidRPr="000914F7">
        <w:rPr>
          <w:rFonts w:ascii="Arial" w:eastAsiaTheme="minorEastAsia" w:hAnsi="Arial" w:cs="Arial"/>
          <w:bCs/>
          <w:color w:val="404040" w:themeColor="text1" w:themeTint="BF"/>
          <w:sz w:val="22"/>
          <w:szCs w:val="22"/>
          <w:u w:val="single"/>
        </w:rPr>
        <w:t xml:space="preserve">Professional </w:t>
      </w:r>
      <w:r w:rsidR="00A428CA" w:rsidRPr="000914F7">
        <w:rPr>
          <w:rFonts w:ascii="Arial" w:eastAsiaTheme="minorEastAsia" w:hAnsi="Arial" w:cs="Arial"/>
          <w:bCs/>
          <w:color w:val="404040" w:themeColor="text1" w:themeTint="BF"/>
          <w:sz w:val="22"/>
          <w:szCs w:val="22"/>
          <w:u w:val="single"/>
        </w:rPr>
        <w:t>Experience</w:t>
      </w:r>
    </w:p>
    <w:p w14:paraId="398D834C" w14:textId="7B0443CC" w:rsidR="007632E4" w:rsidRPr="000914F7" w:rsidRDefault="035574C2"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Senior Business System Analyst</w:t>
      </w:r>
    </w:p>
    <w:p w14:paraId="71EFB57B" w14:textId="7120C4B7" w:rsidR="035574C2" w:rsidRPr="000914F7" w:rsidRDefault="54AEDF63"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BNY Mellon, New York, NY</w:t>
      </w:r>
      <w:r w:rsidR="0066464D" w:rsidRPr="000914F7">
        <w:rPr>
          <w:rFonts w:ascii="Arial" w:eastAsiaTheme="minorEastAsia" w:hAnsi="Arial" w:cs="Arial"/>
          <w:bCs/>
          <w:caps w:val="0"/>
          <w:color w:val="404040" w:themeColor="text1" w:themeTint="BF"/>
          <w:sz w:val="22"/>
          <w:szCs w:val="22"/>
        </w:rPr>
        <w:t xml:space="preserve"> </w:t>
      </w:r>
      <w:r w:rsidR="00A428CA" w:rsidRPr="000914F7">
        <w:rPr>
          <w:rFonts w:ascii="Arial" w:eastAsiaTheme="minorEastAsia" w:hAnsi="Arial" w:cs="Arial"/>
          <w:bCs/>
          <w:caps w:val="0"/>
          <w:color w:val="404040" w:themeColor="text1" w:themeTint="BF"/>
          <w:sz w:val="22"/>
          <w:szCs w:val="22"/>
        </w:rPr>
        <w:t xml:space="preserve">| </w:t>
      </w:r>
      <w:r w:rsidR="0EBFF8A6" w:rsidRPr="000914F7">
        <w:rPr>
          <w:rFonts w:ascii="Arial" w:eastAsiaTheme="minorEastAsia" w:hAnsi="Arial" w:cs="Arial"/>
          <w:bCs/>
          <w:caps w:val="0"/>
          <w:color w:val="404040" w:themeColor="text1" w:themeTint="BF"/>
          <w:sz w:val="22"/>
          <w:szCs w:val="22"/>
        </w:rPr>
        <w:t>September 2023 – Present</w:t>
      </w:r>
    </w:p>
    <w:p w14:paraId="0B48F330" w14:textId="6C1F495B" w:rsidR="4B15A4C9" w:rsidRPr="000914F7" w:rsidRDefault="008F59B2" w:rsidP="008F59B2">
      <w:pPr>
        <w:pStyle w:val="ListBullet"/>
        <w:numPr>
          <w:ilvl w:val="0"/>
          <w:numId w:val="0"/>
        </w:numPr>
        <w:ind w:left="216" w:hanging="216"/>
        <w:rPr>
          <w:rFonts w:ascii="Calibri" w:hAnsi="Calibri" w:cs="Calibri"/>
          <w:b/>
          <w:bCs/>
          <w:color w:val="000000" w:themeColor="text1"/>
          <w:sz w:val="18"/>
          <w:szCs w:val="18"/>
          <w:u w:val="single"/>
        </w:rPr>
      </w:pPr>
      <w:r w:rsidRPr="000914F7">
        <w:rPr>
          <w:rFonts w:ascii="Calibri" w:hAnsi="Calibri" w:cs="Calibri"/>
          <w:b/>
          <w:bCs/>
          <w:color w:val="000000" w:themeColor="text1"/>
          <w:sz w:val="18"/>
          <w:szCs w:val="18"/>
          <w:u w:val="single"/>
        </w:rPr>
        <w:t>Key</w:t>
      </w:r>
      <w:r w:rsidR="4B15A4C9" w:rsidRPr="000914F7">
        <w:rPr>
          <w:rFonts w:ascii="Calibri" w:hAnsi="Calibri" w:cs="Calibri"/>
          <w:b/>
          <w:bCs/>
          <w:color w:val="000000" w:themeColor="text1"/>
          <w:sz w:val="18"/>
          <w:szCs w:val="18"/>
          <w:u w:val="single"/>
        </w:rPr>
        <w:t xml:space="preserve"> Responsibilities</w:t>
      </w:r>
    </w:p>
    <w:p w14:paraId="1147757F" w14:textId="2FE01517" w:rsidR="00787FFA" w:rsidRPr="00A57254"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Collaborated with Custody and Corporate Actions teams to gather and document business requirements for income, dividend, and event processing workflows, ensuring operational accuracy and regulatory alignment.</w:t>
      </w:r>
    </w:p>
    <w:p w14:paraId="47BB5249" w14:textId="46C6C568" w:rsidR="00787FFA" w:rsidRPr="00A57254"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Designed data mapping specifications for reconciliation between internal custody systems and third-party clearinghouses (DTCC, SWIFT, and Bloomberg).</w:t>
      </w:r>
    </w:p>
    <w:p w14:paraId="47E50D3F" w14:textId="65C4C7A4" w:rsidR="00787FFA" w:rsidRPr="00A57254"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Supported implementation of ISO 20022 message migration, aligning corporate action events and settlement data with global SWIFT MX standards.</w:t>
      </w:r>
    </w:p>
    <w:p w14:paraId="029F3D62" w14:textId="2C381BDA" w:rsidR="00787FFA" w:rsidRPr="00A57254"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Worked closely with technology and operations to automate exception management workflows, reducing manual interventions.</w:t>
      </w:r>
    </w:p>
    <w:p w14:paraId="2690EF45" w14:textId="7AFBFB8E" w:rsidR="00787FFA" w:rsidRPr="00A57254"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Partnered with data engineering teams to establish data validation and audit trails using SQL queries and Power BI dashboards.</w:t>
      </w:r>
    </w:p>
    <w:p w14:paraId="0A2B93D9" w14:textId="6BC07B51" w:rsidR="001950FA"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 xml:space="preserve">Conducted impact analysis and UAT for Custody platform enhancements, ensuring compliance with SOX and Basel III reporting </w:t>
      </w:r>
      <w:proofErr w:type="spellStart"/>
      <w:proofErr w:type="gramStart"/>
      <w:r w:rsidRPr="00A57254">
        <w:rPr>
          <w:rFonts w:ascii="Arial" w:hAnsi="Arial" w:cs="Arial"/>
        </w:rPr>
        <w:t>standards.</w:t>
      </w:r>
      <w:r w:rsidR="001950FA" w:rsidRPr="00A57254">
        <w:rPr>
          <w:rFonts w:ascii="Arial" w:hAnsi="Arial" w:cs="Arial"/>
        </w:rPr>
        <w:t>Facilitated</w:t>
      </w:r>
      <w:proofErr w:type="spellEnd"/>
      <w:proofErr w:type="gramEnd"/>
      <w:r w:rsidR="001950FA" w:rsidRPr="00A57254">
        <w:rPr>
          <w:rFonts w:ascii="Arial" w:hAnsi="Arial" w:cs="Arial"/>
        </w:rPr>
        <w:t xml:space="preserve"> business process re-engineering sessions with SMEs to map current vs. future state models using BPMN standards.</w:t>
      </w:r>
    </w:p>
    <w:p w14:paraId="5247CA76" w14:textId="5247CEF8" w:rsidR="00582C02" w:rsidRPr="00A57254" w:rsidRDefault="00582C02" w:rsidP="00505C4C">
      <w:pPr>
        <w:pStyle w:val="ListParagraph"/>
        <w:numPr>
          <w:ilvl w:val="0"/>
          <w:numId w:val="1"/>
        </w:numPr>
        <w:spacing w:before="240"/>
        <w:ind w:left="450" w:hanging="450"/>
        <w:jc w:val="both"/>
        <w:rPr>
          <w:rFonts w:ascii="Arial" w:hAnsi="Arial" w:cs="Arial"/>
        </w:rPr>
      </w:pPr>
      <w:r w:rsidRPr="00582C02">
        <w:rPr>
          <w:rFonts w:ascii="Arial" w:hAnsi="Arial" w:cs="Arial"/>
        </w:rPr>
        <w:t>Collaborated with data architecture and operations teams to implement ISO 20022 message standards, ensuring seamless corporate-action data exchange across global custody systems.</w:t>
      </w:r>
    </w:p>
    <w:p w14:paraId="41859FBF" w14:textId="75499E45" w:rsidR="00787FFA" w:rsidRPr="00A57254"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Facilitated end-to-end testing for key releases and provided traceability between business requirements, functional design, and test cases in JIRA and Confluence.</w:t>
      </w:r>
    </w:p>
    <w:p w14:paraId="5AAB6BC4" w14:textId="7DA251F8" w:rsidR="00787FFA" w:rsidRPr="00582C02" w:rsidRDefault="00787FFA" w:rsidP="00505C4C">
      <w:pPr>
        <w:pStyle w:val="ListParagraph"/>
        <w:numPr>
          <w:ilvl w:val="0"/>
          <w:numId w:val="1"/>
        </w:numPr>
        <w:spacing w:before="240"/>
        <w:ind w:left="450" w:hanging="450"/>
        <w:jc w:val="both"/>
        <w:rPr>
          <w:rFonts w:ascii="Arial" w:hAnsi="Arial" w:cs="Arial"/>
        </w:rPr>
      </w:pPr>
      <w:r w:rsidRPr="00582C02">
        <w:rPr>
          <w:rFonts w:ascii="Arial" w:hAnsi="Arial" w:cs="Arial"/>
        </w:rPr>
        <w:t>Developed process documentation (BRD, FRD, data dictionaries) and maintained detailed version control to support internal audits and compliance checks.</w:t>
      </w:r>
    </w:p>
    <w:p w14:paraId="572F878F" w14:textId="15837EC0" w:rsidR="00582C02" w:rsidRPr="00582C02" w:rsidRDefault="00582C02" w:rsidP="00505C4C">
      <w:pPr>
        <w:pStyle w:val="ListParagraph"/>
        <w:numPr>
          <w:ilvl w:val="0"/>
          <w:numId w:val="1"/>
        </w:numPr>
        <w:spacing w:before="240"/>
        <w:ind w:left="450" w:hanging="450"/>
        <w:jc w:val="both"/>
        <w:rPr>
          <w:rFonts w:ascii="Arial" w:hAnsi="Arial" w:cs="Arial"/>
        </w:rPr>
      </w:pPr>
      <w:r w:rsidRPr="00582C02">
        <w:rPr>
          <w:rFonts w:ascii="Arial" w:hAnsi="Arial" w:cs="Arial"/>
        </w:rPr>
        <w:t>Designed and validated reconciliation dashboards to monitor asset movements and entitlement discrepancies in real time, reducing exception backlog.</w:t>
      </w:r>
    </w:p>
    <w:p w14:paraId="546AED65" w14:textId="53CF3504" w:rsidR="00787FFA" w:rsidRPr="00582C02" w:rsidRDefault="00787FFA" w:rsidP="00505C4C">
      <w:pPr>
        <w:pStyle w:val="ListParagraph"/>
        <w:numPr>
          <w:ilvl w:val="0"/>
          <w:numId w:val="1"/>
        </w:numPr>
        <w:spacing w:before="240"/>
        <w:ind w:left="450" w:hanging="450"/>
        <w:jc w:val="both"/>
        <w:rPr>
          <w:rFonts w:ascii="Arial" w:hAnsi="Arial" w:cs="Arial"/>
        </w:rPr>
      </w:pPr>
      <w:r w:rsidRPr="00582C02">
        <w:rPr>
          <w:rFonts w:ascii="Arial" w:hAnsi="Arial" w:cs="Arial"/>
        </w:rPr>
        <w:t>Participated in daily Agile ceremonies (standups, retrospectives, sprint planning) to synchronize project timelines with development and QA teams.</w:t>
      </w:r>
    </w:p>
    <w:p w14:paraId="2AA3316C" w14:textId="387C296C" w:rsidR="00787FFA" w:rsidRPr="00582C02" w:rsidRDefault="00787FFA" w:rsidP="00505C4C">
      <w:pPr>
        <w:pStyle w:val="ListParagraph"/>
        <w:numPr>
          <w:ilvl w:val="0"/>
          <w:numId w:val="1"/>
        </w:numPr>
        <w:spacing w:before="240"/>
        <w:ind w:left="450" w:hanging="450"/>
        <w:jc w:val="both"/>
        <w:rPr>
          <w:rFonts w:ascii="Arial" w:hAnsi="Arial" w:cs="Arial"/>
        </w:rPr>
      </w:pPr>
      <w:r w:rsidRPr="00582C02">
        <w:rPr>
          <w:rFonts w:ascii="Arial" w:hAnsi="Arial" w:cs="Arial"/>
        </w:rPr>
        <w:t>Coordinated with upstream/downstream teams to manage data feeds, reconciliations, and settlement confirmations, improving straight-through processing (STP) efficiency</w:t>
      </w:r>
    </w:p>
    <w:p w14:paraId="43A5DD99" w14:textId="33EFBF21" w:rsidR="00787FFA" w:rsidRPr="00582C02" w:rsidRDefault="00787FFA" w:rsidP="00505C4C">
      <w:pPr>
        <w:pStyle w:val="ListParagraph"/>
        <w:numPr>
          <w:ilvl w:val="0"/>
          <w:numId w:val="1"/>
        </w:numPr>
        <w:spacing w:before="240"/>
        <w:ind w:left="450" w:hanging="450"/>
        <w:jc w:val="both"/>
        <w:rPr>
          <w:rFonts w:ascii="Arial" w:hAnsi="Arial" w:cs="Arial"/>
        </w:rPr>
      </w:pPr>
      <w:r w:rsidRPr="00582C02">
        <w:rPr>
          <w:rFonts w:ascii="Arial" w:hAnsi="Arial" w:cs="Arial"/>
        </w:rPr>
        <w:t>Delivered interactive Power BI reports for exception trend analysis, giving management visibility into trade failures and operational SLAs.</w:t>
      </w:r>
    </w:p>
    <w:p w14:paraId="0F84144E" w14:textId="7AED5351" w:rsidR="00582C02" w:rsidRPr="00A57254" w:rsidRDefault="00582C02" w:rsidP="00505C4C">
      <w:pPr>
        <w:pStyle w:val="ListParagraph"/>
        <w:numPr>
          <w:ilvl w:val="0"/>
          <w:numId w:val="1"/>
        </w:numPr>
        <w:spacing w:before="240"/>
        <w:ind w:left="450" w:hanging="450"/>
        <w:jc w:val="both"/>
        <w:rPr>
          <w:rFonts w:ascii="Arial" w:hAnsi="Arial" w:cs="Arial"/>
        </w:rPr>
      </w:pPr>
      <w:r w:rsidRPr="00582C02">
        <w:rPr>
          <w:rFonts w:ascii="Arial" w:hAnsi="Arial" w:cs="Arial"/>
        </w:rPr>
        <w:t>Supported regulatory filings and audit reviews by developing traceable data-lineage documentation for transaction and income-processing flows.</w:t>
      </w:r>
    </w:p>
    <w:p w14:paraId="26C80E39" w14:textId="3B37CED6" w:rsidR="001950FA" w:rsidRPr="00A57254" w:rsidRDefault="00787FFA" w:rsidP="00505C4C">
      <w:pPr>
        <w:pStyle w:val="ListParagraph"/>
        <w:numPr>
          <w:ilvl w:val="0"/>
          <w:numId w:val="1"/>
        </w:numPr>
        <w:spacing w:before="240"/>
        <w:ind w:left="450" w:hanging="450"/>
        <w:jc w:val="both"/>
        <w:rPr>
          <w:rFonts w:ascii="Arial" w:hAnsi="Arial" w:cs="Arial"/>
        </w:rPr>
      </w:pPr>
      <w:r w:rsidRPr="00A57254">
        <w:rPr>
          <w:rFonts w:ascii="Arial" w:hAnsi="Arial" w:cs="Arial"/>
        </w:rPr>
        <w:t xml:space="preserve">Contributed to production support and defect triage post-release, collaborating with global teams to ensure seamless transition and platform stability. </w:t>
      </w:r>
      <w:r w:rsidR="001950FA" w:rsidRPr="00A57254">
        <w:rPr>
          <w:rFonts w:ascii="Arial" w:hAnsi="Arial" w:cs="Arial"/>
        </w:rPr>
        <w:t>Coordinated vendor evaluation efforts, leading Proof-of-Concept (PoC) assessments for third-party entitlements processing tools.</w:t>
      </w:r>
    </w:p>
    <w:p w14:paraId="63D65F45" w14:textId="77777777" w:rsidR="001950FA" w:rsidRPr="00A57254" w:rsidRDefault="001950FA" w:rsidP="00505C4C">
      <w:pPr>
        <w:pStyle w:val="ListParagraph"/>
        <w:numPr>
          <w:ilvl w:val="0"/>
          <w:numId w:val="1"/>
        </w:numPr>
        <w:spacing w:before="240"/>
        <w:ind w:left="450" w:hanging="450"/>
        <w:jc w:val="both"/>
        <w:rPr>
          <w:rFonts w:ascii="Arial" w:hAnsi="Arial" w:cs="Arial"/>
        </w:rPr>
      </w:pPr>
      <w:r w:rsidRPr="00A57254">
        <w:rPr>
          <w:rFonts w:ascii="Arial" w:hAnsi="Arial" w:cs="Arial"/>
        </w:rPr>
        <w:t>Documented Standard Operating Procedures (SOPs) and conducted role-based training for the Corporate Actions Support team.</w:t>
      </w:r>
    </w:p>
    <w:p w14:paraId="3211CD9B" w14:textId="77777777" w:rsidR="001950FA" w:rsidRPr="00A57254" w:rsidRDefault="001950FA" w:rsidP="00505C4C">
      <w:pPr>
        <w:pStyle w:val="ListParagraph"/>
        <w:numPr>
          <w:ilvl w:val="0"/>
          <w:numId w:val="1"/>
        </w:numPr>
        <w:spacing w:before="240"/>
        <w:ind w:left="450" w:hanging="450"/>
        <w:jc w:val="both"/>
        <w:rPr>
          <w:rFonts w:ascii="Arial" w:hAnsi="Arial" w:cs="Arial"/>
        </w:rPr>
      </w:pPr>
      <w:r w:rsidRPr="00A57254">
        <w:rPr>
          <w:rFonts w:ascii="Arial" w:hAnsi="Arial" w:cs="Arial"/>
        </w:rPr>
        <w:lastRenderedPageBreak/>
        <w:t>Worked with the Cybersecurity team to enforce data masking, encryption policies, and tokenization of sensitive attributes in transit and at rest.</w:t>
      </w:r>
    </w:p>
    <w:p w14:paraId="66EF0696" w14:textId="419A27C2" w:rsidR="007966AB" w:rsidRDefault="001950FA" w:rsidP="007966AB">
      <w:pPr>
        <w:pStyle w:val="ListParagraph"/>
        <w:numPr>
          <w:ilvl w:val="0"/>
          <w:numId w:val="1"/>
        </w:numPr>
        <w:spacing w:before="240"/>
        <w:ind w:left="450" w:hanging="450"/>
        <w:jc w:val="both"/>
        <w:rPr>
          <w:rFonts w:ascii="Arial" w:hAnsi="Arial" w:cs="Arial"/>
        </w:rPr>
      </w:pPr>
      <w:r w:rsidRPr="00A57254">
        <w:rPr>
          <w:rFonts w:ascii="Arial" w:hAnsi="Arial" w:cs="Arial"/>
        </w:rPr>
        <w:t>Delivered change impact assessments for quarterly release cycles, ensuring no regression in upstream or downstream integrations.</w:t>
      </w:r>
    </w:p>
    <w:p w14:paraId="51F41C69" w14:textId="77777777" w:rsidR="007966AB" w:rsidRPr="007966AB" w:rsidRDefault="007966AB" w:rsidP="007966AB">
      <w:pPr>
        <w:pStyle w:val="ListParagraph"/>
        <w:spacing w:before="240"/>
        <w:ind w:left="450"/>
        <w:jc w:val="both"/>
        <w:rPr>
          <w:rFonts w:ascii="Arial" w:hAnsi="Arial" w:cs="Arial"/>
        </w:rPr>
      </w:pPr>
    </w:p>
    <w:p w14:paraId="2DD27D47" w14:textId="4C4C04CD" w:rsidR="007632E4" w:rsidRPr="000914F7" w:rsidRDefault="4B15A4C9"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 xml:space="preserve">Business System Analyst </w:t>
      </w:r>
    </w:p>
    <w:p w14:paraId="088FF1D8" w14:textId="1047A35E" w:rsidR="4B15A4C9" w:rsidRPr="000914F7" w:rsidRDefault="4B15A4C9"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Jefferies, New York City, New York | FEB 2022- JUNE 2023</w:t>
      </w:r>
    </w:p>
    <w:p w14:paraId="36D6DF59" w14:textId="77777777" w:rsidR="008F59B2" w:rsidRPr="000914F7" w:rsidRDefault="008F59B2" w:rsidP="008F59B2">
      <w:pPr>
        <w:pStyle w:val="ListBullet"/>
        <w:numPr>
          <w:ilvl w:val="0"/>
          <w:numId w:val="0"/>
        </w:numPr>
        <w:ind w:left="216" w:hanging="216"/>
        <w:rPr>
          <w:rFonts w:ascii="Calibri" w:hAnsi="Calibri" w:cs="Calibri"/>
          <w:b/>
          <w:bCs/>
          <w:color w:val="000000" w:themeColor="text1"/>
          <w:sz w:val="18"/>
          <w:szCs w:val="18"/>
          <w:u w:val="single"/>
        </w:rPr>
      </w:pPr>
      <w:r w:rsidRPr="000914F7">
        <w:rPr>
          <w:rFonts w:ascii="Calibri" w:hAnsi="Calibri" w:cs="Calibri"/>
          <w:b/>
          <w:bCs/>
          <w:color w:val="000000" w:themeColor="text1"/>
          <w:sz w:val="18"/>
          <w:szCs w:val="18"/>
          <w:u w:val="single"/>
        </w:rPr>
        <w:t>Key Responsibilities</w:t>
      </w:r>
    </w:p>
    <w:p w14:paraId="1FD29B40" w14:textId="78BFC222"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Partnered with Front Office, Risk, and Middle Office teams to define business requirements for trade capture, pricing validation, and downstream risk aggregation systems.</w:t>
      </w:r>
    </w:p>
    <w:p w14:paraId="6D9ABB37" w14:textId="1FFFB7D3"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Documented end-to-end trade lifecycle (Order → Execution → Allocation → Settlement) processes to ensure data accuracy across OMS, risk, and accounting platforms.</w:t>
      </w:r>
    </w:p>
    <w:p w14:paraId="640D2C6E" w14:textId="303BD958"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Enhanced Value at Risk (</w:t>
      </w:r>
      <w:proofErr w:type="spellStart"/>
      <w:r w:rsidRPr="00C50B00">
        <w:rPr>
          <w:rFonts w:ascii="Arial" w:hAnsi="Arial" w:cs="Arial"/>
        </w:rPr>
        <w:t>VaR</w:t>
      </w:r>
      <w:proofErr w:type="spellEnd"/>
      <w:r w:rsidRPr="00C50B00">
        <w:rPr>
          <w:rFonts w:ascii="Arial" w:hAnsi="Arial" w:cs="Arial"/>
        </w:rPr>
        <w:t xml:space="preserve">) and </w:t>
      </w:r>
      <w:proofErr w:type="spellStart"/>
      <w:r w:rsidRPr="00C50B00">
        <w:rPr>
          <w:rFonts w:ascii="Arial" w:hAnsi="Arial" w:cs="Arial"/>
        </w:rPr>
        <w:t>PnL</w:t>
      </w:r>
      <w:proofErr w:type="spellEnd"/>
      <w:r w:rsidRPr="00C50B00">
        <w:rPr>
          <w:rFonts w:ascii="Arial" w:hAnsi="Arial" w:cs="Arial"/>
        </w:rPr>
        <w:t xml:space="preserve"> reporting dashboards, improving data refresh rates and reconciliation accuracy across asset classes.</w:t>
      </w:r>
    </w:p>
    <w:p w14:paraId="2F723889" w14:textId="77777777" w:rsidR="00582C02" w:rsidRDefault="00C50B00" w:rsidP="00582C02">
      <w:pPr>
        <w:pStyle w:val="ListParagraph"/>
        <w:numPr>
          <w:ilvl w:val="0"/>
          <w:numId w:val="1"/>
        </w:numPr>
        <w:spacing w:before="240"/>
        <w:ind w:left="450" w:hanging="450"/>
        <w:jc w:val="both"/>
        <w:rPr>
          <w:rFonts w:ascii="Arial" w:hAnsi="Arial" w:cs="Arial"/>
        </w:rPr>
      </w:pPr>
      <w:r w:rsidRPr="00C50B00">
        <w:rPr>
          <w:rFonts w:ascii="Arial" w:hAnsi="Arial" w:cs="Arial"/>
        </w:rPr>
        <w:t>Collaborated with Data Engineering teams to design data mapping and transformation logic between upstream OMS and enterprise data warehouses using SQL and Python.</w:t>
      </w:r>
    </w:p>
    <w:p w14:paraId="6B6515A7" w14:textId="77777777" w:rsidR="00582C02" w:rsidRDefault="00582C02" w:rsidP="00582C02">
      <w:pPr>
        <w:pStyle w:val="ListParagraph"/>
        <w:numPr>
          <w:ilvl w:val="0"/>
          <w:numId w:val="1"/>
        </w:numPr>
        <w:spacing w:before="240"/>
        <w:ind w:left="450" w:hanging="450"/>
        <w:jc w:val="both"/>
        <w:rPr>
          <w:rFonts w:ascii="Arial" w:hAnsi="Arial" w:cs="Arial"/>
        </w:rPr>
      </w:pPr>
      <w:r w:rsidRPr="00582C02">
        <w:rPr>
          <w:rFonts w:ascii="Arial" w:hAnsi="Arial" w:cs="Arial"/>
        </w:rPr>
        <w:t xml:space="preserve">Partnered with market-risk quants to validate pricing models and exposure calculations against benchmark data, improving </w:t>
      </w:r>
      <w:proofErr w:type="spellStart"/>
      <w:r w:rsidRPr="00582C02">
        <w:rPr>
          <w:rFonts w:ascii="Arial" w:hAnsi="Arial" w:cs="Arial"/>
        </w:rPr>
        <w:t>VaR</w:t>
      </w:r>
      <w:proofErr w:type="spellEnd"/>
      <w:r w:rsidRPr="00582C02">
        <w:rPr>
          <w:rFonts w:ascii="Arial" w:hAnsi="Arial" w:cs="Arial"/>
        </w:rPr>
        <w:t xml:space="preserve"> accuracy and governance</w:t>
      </w:r>
      <w:r>
        <w:rPr>
          <w:rFonts w:ascii="Arial" w:hAnsi="Arial" w:cs="Arial"/>
        </w:rPr>
        <w:t>.</w:t>
      </w:r>
    </w:p>
    <w:p w14:paraId="53A6B4AC" w14:textId="77777777" w:rsidR="00582C02" w:rsidRDefault="00582C02" w:rsidP="00582C02">
      <w:pPr>
        <w:pStyle w:val="ListParagraph"/>
        <w:numPr>
          <w:ilvl w:val="0"/>
          <w:numId w:val="1"/>
        </w:numPr>
        <w:spacing w:before="240"/>
        <w:ind w:left="450" w:hanging="450"/>
        <w:jc w:val="both"/>
        <w:rPr>
          <w:rFonts w:ascii="Arial" w:hAnsi="Arial" w:cs="Arial"/>
        </w:rPr>
      </w:pPr>
      <w:r w:rsidRPr="00582C02">
        <w:rPr>
          <w:rFonts w:ascii="Arial" w:hAnsi="Arial" w:cs="Arial"/>
        </w:rPr>
        <w:t>Coordinated with Change-the-Bank (CTB) teams to migrate static-data sources to the new data-lake architecture, ensuring consistent instrument reference data.</w:t>
      </w:r>
    </w:p>
    <w:p w14:paraId="5B186802" w14:textId="3B374D8C" w:rsidR="00582C02" w:rsidRPr="00582C02" w:rsidRDefault="00582C02" w:rsidP="00582C02">
      <w:pPr>
        <w:pStyle w:val="ListParagraph"/>
        <w:numPr>
          <w:ilvl w:val="0"/>
          <w:numId w:val="1"/>
        </w:numPr>
        <w:spacing w:before="240"/>
        <w:ind w:left="450" w:hanging="450"/>
        <w:jc w:val="both"/>
        <w:rPr>
          <w:rFonts w:ascii="Arial" w:hAnsi="Arial" w:cs="Arial"/>
        </w:rPr>
      </w:pPr>
      <w:r w:rsidRPr="00582C02">
        <w:rPr>
          <w:rFonts w:ascii="Arial" w:hAnsi="Arial" w:cs="Arial"/>
        </w:rPr>
        <w:t>Developed automated control reports in SQL and Power BI to track breaks between front-office and finance systems, improving reconciliation turnaround.</w:t>
      </w:r>
    </w:p>
    <w:p w14:paraId="70DC76BD" w14:textId="42AE64F6"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Supported Basel III and CCAR regulatory initiatives by validating capital exposure and liquidity metrics across derivatives and fixed income portfolios.</w:t>
      </w:r>
    </w:p>
    <w:p w14:paraId="54C41D61" w14:textId="3764164C"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Designed and executed UAT test cases for trade enrichment, position reconciliation, and exposure calculations using JIRA and Confluence.</w:t>
      </w:r>
    </w:p>
    <w:p w14:paraId="02A801A9" w14:textId="15B845CB"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Facilitated integration testing with Bloomberg and Reuters feeds, ensuring accurate pricing and consistent market data ingestion.</w:t>
      </w:r>
    </w:p>
    <w:p w14:paraId="025467B2" w14:textId="595A2A9A"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Built and automated risk and exposure reports using Power BI and SQL-driven data models, reducing manual reporting efforts.</w:t>
      </w:r>
    </w:p>
    <w:p w14:paraId="3A807DC3" w14:textId="696BE4C7" w:rsidR="00582C02" w:rsidRPr="00582C02" w:rsidRDefault="00C50B00" w:rsidP="00582C02">
      <w:pPr>
        <w:pStyle w:val="ListParagraph"/>
        <w:numPr>
          <w:ilvl w:val="0"/>
          <w:numId w:val="1"/>
        </w:numPr>
        <w:spacing w:before="240"/>
        <w:ind w:left="450" w:hanging="450"/>
        <w:jc w:val="both"/>
        <w:rPr>
          <w:rFonts w:ascii="Arial" w:hAnsi="Arial" w:cs="Arial"/>
        </w:rPr>
      </w:pPr>
      <w:r w:rsidRPr="00C50B00">
        <w:rPr>
          <w:rFonts w:ascii="Arial" w:hAnsi="Arial" w:cs="Arial"/>
        </w:rPr>
        <w:t>Partnered with DevOps and QA teams to streamline release management and CI/CD validation for trading application upgrades.</w:t>
      </w:r>
    </w:p>
    <w:p w14:paraId="4E3AC963" w14:textId="5C2478D4"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Provided real-time exception and break analysis during post-trade processing, improving Straight-Through Processing (STP) rates and reducing manual effort.</w:t>
      </w:r>
    </w:p>
    <w:p w14:paraId="404CABAA" w14:textId="7E3C35A7"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Liaised with Risk Technology, Finance, and Compliance teams to ensure regulatory adherence and data consistency across trade reporting systems.</w:t>
      </w:r>
    </w:p>
    <w:p w14:paraId="58626449" w14:textId="66E3434C"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Conducted gap analysis between legacy and target-state architectures for migration of trade capture platforms.</w:t>
      </w:r>
    </w:p>
    <w:p w14:paraId="51AE21F4" w14:textId="3799AFB9"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Led data quality and reconciliation workshops, identifying root causes of mismatched positions and enhancing master data management controls.</w:t>
      </w:r>
    </w:p>
    <w:p w14:paraId="369F61FA" w14:textId="1DF72261" w:rsidR="00C50B00" w:rsidRPr="00C50B00" w:rsidRDefault="00C50B00" w:rsidP="00C50B00">
      <w:pPr>
        <w:pStyle w:val="ListParagraph"/>
        <w:numPr>
          <w:ilvl w:val="0"/>
          <w:numId w:val="1"/>
        </w:numPr>
        <w:spacing w:before="240"/>
        <w:ind w:left="450" w:hanging="450"/>
        <w:jc w:val="both"/>
        <w:rPr>
          <w:rFonts w:ascii="Arial" w:hAnsi="Arial" w:cs="Arial"/>
        </w:rPr>
      </w:pPr>
      <w:r w:rsidRPr="00C50B00">
        <w:rPr>
          <w:rFonts w:ascii="Arial" w:hAnsi="Arial" w:cs="Arial"/>
        </w:rPr>
        <w:t>Delivered regulatory audit documentation and end-user training, ensuring operational readiness and audit compliance across regional teams.</w:t>
      </w:r>
    </w:p>
    <w:p w14:paraId="5E168035" w14:textId="77777777" w:rsidR="00C50B00" w:rsidRDefault="00C50B00" w:rsidP="1F364EEA">
      <w:pPr>
        <w:pStyle w:val="Heading2"/>
        <w:rPr>
          <w:rFonts w:ascii="Arial" w:eastAsiaTheme="minorEastAsia" w:hAnsi="Arial" w:cs="Arial"/>
          <w:bCs/>
          <w:caps w:val="0"/>
          <w:color w:val="404040" w:themeColor="text1" w:themeTint="BF"/>
          <w:sz w:val="22"/>
          <w:szCs w:val="22"/>
        </w:rPr>
      </w:pPr>
    </w:p>
    <w:p w14:paraId="57C11F4C" w14:textId="1B7E79E1" w:rsidR="007632E4" w:rsidRPr="000914F7" w:rsidRDefault="07B2A121"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Business Analyst</w:t>
      </w:r>
      <w:r w:rsidR="007632E4" w:rsidRPr="000914F7">
        <w:rPr>
          <w:rFonts w:ascii="Arial" w:eastAsiaTheme="minorEastAsia" w:hAnsi="Arial" w:cs="Arial"/>
          <w:bCs/>
          <w:caps w:val="0"/>
          <w:color w:val="404040" w:themeColor="text1" w:themeTint="BF"/>
          <w:sz w:val="22"/>
          <w:szCs w:val="22"/>
        </w:rPr>
        <w:t xml:space="preserve"> </w:t>
      </w:r>
    </w:p>
    <w:p w14:paraId="4C39CB0D" w14:textId="24F14A6E" w:rsidR="07B2A121" w:rsidRPr="000914F7" w:rsidRDefault="07B2A121"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Bank of America, Charlotte, NC | JAN 2020 – NOV 2021</w:t>
      </w:r>
    </w:p>
    <w:p w14:paraId="380E58A5" w14:textId="2497A641" w:rsidR="07B2A121" w:rsidRPr="000914F7" w:rsidRDefault="008F59B2" w:rsidP="008F59B2">
      <w:pPr>
        <w:pStyle w:val="ListBullet"/>
        <w:numPr>
          <w:ilvl w:val="0"/>
          <w:numId w:val="0"/>
        </w:numPr>
        <w:ind w:left="216" w:hanging="216"/>
        <w:rPr>
          <w:rFonts w:ascii="Calibri" w:hAnsi="Calibri" w:cs="Calibri"/>
          <w:b/>
          <w:bCs/>
          <w:color w:val="000000" w:themeColor="text1"/>
          <w:sz w:val="18"/>
          <w:szCs w:val="18"/>
          <w:u w:val="single"/>
        </w:rPr>
      </w:pPr>
      <w:r w:rsidRPr="000914F7">
        <w:rPr>
          <w:rFonts w:ascii="Calibri" w:hAnsi="Calibri" w:cs="Calibri"/>
          <w:b/>
          <w:bCs/>
          <w:color w:val="000000" w:themeColor="text1"/>
          <w:sz w:val="18"/>
          <w:szCs w:val="18"/>
          <w:u w:val="single"/>
        </w:rPr>
        <w:t>Key Responsibilities</w:t>
      </w:r>
    </w:p>
    <w:p w14:paraId="265EE4BF" w14:textId="24C0A041"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Partnered with mortgage servicing, underwriting, and compliance teams to gather and document requirements for loan origination, payment processing, and delinquency management workflows.</w:t>
      </w:r>
    </w:p>
    <w:p w14:paraId="217A3DDE" w14:textId="4B5F5A33"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Analyzed end-to-end mortgage lifecycle processes to identify automation opportunities, streamline compliance, and reduce manual dependencies.</w:t>
      </w:r>
    </w:p>
    <w:p w14:paraId="69A43640" w14:textId="46210363"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lastRenderedPageBreak/>
        <w:t>Designed functional specifications (BRD, FRD) for automating payment exceptions and escrow reconciliations, improving operational accuracy and audit traceability.</w:t>
      </w:r>
    </w:p>
    <w:p w14:paraId="5BC235D3" w14:textId="47F4E033"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Collaborated with developers to integrate servicing platforms with Salesforce CRM and document management systems, enhancing borrower visibility and data integrity.</w:t>
      </w:r>
    </w:p>
    <w:p w14:paraId="4497D42A" w14:textId="3A620F41" w:rsidR="00347D58" w:rsidRPr="00582C02" w:rsidRDefault="00347D58" w:rsidP="007966AB">
      <w:pPr>
        <w:pStyle w:val="ListParagraph"/>
        <w:numPr>
          <w:ilvl w:val="0"/>
          <w:numId w:val="1"/>
        </w:numPr>
        <w:spacing w:before="240"/>
        <w:ind w:left="450" w:hanging="450"/>
        <w:jc w:val="both"/>
        <w:rPr>
          <w:rFonts w:ascii="Arial" w:hAnsi="Arial" w:cs="Arial"/>
        </w:rPr>
      </w:pPr>
      <w:r w:rsidRPr="00582C02">
        <w:rPr>
          <w:rFonts w:ascii="Arial" w:hAnsi="Arial" w:cs="Arial"/>
        </w:rPr>
        <w:t>Developed and executed SQL-based validation scripts to ensure data accuracy and compliance with FHA, CFPB, and Fannie Mae guidelines.</w:t>
      </w:r>
    </w:p>
    <w:p w14:paraId="5EF00CD9" w14:textId="66D63233" w:rsidR="00582C02" w:rsidRPr="00582C02" w:rsidRDefault="00582C02" w:rsidP="007966AB">
      <w:pPr>
        <w:pStyle w:val="ListParagraph"/>
        <w:numPr>
          <w:ilvl w:val="0"/>
          <w:numId w:val="1"/>
        </w:numPr>
        <w:spacing w:before="240"/>
        <w:ind w:left="450" w:hanging="450"/>
        <w:jc w:val="both"/>
        <w:rPr>
          <w:rFonts w:ascii="Arial" w:hAnsi="Arial" w:cs="Arial"/>
        </w:rPr>
      </w:pPr>
      <w:r w:rsidRPr="00582C02">
        <w:rPr>
          <w:rFonts w:ascii="Arial" w:hAnsi="Arial" w:cs="Arial"/>
        </w:rPr>
        <w:t>Engaged with product owners and servicing leads to define KPIs for mortgage process efficiency, feeding into monthly performance scorecards.</w:t>
      </w:r>
    </w:p>
    <w:p w14:paraId="0FB33A69" w14:textId="780AAE89" w:rsidR="00347D58" w:rsidRPr="00347D58" w:rsidRDefault="00347D58" w:rsidP="007966AB">
      <w:pPr>
        <w:pStyle w:val="ListParagraph"/>
        <w:numPr>
          <w:ilvl w:val="0"/>
          <w:numId w:val="1"/>
        </w:numPr>
        <w:spacing w:before="240"/>
        <w:ind w:left="450" w:hanging="450"/>
        <w:jc w:val="both"/>
        <w:rPr>
          <w:rFonts w:ascii="Arial" w:hAnsi="Arial" w:cs="Arial"/>
        </w:rPr>
      </w:pPr>
      <w:r w:rsidRPr="00582C02">
        <w:rPr>
          <w:rFonts w:ascii="Arial" w:hAnsi="Arial" w:cs="Arial"/>
        </w:rPr>
        <w:t>Led UAT and regression testing for loan modification and payment recalculation modules, validating business rules</w:t>
      </w:r>
      <w:r w:rsidRPr="00347D58">
        <w:rPr>
          <w:rFonts w:ascii="Arial" w:hAnsi="Arial" w:cs="Arial"/>
        </w:rPr>
        <w:t xml:space="preserve"> and system stability post-deployment.</w:t>
      </w:r>
    </w:p>
    <w:p w14:paraId="69D477E1" w14:textId="7D09EAA2"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 xml:space="preserve">Built Power BI dashboards to track key operational </w:t>
      </w:r>
      <w:proofErr w:type="spellStart"/>
      <w:proofErr w:type="gramStart"/>
      <w:r w:rsidRPr="00347D58">
        <w:rPr>
          <w:rFonts w:ascii="Arial" w:hAnsi="Arial" w:cs="Arial"/>
        </w:rPr>
        <w:t>KPIs</w:t>
      </w:r>
      <w:r>
        <w:rPr>
          <w:rFonts w:ascii="Arial" w:hAnsi="Arial" w:cs="Arial"/>
        </w:rPr>
        <w:t>,</w:t>
      </w:r>
      <w:r w:rsidRPr="00347D58">
        <w:rPr>
          <w:rFonts w:ascii="Arial" w:hAnsi="Arial" w:cs="Arial"/>
        </w:rPr>
        <w:t>loan</w:t>
      </w:r>
      <w:proofErr w:type="spellEnd"/>
      <w:proofErr w:type="gramEnd"/>
      <w:r w:rsidRPr="00347D58">
        <w:rPr>
          <w:rFonts w:ascii="Arial" w:hAnsi="Arial" w:cs="Arial"/>
        </w:rPr>
        <w:t xml:space="preserve"> approval time, delinquency rates, and exception trends</w:t>
      </w:r>
      <w:r>
        <w:rPr>
          <w:rFonts w:ascii="Arial" w:hAnsi="Arial" w:cs="Arial"/>
        </w:rPr>
        <w:t xml:space="preserve">, </w:t>
      </w:r>
      <w:r w:rsidRPr="00347D58">
        <w:rPr>
          <w:rFonts w:ascii="Arial" w:hAnsi="Arial" w:cs="Arial"/>
        </w:rPr>
        <w:t>enabling data-driven management insights.</w:t>
      </w:r>
    </w:p>
    <w:p w14:paraId="1707D340" w14:textId="53D5F9D6"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Supported rollout of eSignature workflows, expediting borrower onboarding and reducing documentation cycle times.</w:t>
      </w:r>
    </w:p>
    <w:p w14:paraId="223FEFEE" w14:textId="7FDB78B4"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Partnered with process owners and QA teams to define business rules for default management and payment adjustments aligned with SLA and compliance needs.</w:t>
      </w:r>
    </w:p>
    <w:p w14:paraId="09E44159" w14:textId="3B907F5A" w:rsid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Conducted root-cause analysis and remediation for servicing data discrepancies during compliance audits and internal reviews.</w:t>
      </w:r>
    </w:p>
    <w:p w14:paraId="31726215" w14:textId="2BA0D4DE" w:rsidR="00582C02" w:rsidRPr="00347D58" w:rsidRDefault="00582C02" w:rsidP="007966AB">
      <w:pPr>
        <w:pStyle w:val="ListParagraph"/>
        <w:numPr>
          <w:ilvl w:val="0"/>
          <w:numId w:val="1"/>
        </w:numPr>
        <w:spacing w:before="240"/>
        <w:ind w:left="450" w:hanging="450"/>
        <w:jc w:val="both"/>
        <w:rPr>
          <w:rFonts w:ascii="Arial" w:hAnsi="Arial" w:cs="Arial"/>
        </w:rPr>
      </w:pPr>
      <w:r w:rsidRPr="00582C02">
        <w:rPr>
          <w:rFonts w:ascii="Arial" w:hAnsi="Arial" w:cs="Arial"/>
        </w:rPr>
        <w:t>Collaborated with loan-modification teams to optimize approval workflows, cutting exception-handling time</w:t>
      </w:r>
    </w:p>
    <w:p w14:paraId="14ABBC8A" w14:textId="3D6E08E5" w:rsid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Engaged with Cybersecurity and Risk teams to implement secure data handling and transmission protocols for borrower PII and loan documents.</w:t>
      </w:r>
    </w:p>
    <w:p w14:paraId="41580DF0" w14:textId="73987233" w:rsidR="00582C02" w:rsidRPr="00347D58" w:rsidRDefault="00582C02" w:rsidP="007966AB">
      <w:pPr>
        <w:pStyle w:val="ListParagraph"/>
        <w:numPr>
          <w:ilvl w:val="0"/>
          <w:numId w:val="1"/>
        </w:numPr>
        <w:spacing w:before="240"/>
        <w:ind w:left="450" w:hanging="450"/>
        <w:jc w:val="both"/>
        <w:rPr>
          <w:rFonts w:ascii="Arial" w:hAnsi="Arial" w:cs="Arial"/>
        </w:rPr>
      </w:pPr>
      <w:r w:rsidRPr="00582C02">
        <w:rPr>
          <w:rFonts w:ascii="Arial" w:hAnsi="Arial" w:cs="Arial"/>
        </w:rPr>
        <w:t>Partnered with compliance and QA to implement data-masking standards for borrower PII during UAT and production validation.</w:t>
      </w:r>
    </w:p>
    <w:p w14:paraId="78BB1ED4" w14:textId="1CF2C74E" w:rsidR="1E717B61"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Delivered training and post-implementation support to end users, ensuring successful adoption and operational continuity across loan servicing operations.</w:t>
      </w:r>
    </w:p>
    <w:p w14:paraId="28D4C90A" w14:textId="77777777" w:rsidR="007966AB" w:rsidRPr="00347D58" w:rsidRDefault="007966AB" w:rsidP="007966AB">
      <w:pPr>
        <w:pStyle w:val="ListParagraph"/>
        <w:spacing w:before="240"/>
        <w:ind w:left="360"/>
        <w:jc w:val="both"/>
        <w:rPr>
          <w:rFonts w:ascii="Arial" w:hAnsi="Arial" w:cs="Arial"/>
        </w:rPr>
      </w:pPr>
    </w:p>
    <w:p w14:paraId="61063DF6" w14:textId="7C6EEF50" w:rsidR="007632E4" w:rsidRPr="000914F7" w:rsidRDefault="1E717B61"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Business Analyst</w:t>
      </w:r>
      <w:r w:rsidR="007632E4" w:rsidRPr="000914F7">
        <w:rPr>
          <w:rFonts w:ascii="Arial" w:eastAsiaTheme="minorEastAsia" w:hAnsi="Arial" w:cs="Arial"/>
          <w:bCs/>
          <w:caps w:val="0"/>
          <w:color w:val="404040" w:themeColor="text1" w:themeTint="BF"/>
          <w:sz w:val="22"/>
          <w:szCs w:val="22"/>
        </w:rPr>
        <w:t xml:space="preserve"> </w:t>
      </w:r>
    </w:p>
    <w:p w14:paraId="7C1B3696" w14:textId="129B0B1E" w:rsidR="1E717B61" w:rsidRPr="000914F7" w:rsidRDefault="6A517417"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Citigroup (Citi), New York, NY</w:t>
      </w:r>
      <w:r w:rsidR="1E717B61" w:rsidRPr="000914F7">
        <w:rPr>
          <w:rFonts w:ascii="Arial" w:eastAsiaTheme="minorEastAsia" w:hAnsi="Arial" w:cs="Arial"/>
          <w:bCs/>
          <w:caps w:val="0"/>
          <w:color w:val="404040" w:themeColor="text1" w:themeTint="BF"/>
          <w:sz w:val="22"/>
          <w:szCs w:val="22"/>
        </w:rPr>
        <w:t xml:space="preserve"> | </w:t>
      </w:r>
      <w:r w:rsidR="7B2E6EFE" w:rsidRPr="000914F7">
        <w:rPr>
          <w:rFonts w:ascii="Arial" w:eastAsiaTheme="minorEastAsia" w:hAnsi="Arial" w:cs="Arial"/>
          <w:bCs/>
          <w:caps w:val="0"/>
          <w:color w:val="404040" w:themeColor="text1" w:themeTint="BF"/>
          <w:sz w:val="22"/>
          <w:szCs w:val="22"/>
        </w:rPr>
        <w:t>OCT 2016 – DEC 2019</w:t>
      </w:r>
    </w:p>
    <w:p w14:paraId="3DFF08A0" w14:textId="54955D98" w:rsidR="1E717B61" w:rsidRPr="000914F7" w:rsidRDefault="008F59B2" w:rsidP="008F59B2">
      <w:pPr>
        <w:pStyle w:val="ListBullet"/>
        <w:numPr>
          <w:ilvl w:val="0"/>
          <w:numId w:val="0"/>
        </w:numPr>
        <w:ind w:left="216" w:hanging="216"/>
        <w:rPr>
          <w:rFonts w:ascii="Calibri" w:hAnsi="Calibri" w:cs="Calibri"/>
          <w:b/>
          <w:bCs/>
          <w:color w:val="000000" w:themeColor="text1"/>
          <w:sz w:val="18"/>
          <w:szCs w:val="18"/>
          <w:u w:val="single"/>
        </w:rPr>
      </w:pPr>
      <w:r w:rsidRPr="000914F7">
        <w:rPr>
          <w:rFonts w:ascii="Calibri" w:hAnsi="Calibri" w:cs="Calibri"/>
          <w:b/>
          <w:bCs/>
          <w:color w:val="000000" w:themeColor="text1"/>
          <w:sz w:val="18"/>
          <w:szCs w:val="18"/>
          <w:u w:val="single"/>
        </w:rPr>
        <w:t>Key Responsibilities</w:t>
      </w:r>
    </w:p>
    <w:p w14:paraId="25531A1C" w14:textId="4B08F7B7"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Partnered with Client Onboarding, AML, and Risk teams to define business requirements and streamline due-diligence, onboarding, and periodic-review workflows.</w:t>
      </w:r>
    </w:p>
    <w:p w14:paraId="001D6690" w14:textId="2AC0C62C"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Performed gap analysis between legacy onboarding tools and modern digital KYC platforms, ensuring alignment with global compliance frameworks (FATCA, CRS, OFAC).</w:t>
      </w:r>
    </w:p>
    <w:p w14:paraId="02F4533F" w14:textId="6B10BD52" w:rsidR="00347D58" w:rsidRPr="00582C02"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 xml:space="preserve">Designed and </w:t>
      </w:r>
      <w:r w:rsidRPr="00582C02">
        <w:rPr>
          <w:rFonts w:ascii="Arial" w:hAnsi="Arial" w:cs="Arial"/>
        </w:rPr>
        <w:t>documented data mappings, validation rules, and reference integrations with World-Check, LexisNexis, and D&amp;B, strengthening data accuracy.</w:t>
      </w:r>
    </w:p>
    <w:p w14:paraId="7C3BF071" w14:textId="034349BD" w:rsidR="00582C02" w:rsidRPr="00582C02" w:rsidRDefault="00582C02" w:rsidP="007966AB">
      <w:pPr>
        <w:pStyle w:val="ListParagraph"/>
        <w:numPr>
          <w:ilvl w:val="0"/>
          <w:numId w:val="1"/>
        </w:numPr>
        <w:spacing w:before="240"/>
        <w:ind w:left="450" w:hanging="450"/>
        <w:jc w:val="both"/>
        <w:rPr>
          <w:rFonts w:ascii="Arial" w:hAnsi="Arial" w:cs="Arial"/>
        </w:rPr>
      </w:pPr>
      <w:r w:rsidRPr="00582C02">
        <w:rPr>
          <w:rFonts w:ascii="Arial" w:hAnsi="Arial" w:cs="Arial"/>
        </w:rPr>
        <w:t>Worked with Regulatory Technology to implement automated risk-rating recalculation triggers for high-risk entity reviews.</w:t>
      </w:r>
    </w:p>
    <w:p w14:paraId="722A3C73" w14:textId="6F0DD008" w:rsidR="00347D58" w:rsidRPr="00582C02" w:rsidRDefault="00347D58" w:rsidP="007966AB">
      <w:pPr>
        <w:pStyle w:val="ListParagraph"/>
        <w:numPr>
          <w:ilvl w:val="0"/>
          <w:numId w:val="1"/>
        </w:numPr>
        <w:spacing w:before="240"/>
        <w:ind w:left="450" w:hanging="450"/>
        <w:jc w:val="both"/>
        <w:rPr>
          <w:rFonts w:ascii="Arial" w:hAnsi="Arial" w:cs="Arial"/>
        </w:rPr>
      </w:pPr>
      <w:r w:rsidRPr="00582C02">
        <w:rPr>
          <w:rFonts w:ascii="Arial" w:hAnsi="Arial" w:cs="Arial"/>
        </w:rPr>
        <w:t>Collaborated with developers to automate case management and approval workflows in Appian BPM, improving onboarding turnaround and SLA adherence.</w:t>
      </w:r>
    </w:p>
    <w:p w14:paraId="595E0891" w14:textId="7FF2BCD0" w:rsidR="00347D58" w:rsidRPr="00582C02" w:rsidRDefault="00347D58" w:rsidP="007966AB">
      <w:pPr>
        <w:pStyle w:val="ListParagraph"/>
        <w:numPr>
          <w:ilvl w:val="0"/>
          <w:numId w:val="1"/>
        </w:numPr>
        <w:spacing w:before="240"/>
        <w:ind w:left="450" w:hanging="450"/>
        <w:jc w:val="both"/>
        <w:rPr>
          <w:rFonts w:ascii="Arial" w:hAnsi="Arial" w:cs="Arial"/>
        </w:rPr>
      </w:pPr>
      <w:r w:rsidRPr="00582C02">
        <w:rPr>
          <w:rFonts w:ascii="Arial" w:hAnsi="Arial" w:cs="Arial"/>
        </w:rPr>
        <w:t>Created SQL-based validation queries and Power BI dashboards to track onboarding cycle time, case aging, and risk classification metrics.</w:t>
      </w:r>
    </w:p>
    <w:p w14:paraId="077B85F6" w14:textId="1E4265C9" w:rsidR="00347D58" w:rsidRPr="00582C02" w:rsidRDefault="00347D58" w:rsidP="007966AB">
      <w:pPr>
        <w:pStyle w:val="ListParagraph"/>
        <w:numPr>
          <w:ilvl w:val="0"/>
          <w:numId w:val="1"/>
        </w:numPr>
        <w:spacing w:before="240"/>
        <w:ind w:left="450" w:hanging="450"/>
        <w:jc w:val="both"/>
        <w:rPr>
          <w:rFonts w:ascii="Arial" w:hAnsi="Arial" w:cs="Arial"/>
        </w:rPr>
      </w:pPr>
      <w:r w:rsidRPr="00582C02">
        <w:rPr>
          <w:rFonts w:ascii="Arial" w:hAnsi="Arial" w:cs="Arial"/>
        </w:rPr>
        <w:t>Led UAT and regression testing for compliance modules, validating AML risk scoring and sanctions-screening logic.</w:t>
      </w:r>
    </w:p>
    <w:p w14:paraId="28CED555" w14:textId="74478AFC"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Worked with Regulatory and Audit teams to maintain traceable documentation (BRD, FRD, data dictionaries) supporting internal and external audits.</w:t>
      </w:r>
    </w:p>
    <w:p w14:paraId="21DAE2BD" w14:textId="77ABE3DF" w:rsidR="00347D58" w:rsidRP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Supported data-quality management and remediation efforts, eliminating duplicate client records and improving entity master data accuracy.</w:t>
      </w:r>
    </w:p>
    <w:p w14:paraId="653943BA" w14:textId="541303C4" w:rsid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Coordinated with technical architects to optimize API throughput, enhance system performance, and ensure secure data transfer across global platforms.</w:t>
      </w:r>
    </w:p>
    <w:p w14:paraId="78845C1A" w14:textId="606057AF" w:rsidR="00582C02" w:rsidRPr="00347D58" w:rsidRDefault="00582C02" w:rsidP="007966AB">
      <w:pPr>
        <w:pStyle w:val="ListParagraph"/>
        <w:numPr>
          <w:ilvl w:val="0"/>
          <w:numId w:val="1"/>
        </w:numPr>
        <w:spacing w:before="240"/>
        <w:ind w:left="450" w:hanging="450"/>
        <w:jc w:val="both"/>
        <w:rPr>
          <w:rFonts w:ascii="Arial" w:hAnsi="Arial" w:cs="Arial"/>
        </w:rPr>
      </w:pPr>
      <w:r w:rsidRPr="00582C02">
        <w:rPr>
          <w:rFonts w:ascii="Arial" w:hAnsi="Arial" w:cs="Arial"/>
        </w:rPr>
        <w:t>Partnered with global operations leads to harmonize onboarding SLAs and escalation matrices across APAC, EMEA, and Americas.</w:t>
      </w:r>
    </w:p>
    <w:p w14:paraId="7D040C26" w14:textId="063145F9" w:rsidR="00347D58" w:rsidRDefault="00347D58" w:rsidP="007966AB">
      <w:pPr>
        <w:pStyle w:val="ListParagraph"/>
        <w:numPr>
          <w:ilvl w:val="0"/>
          <w:numId w:val="1"/>
        </w:numPr>
        <w:spacing w:before="240"/>
        <w:ind w:left="450" w:hanging="450"/>
        <w:jc w:val="both"/>
        <w:rPr>
          <w:rFonts w:ascii="Arial" w:hAnsi="Arial" w:cs="Arial"/>
        </w:rPr>
      </w:pPr>
      <w:r w:rsidRPr="00347D58">
        <w:rPr>
          <w:rFonts w:ascii="Arial" w:hAnsi="Arial" w:cs="Arial"/>
        </w:rPr>
        <w:t>Delivered post-implementation training and change-management support for compliance officers, ensuring smooth adoption of new KYC solutions.</w:t>
      </w:r>
    </w:p>
    <w:p w14:paraId="2B5623EC" w14:textId="77777777" w:rsidR="007966AB" w:rsidRPr="000914F7" w:rsidRDefault="007966AB" w:rsidP="007966AB">
      <w:pPr>
        <w:pStyle w:val="ListParagraph"/>
        <w:spacing w:before="240"/>
        <w:ind w:left="360"/>
        <w:jc w:val="both"/>
        <w:rPr>
          <w:rFonts w:ascii="Arial" w:hAnsi="Arial" w:cs="Arial"/>
        </w:rPr>
      </w:pPr>
    </w:p>
    <w:p w14:paraId="07B3EB1A" w14:textId="26287DD4" w:rsidR="007632E4" w:rsidRPr="000914F7" w:rsidRDefault="57401014" w:rsidP="1F364EEA">
      <w:pPr>
        <w:pStyle w:val="Heading2"/>
        <w:rPr>
          <w:rFonts w:ascii="Arial" w:eastAsiaTheme="minorEastAsia" w:hAnsi="Arial" w:cs="Arial"/>
          <w:bCs/>
          <w:caps w:val="0"/>
          <w:color w:val="404040" w:themeColor="text1" w:themeTint="BF"/>
          <w:sz w:val="22"/>
          <w:szCs w:val="22"/>
        </w:rPr>
      </w:pPr>
      <w:r w:rsidRPr="000914F7">
        <w:rPr>
          <w:rFonts w:ascii="Arial" w:eastAsiaTheme="minorEastAsia" w:hAnsi="Arial" w:cs="Arial"/>
          <w:bCs/>
          <w:caps w:val="0"/>
          <w:color w:val="404040" w:themeColor="text1" w:themeTint="BF"/>
          <w:sz w:val="22"/>
          <w:szCs w:val="22"/>
        </w:rPr>
        <w:t>Quality Analyst/Tester</w:t>
      </w:r>
    </w:p>
    <w:p w14:paraId="7865FE30" w14:textId="7DE79EE3" w:rsidR="57401014" w:rsidRPr="000914F7" w:rsidRDefault="001B48E2" w:rsidP="1F364EEA">
      <w:pPr>
        <w:pStyle w:val="Heading2"/>
        <w:rPr>
          <w:rFonts w:ascii="Arial" w:eastAsiaTheme="minorEastAsia" w:hAnsi="Arial" w:cs="Arial"/>
          <w:bCs/>
          <w:caps w:val="0"/>
          <w:color w:val="404040" w:themeColor="text1" w:themeTint="BF"/>
          <w:sz w:val="22"/>
          <w:szCs w:val="22"/>
        </w:rPr>
      </w:pPr>
      <w:r>
        <w:rPr>
          <w:rFonts w:ascii="Arial" w:eastAsiaTheme="minorEastAsia" w:hAnsi="Arial" w:cs="Arial"/>
          <w:bCs/>
          <w:caps w:val="0"/>
          <w:color w:val="404040" w:themeColor="text1" w:themeTint="BF"/>
          <w:sz w:val="22"/>
          <w:szCs w:val="22"/>
        </w:rPr>
        <w:t>H</w:t>
      </w:r>
      <w:bookmarkStart w:id="0" w:name="_GoBack"/>
      <w:bookmarkEnd w:id="0"/>
      <w:r w:rsidR="5FAED5EA" w:rsidRPr="000914F7">
        <w:rPr>
          <w:rFonts w:ascii="Arial" w:eastAsiaTheme="minorEastAsia" w:hAnsi="Arial" w:cs="Arial"/>
          <w:bCs/>
          <w:caps w:val="0"/>
          <w:color w:val="404040" w:themeColor="text1" w:themeTint="BF"/>
          <w:sz w:val="22"/>
          <w:szCs w:val="22"/>
        </w:rPr>
        <w:t xml:space="preserve">DFC FIRST Bank, Hyderabad </w:t>
      </w:r>
      <w:r w:rsidR="1169E3BB" w:rsidRPr="000914F7">
        <w:rPr>
          <w:rFonts w:ascii="Arial" w:eastAsiaTheme="minorEastAsia" w:hAnsi="Arial" w:cs="Arial"/>
          <w:bCs/>
          <w:caps w:val="0"/>
          <w:color w:val="404040" w:themeColor="text1" w:themeTint="BF"/>
          <w:sz w:val="22"/>
          <w:szCs w:val="22"/>
        </w:rPr>
        <w:t>Telangana</w:t>
      </w:r>
      <w:r w:rsidR="5FAED5EA" w:rsidRPr="000914F7">
        <w:rPr>
          <w:rFonts w:ascii="Arial" w:eastAsiaTheme="minorEastAsia" w:hAnsi="Arial" w:cs="Arial"/>
          <w:bCs/>
          <w:caps w:val="0"/>
          <w:color w:val="404040" w:themeColor="text1" w:themeTint="BF"/>
          <w:sz w:val="22"/>
          <w:szCs w:val="22"/>
        </w:rPr>
        <w:t xml:space="preserve"> | MAR 2013 – JAN 2015</w:t>
      </w:r>
    </w:p>
    <w:p w14:paraId="7E14FAA5" w14:textId="4C16A07F" w:rsidR="5FAED5EA" w:rsidRPr="000914F7" w:rsidRDefault="008F59B2" w:rsidP="008F59B2">
      <w:pPr>
        <w:pStyle w:val="ListBullet"/>
        <w:numPr>
          <w:ilvl w:val="0"/>
          <w:numId w:val="0"/>
        </w:numPr>
        <w:ind w:left="216" w:hanging="216"/>
        <w:rPr>
          <w:rFonts w:ascii="Calibri" w:hAnsi="Calibri" w:cs="Calibri"/>
          <w:b/>
          <w:bCs/>
          <w:color w:val="000000" w:themeColor="text1"/>
          <w:sz w:val="18"/>
          <w:szCs w:val="18"/>
          <w:u w:val="single"/>
        </w:rPr>
      </w:pPr>
      <w:r w:rsidRPr="000914F7">
        <w:rPr>
          <w:rFonts w:ascii="Calibri" w:hAnsi="Calibri" w:cs="Calibri"/>
          <w:b/>
          <w:bCs/>
          <w:color w:val="000000" w:themeColor="text1"/>
          <w:sz w:val="18"/>
          <w:szCs w:val="18"/>
          <w:u w:val="single"/>
        </w:rPr>
        <w:t>Key Responsibilities</w:t>
      </w:r>
    </w:p>
    <w:p w14:paraId="5CDCA214" w14:textId="7C79EE2C" w:rsidR="000914F7" w:rsidRPr="000914F7" w:rsidRDefault="000914F7" w:rsidP="007966AB">
      <w:pPr>
        <w:pStyle w:val="ListParagraph"/>
        <w:numPr>
          <w:ilvl w:val="0"/>
          <w:numId w:val="1"/>
        </w:numPr>
        <w:spacing w:before="240"/>
        <w:ind w:left="450" w:hanging="450"/>
        <w:jc w:val="both"/>
        <w:rPr>
          <w:rFonts w:ascii="Arial" w:hAnsi="Arial" w:cs="Arial"/>
        </w:rPr>
      </w:pPr>
      <w:r w:rsidRPr="000914F7">
        <w:rPr>
          <w:rFonts w:ascii="Arial" w:hAnsi="Arial" w:cs="Arial"/>
        </w:rPr>
        <w:t>Designed and executed functional, regression, and integration testing for Loan Origination and Core Banking applications to validate end-to-end loan processing workflows.</w:t>
      </w:r>
    </w:p>
    <w:p w14:paraId="1742B26F" w14:textId="4D415A98" w:rsidR="000914F7" w:rsidRPr="00582C02" w:rsidRDefault="000914F7" w:rsidP="007966AB">
      <w:pPr>
        <w:pStyle w:val="ListParagraph"/>
        <w:numPr>
          <w:ilvl w:val="0"/>
          <w:numId w:val="1"/>
        </w:numPr>
        <w:spacing w:before="240"/>
        <w:ind w:left="450" w:hanging="450"/>
        <w:jc w:val="both"/>
        <w:rPr>
          <w:rFonts w:ascii="Arial" w:hAnsi="Arial" w:cs="Arial"/>
        </w:rPr>
      </w:pPr>
      <w:r w:rsidRPr="000914F7">
        <w:rPr>
          <w:rFonts w:ascii="Arial" w:hAnsi="Arial" w:cs="Arial"/>
        </w:rPr>
        <w:t xml:space="preserve">Utilized HP ALM and SQL Server for test management, defect tracking, and backend data validation across loan, payment, and </w:t>
      </w:r>
      <w:r w:rsidRPr="00582C02">
        <w:rPr>
          <w:rFonts w:ascii="Arial" w:hAnsi="Arial" w:cs="Arial"/>
        </w:rPr>
        <w:t>customer modules.</w:t>
      </w:r>
    </w:p>
    <w:p w14:paraId="5F3D48B7" w14:textId="7CECD123" w:rsidR="00582C02" w:rsidRPr="00582C02" w:rsidRDefault="00582C02" w:rsidP="007966AB">
      <w:pPr>
        <w:pStyle w:val="ListParagraph"/>
        <w:numPr>
          <w:ilvl w:val="0"/>
          <w:numId w:val="1"/>
        </w:numPr>
        <w:spacing w:before="240"/>
        <w:ind w:left="450" w:hanging="450"/>
        <w:jc w:val="both"/>
        <w:rPr>
          <w:rFonts w:ascii="Arial" w:hAnsi="Arial" w:cs="Arial"/>
        </w:rPr>
      </w:pPr>
      <w:r w:rsidRPr="00582C02">
        <w:rPr>
          <w:rFonts w:ascii="Arial" w:hAnsi="Arial" w:cs="Arial"/>
        </w:rPr>
        <w:t>Coordinated with developers and DBAs to optimize SQL queries used in loan-servicing reports, reducing test-cycle execution time.</w:t>
      </w:r>
    </w:p>
    <w:p w14:paraId="74C405A4" w14:textId="2B33EB66" w:rsidR="000914F7" w:rsidRPr="00582C02" w:rsidRDefault="000914F7" w:rsidP="007966AB">
      <w:pPr>
        <w:pStyle w:val="ListParagraph"/>
        <w:numPr>
          <w:ilvl w:val="0"/>
          <w:numId w:val="1"/>
        </w:numPr>
        <w:spacing w:before="240"/>
        <w:ind w:left="450" w:hanging="450"/>
        <w:jc w:val="both"/>
        <w:rPr>
          <w:rFonts w:ascii="Arial" w:hAnsi="Arial" w:cs="Arial"/>
        </w:rPr>
      </w:pPr>
      <w:r w:rsidRPr="00582C02">
        <w:rPr>
          <w:rFonts w:ascii="Arial" w:hAnsi="Arial" w:cs="Arial"/>
        </w:rPr>
        <w:t>Conducted API testing using SoapUI to verify service integrations, request-response payloads, and system interoperability.</w:t>
      </w:r>
    </w:p>
    <w:p w14:paraId="1F19630F" w14:textId="29A60507" w:rsidR="000914F7" w:rsidRPr="00582C02" w:rsidRDefault="000914F7" w:rsidP="007966AB">
      <w:pPr>
        <w:pStyle w:val="ListParagraph"/>
        <w:numPr>
          <w:ilvl w:val="0"/>
          <w:numId w:val="1"/>
        </w:numPr>
        <w:spacing w:before="240"/>
        <w:ind w:left="450" w:hanging="450"/>
        <w:jc w:val="both"/>
        <w:rPr>
          <w:rFonts w:ascii="Arial" w:hAnsi="Arial" w:cs="Arial"/>
        </w:rPr>
      </w:pPr>
      <w:r w:rsidRPr="00582C02">
        <w:rPr>
          <w:rFonts w:ascii="Arial" w:hAnsi="Arial" w:cs="Arial"/>
        </w:rPr>
        <w:t>Collaborated with business SMEs to align test scenarios with business rules and regulatory conditions for lending operations.</w:t>
      </w:r>
    </w:p>
    <w:p w14:paraId="611B9A3C" w14:textId="7D1C99B3" w:rsidR="00582C02" w:rsidRPr="000914F7" w:rsidRDefault="00582C02" w:rsidP="007966AB">
      <w:pPr>
        <w:pStyle w:val="ListParagraph"/>
        <w:numPr>
          <w:ilvl w:val="0"/>
          <w:numId w:val="1"/>
        </w:numPr>
        <w:spacing w:before="240"/>
        <w:ind w:left="450" w:hanging="450"/>
        <w:jc w:val="both"/>
        <w:rPr>
          <w:rFonts w:ascii="Arial" w:hAnsi="Arial" w:cs="Arial"/>
        </w:rPr>
      </w:pPr>
      <w:r w:rsidRPr="00582C02">
        <w:rPr>
          <w:rFonts w:ascii="Arial" w:hAnsi="Arial" w:cs="Arial"/>
        </w:rPr>
        <w:t>Assisted in automation of regression test suites using reusable data sets, improving test coverage and reducing manual effort.</w:t>
      </w:r>
    </w:p>
    <w:p w14:paraId="4ED520F9" w14:textId="22ACCCA2" w:rsidR="000914F7" w:rsidRDefault="000914F7" w:rsidP="007966AB">
      <w:pPr>
        <w:pStyle w:val="ListParagraph"/>
        <w:numPr>
          <w:ilvl w:val="0"/>
          <w:numId w:val="1"/>
        </w:numPr>
        <w:spacing w:before="240"/>
        <w:ind w:left="450" w:hanging="450"/>
        <w:jc w:val="both"/>
        <w:rPr>
          <w:rFonts w:ascii="Arial" w:hAnsi="Arial" w:cs="Arial"/>
        </w:rPr>
      </w:pPr>
      <w:r w:rsidRPr="000914F7">
        <w:rPr>
          <w:rFonts w:ascii="Arial" w:hAnsi="Arial" w:cs="Arial"/>
        </w:rPr>
        <w:t>Generated and presented QA metrics and traceability reports (RTM) to ensure audit compliance and stakeholder visibility.</w:t>
      </w:r>
    </w:p>
    <w:p w14:paraId="5A3329A8" w14:textId="77777777" w:rsidR="007966AB" w:rsidRDefault="007966AB" w:rsidP="007966AB">
      <w:pPr>
        <w:pStyle w:val="ListParagraph"/>
        <w:spacing w:before="240"/>
        <w:ind w:left="360"/>
        <w:jc w:val="both"/>
        <w:rPr>
          <w:rFonts w:ascii="Arial" w:hAnsi="Arial" w:cs="Arial"/>
        </w:rPr>
      </w:pPr>
    </w:p>
    <w:p w14:paraId="1EF97E42" w14:textId="77777777" w:rsidR="00A37CCB" w:rsidRPr="007966AB" w:rsidRDefault="00A37CCB" w:rsidP="00A37CCB">
      <w:pPr>
        <w:spacing w:before="240"/>
        <w:jc w:val="both"/>
        <w:rPr>
          <w:rFonts w:ascii="Arial" w:hAnsi="Arial" w:cs="Arial"/>
          <w:b/>
          <w:bCs/>
          <w:u w:val="single"/>
        </w:rPr>
      </w:pPr>
      <w:r w:rsidRPr="007966AB">
        <w:rPr>
          <w:rFonts w:ascii="Arial" w:hAnsi="Arial" w:cs="Arial"/>
          <w:b/>
          <w:bCs/>
          <w:u w:val="single"/>
        </w:rPr>
        <w:t>Technical Environment Summary:</w:t>
      </w:r>
    </w:p>
    <w:p w14:paraId="74788FCB" w14:textId="50316325" w:rsidR="007966AB" w:rsidRPr="007966AB" w:rsidRDefault="00A37CCB" w:rsidP="007966AB">
      <w:pPr>
        <w:spacing w:before="240"/>
        <w:jc w:val="both"/>
        <w:rPr>
          <w:rFonts w:ascii="Arial" w:hAnsi="Arial" w:cs="Arial"/>
        </w:rPr>
      </w:pPr>
      <w:r w:rsidRPr="007966AB">
        <w:rPr>
          <w:rFonts w:ascii="Arial" w:hAnsi="Arial" w:cs="Arial"/>
        </w:rPr>
        <w:t>Experienced working across diverse technology stacks and enterprise platforms including SQL Server, Oracle, and PostgreSQL for data validation and analysis, with strong reporting exposure using Power BI, Tableau, and Excel (Pivot, VBA, Macros). Proficient in JIRA, Confluence, ServiceNow, HP ALM, and MS Project within Agile (Scrum/</w:t>
      </w:r>
      <w:proofErr w:type="spellStart"/>
      <w:r w:rsidRPr="007966AB">
        <w:rPr>
          <w:rFonts w:ascii="Arial" w:hAnsi="Arial" w:cs="Arial"/>
        </w:rPr>
        <w:t>SAFe</w:t>
      </w:r>
      <w:proofErr w:type="spellEnd"/>
      <w:r w:rsidRPr="007966AB">
        <w:rPr>
          <w:rFonts w:ascii="Arial" w:hAnsi="Arial" w:cs="Arial"/>
        </w:rPr>
        <w:t xml:space="preserve">) and Waterfall delivery models. Skilled in workflow and process tools such as Appian BPM, Salesforce CRM, Visio, </w:t>
      </w:r>
      <w:proofErr w:type="spellStart"/>
      <w:r w:rsidRPr="007966AB">
        <w:rPr>
          <w:rFonts w:ascii="Arial" w:hAnsi="Arial" w:cs="Arial"/>
        </w:rPr>
        <w:t>Lucidchart</w:t>
      </w:r>
      <w:proofErr w:type="spellEnd"/>
      <w:r w:rsidRPr="007966AB">
        <w:rPr>
          <w:rFonts w:ascii="Arial" w:hAnsi="Arial" w:cs="Arial"/>
        </w:rPr>
        <w:t>, and DocuSign, along with testing and API validation using Postman and SoapUI. Hands-on with Python scripting, ETL pipelines, and data warehouse environments, integrating market data feeds via FIX, SWIFT MT/MX, ISO 20022, Bloomberg, and Reuters APIs. Well-versed in compliance frameworks including AML, KYC, FATCA, CRS, Basel III, SOX, MiFID II, CCAR, GDPR, and OFAC, with deep functional expertise across Capital Markets, Custody, Retail Banking, Lending, Mortgage Servicing, Client Onboarding, and Risk &amp; Regulatory domains. Additional exposure to AWS, Git, Jenkins, Power Automate, and Excel Power Query for automation and data integration initiatives.</w:t>
      </w:r>
    </w:p>
    <w:p w14:paraId="14CE6E81" w14:textId="77777777" w:rsidR="007966AB" w:rsidRDefault="00A428CA" w:rsidP="000914F7">
      <w:pPr>
        <w:pStyle w:val="Heading2"/>
        <w:rPr>
          <w:rFonts w:ascii="Arial" w:eastAsiaTheme="minorEastAsia" w:hAnsi="Arial" w:cs="Arial"/>
          <w:bCs/>
          <w:caps w:val="0"/>
          <w:color w:val="404040" w:themeColor="text1" w:themeTint="BF"/>
          <w:sz w:val="22"/>
          <w:szCs w:val="22"/>
          <w:u w:val="single"/>
        </w:rPr>
      </w:pPr>
      <w:r w:rsidRPr="007966AB">
        <w:rPr>
          <w:rFonts w:ascii="Arial" w:eastAsiaTheme="minorEastAsia" w:hAnsi="Arial" w:cs="Arial"/>
          <w:bCs/>
          <w:caps w:val="0"/>
          <w:color w:val="404040" w:themeColor="text1" w:themeTint="BF"/>
          <w:sz w:val="22"/>
          <w:szCs w:val="22"/>
          <w:u w:val="single"/>
        </w:rPr>
        <w:t>E</w:t>
      </w:r>
      <w:r w:rsidR="00A37CCB" w:rsidRPr="007966AB">
        <w:rPr>
          <w:rFonts w:ascii="Arial" w:eastAsiaTheme="minorEastAsia" w:hAnsi="Arial" w:cs="Arial"/>
          <w:bCs/>
          <w:caps w:val="0"/>
          <w:color w:val="404040" w:themeColor="text1" w:themeTint="BF"/>
          <w:sz w:val="22"/>
          <w:szCs w:val="22"/>
          <w:u w:val="single"/>
        </w:rPr>
        <w:t xml:space="preserve">DUCATION </w:t>
      </w:r>
    </w:p>
    <w:p w14:paraId="083C8A01" w14:textId="77777777" w:rsidR="007966AB" w:rsidRDefault="007966AB" w:rsidP="000914F7">
      <w:pPr>
        <w:pStyle w:val="Heading2"/>
        <w:rPr>
          <w:rFonts w:ascii="Arial" w:eastAsiaTheme="minorEastAsia" w:hAnsi="Arial" w:cs="Arial"/>
          <w:bCs/>
          <w:caps w:val="0"/>
          <w:color w:val="404040" w:themeColor="text1" w:themeTint="BF"/>
          <w:sz w:val="22"/>
          <w:szCs w:val="22"/>
          <w:u w:val="single"/>
        </w:rPr>
      </w:pPr>
    </w:p>
    <w:p w14:paraId="5D1F85D3" w14:textId="4E720BD3" w:rsidR="1F364EEA" w:rsidRPr="007966AB" w:rsidRDefault="00A37CCB" w:rsidP="000914F7">
      <w:pPr>
        <w:pStyle w:val="Heading2"/>
        <w:rPr>
          <w:rFonts w:ascii="Arial" w:eastAsiaTheme="minorEastAsia" w:hAnsi="Arial" w:cs="Arial"/>
          <w:bCs/>
          <w:caps w:val="0"/>
          <w:color w:val="404040" w:themeColor="text1" w:themeTint="BF"/>
          <w:sz w:val="22"/>
          <w:szCs w:val="22"/>
          <w:u w:val="single"/>
        </w:rPr>
      </w:pPr>
      <w:r w:rsidRPr="007966AB">
        <w:rPr>
          <w:rFonts w:ascii="Arial" w:eastAsiaTheme="minorEastAsia" w:hAnsi="Arial" w:cs="Arial"/>
          <w:bCs/>
          <w:caps w:val="0"/>
          <w:color w:val="404040" w:themeColor="text1" w:themeTint="BF"/>
          <w:sz w:val="22"/>
          <w:szCs w:val="22"/>
          <w:u w:val="single"/>
        </w:rPr>
        <w:t>Bachelor’s in Computer Science from JNTU in 2013</w:t>
      </w:r>
    </w:p>
    <w:sectPr w:rsidR="1F364EEA" w:rsidRPr="007966AB" w:rsidSect="000914F7">
      <w:footerReference w:type="default" r:id="rId13"/>
      <w:type w:val="continuous"/>
      <w:pgSz w:w="12240" w:h="15840" w:code="1"/>
      <w:pgMar w:top="720" w:right="720" w:bottom="720" w:left="720" w:header="289" w:footer="14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E903F4" w14:textId="77777777" w:rsidR="00453665" w:rsidRDefault="00453665">
      <w:pPr>
        <w:spacing w:after="0"/>
      </w:pPr>
      <w:r>
        <w:separator/>
      </w:r>
    </w:p>
  </w:endnote>
  <w:endnote w:type="continuationSeparator" w:id="0">
    <w:p w14:paraId="0BEF21AB" w14:textId="77777777" w:rsidR="00453665" w:rsidRDefault="004536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GMinchoB">
    <w:altName w:val="Yu Gothic"/>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2E1C45" w14:textId="77777777" w:rsidR="00453665" w:rsidRDefault="00453665">
      <w:pPr>
        <w:spacing w:after="0"/>
      </w:pPr>
      <w:r>
        <w:separator/>
      </w:r>
    </w:p>
  </w:footnote>
  <w:footnote w:type="continuationSeparator" w:id="0">
    <w:p w14:paraId="35782780" w14:textId="77777777" w:rsidR="00453665" w:rsidRDefault="00453665">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70zH3iNNEMrbNy" int2:id="is9clZV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 w15:restartNumberingAfterBreak="0">
    <w:nsid w:val="0CD03B59"/>
    <w:multiLevelType w:val="hybridMultilevel"/>
    <w:tmpl w:val="EB548F54"/>
    <w:lvl w:ilvl="0" w:tplc="8236B89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13451B"/>
    <w:multiLevelType w:val="hybridMultilevel"/>
    <w:tmpl w:val="A77CEE7A"/>
    <w:lvl w:ilvl="0" w:tplc="E37A3F82">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3974A9"/>
    <w:multiLevelType w:val="hybridMultilevel"/>
    <w:tmpl w:val="84C85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27D2F5C"/>
    <w:multiLevelType w:val="hybridMultilevel"/>
    <w:tmpl w:val="C10804D4"/>
    <w:lvl w:ilvl="0" w:tplc="250EDB8A">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315D86"/>
    <w:multiLevelType w:val="hybridMultilevel"/>
    <w:tmpl w:val="2BF6D91C"/>
    <w:lvl w:ilvl="0" w:tplc="8236B890">
      <w:numFmt w:val="bullet"/>
      <w:lvlText w:val="•"/>
      <w:lvlJc w:val="left"/>
      <w:pPr>
        <w:ind w:left="1080" w:hanging="360"/>
      </w:pPr>
      <w:rPr>
        <w:rFonts w:ascii="Arial" w:eastAsiaTheme="minorEastAsia" w:hAnsi="Arial" w:cs="Aria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CB04D73"/>
    <w:multiLevelType w:val="hybridMultilevel"/>
    <w:tmpl w:val="EB1E6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EC2625"/>
    <w:multiLevelType w:val="hybridMultilevel"/>
    <w:tmpl w:val="0960FFC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0166D5E"/>
    <w:multiLevelType w:val="hybridMultilevel"/>
    <w:tmpl w:val="FA4A8E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6190BEA"/>
    <w:multiLevelType w:val="hybridMultilevel"/>
    <w:tmpl w:val="BA12E078"/>
    <w:lvl w:ilvl="0" w:tplc="40090001">
      <w:start w:val="1"/>
      <w:numFmt w:val="bullet"/>
      <w:lvlText w:val=""/>
      <w:lvlJc w:val="left"/>
      <w:pPr>
        <w:ind w:left="720" w:hanging="360"/>
      </w:pPr>
      <w:rPr>
        <w:rFonts w:ascii="Symbol" w:hAnsi="Symbol" w:hint="default"/>
      </w:rPr>
    </w:lvl>
    <w:lvl w:ilvl="1" w:tplc="3CB0B9E0">
      <w:start w:val="1"/>
      <w:numFmt w:val="bullet"/>
      <w:lvlText w:val="o"/>
      <w:lvlJc w:val="left"/>
      <w:pPr>
        <w:ind w:left="1440" w:hanging="360"/>
      </w:pPr>
      <w:rPr>
        <w:rFonts w:ascii="Courier New" w:hAnsi="Courier New" w:hint="default"/>
      </w:rPr>
    </w:lvl>
    <w:lvl w:ilvl="2" w:tplc="6F00C62E">
      <w:start w:val="1"/>
      <w:numFmt w:val="bullet"/>
      <w:lvlText w:val=""/>
      <w:lvlJc w:val="left"/>
      <w:pPr>
        <w:ind w:left="2160" w:hanging="360"/>
      </w:pPr>
      <w:rPr>
        <w:rFonts w:ascii="Wingdings" w:hAnsi="Wingdings" w:hint="default"/>
      </w:rPr>
    </w:lvl>
    <w:lvl w:ilvl="3" w:tplc="5F00F026">
      <w:start w:val="1"/>
      <w:numFmt w:val="bullet"/>
      <w:lvlText w:val=""/>
      <w:lvlJc w:val="left"/>
      <w:pPr>
        <w:ind w:left="2880" w:hanging="360"/>
      </w:pPr>
      <w:rPr>
        <w:rFonts w:ascii="Symbol" w:hAnsi="Symbol" w:hint="default"/>
      </w:rPr>
    </w:lvl>
    <w:lvl w:ilvl="4" w:tplc="73840380">
      <w:start w:val="1"/>
      <w:numFmt w:val="bullet"/>
      <w:lvlText w:val="o"/>
      <w:lvlJc w:val="left"/>
      <w:pPr>
        <w:ind w:left="3600" w:hanging="360"/>
      </w:pPr>
      <w:rPr>
        <w:rFonts w:ascii="Courier New" w:hAnsi="Courier New" w:hint="default"/>
      </w:rPr>
    </w:lvl>
    <w:lvl w:ilvl="5" w:tplc="C380A44E">
      <w:start w:val="1"/>
      <w:numFmt w:val="bullet"/>
      <w:lvlText w:val=""/>
      <w:lvlJc w:val="left"/>
      <w:pPr>
        <w:ind w:left="4320" w:hanging="360"/>
      </w:pPr>
      <w:rPr>
        <w:rFonts w:ascii="Wingdings" w:hAnsi="Wingdings" w:hint="default"/>
      </w:rPr>
    </w:lvl>
    <w:lvl w:ilvl="6" w:tplc="B79ED46C">
      <w:start w:val="1"/>
      <w:numFmt w:val="bullet"/>
      <w:lvlText w:val=""/>
      <w:lvlJc w:val="left"/>
      <w:pPr>
        <w:ind w:left="5040" w:hanging="360"/>
      </w:pPr>
      <w:rPr>
        <w:rFonts w:ascii="Symbol" w:hAnsi="Symbol" w:hint="default"/>
      </w:rPr>
    </w:lvl>
    <w:lvl w:ilvl="7" w:tplc="B1803356">
      <w:start w:val="1"/>
      <w:numFmt w:val="bullet"/>
      <w:lvlText w:val="o"/>
      <w:lvlJc w:val="left"/>
      <w:pPr>
        <w:ind w:left="5760" w:hanging="360"/>
      </w:pPr>
      <w:rPr>
        <w:rFonts w:ascii="Courier New" w:hAnsi="Courier New" w:hint="default"/>
      </w:rPr>
    </w:lvl>
    <w:lvl w:ilvl="8" w:tplc="D42C2DA8">
      <w:start w:val="1"/>
      <w:numFmt w:val="bullet"/>
      <w:lvlText w:val=""/>
      <w:lvlJc w:val="left"/>
      <w:pPr>
        <w:ind w:left="6480" w:hanging="360"/>
      </w:pPr>
      <w:rPr>
        <w:rFonts w:ascii="Wingdings" w:hAnsi="Wingdings" w:hint="default"/>
      </w:rPr>
    </w:lvl>
  </w:abstractNum>
  <w:abstractNum w:abstractNumId="10"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11" w15:restartNumberingAfterBreak="0">
    <w:nsid w:val="6E3E0C85"/>
    <w:multiLevelType w:val="hybridMultilevel"/>
    <w:tmpl w:val="07FA68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6F863D1F"/>
    <w:multiLevelType w:val="hybridMultilevel"/>
    <w:tmpl w:val="40767A74"/>
    <w:lvl w:ilvl="0" w:tplc="8236B890">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E41CB1"/>
    <w:multiLevelType w:val="hybridMultilevel"/>
    <w:tmpl w:val="E9F01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0"/>
  </w:num>
  <w:num w:numId="3">
    <w:abstractNumId w:val="10"/>
  </w:num>
  <w:num w:numId="4">
    <w:abstractNumId w:val="6"/>
  </w:num>
  <w:num w:numId="5">
    <w:abstractNumId w:val="4"/>
  </w:num>
  <w:num w:numId="6">
    <w:abstractNumId w:val="8"/>
  </w:num>
  <w:num w:numId="7">
    <w:abstractNumId w:val="13"/>
  </w:num>
  <w:num w:numId="8">
    <w:abstractNumId w:val="1"/>
  </w:num>
  <w:num w:numId="9">
    <w:abstractNumId w:val="5"/>
  </w:num>
  <w:num w:numId="10">
    <w:abstractNumId w:val="3"/>
  </w:num>
  <w:num w:numId="11">
    <w:abstractNumId w:val="11"/>
  </w:num>
  <w:num w:numId="12">
    <w:abstractNumId w:val="2"/>
  </w:num>
  <w:num w:numId="13">
    <w:abstractNumId w:val="0"/>
  </w:num>
  <w:num w:numId="14">
    <w:abstractNumId w:val="0"/>
  </w:num>
  <w:num w:numId="15">
    <w:abstractNumId w:val="0"/>
  </w:num>
  <w:num w:numId="16">
    <w:abstractNumId w:val="0"/>
  </w:num>
  <w:num w:numId="17">
    <w:abstractNumId w:val="0"/>
  </w:num>
  <w:num w:numId="18">
    <w:abstractNumId w:val="7"/>
  </w:num>
  <w:num w:numId="19">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1582B"/>
    <w:rsid w:val="00030242"/>
    <w:rsid w:val="0007149E"/>
    <w:rsid w:val="00082E6D"/>
    <w:rsid w:val="000914F7"/>
    <w:rsid w:val="000925EB"/>
    <w:rsid w:val="000928A7"/>
    <w:rsid w:val="000A2AD4"/>
    <w:rsid w:val="000A4F59"/>
    <w:rsid w:val="000B3CCE"/>
    <w:rsid w:val="000C720E"/>
    <w:rsid w:val="000F6F53"/>
    <w:rsid w:val="00137193"/>
    <w:rsid w:val="00141A4C"/>
    <w:rsid w:val="001950FA"/>
    <w:rsid w:val="001A22ED"/>
    <w:rsid w:val="001B29CF"/>
    <w:rsid w:val="001B48E2"/>
    <w:rsid w:val="001C17AE"/>
    <w:rsid w:val="00221A44"/>
    <w:rsid w:val="00232312"/>
    <w:rsid w:val="002374E4"/>
    <w:rsid w:val="00252883"/>
    <w:rsid w:val="002764F4"/>
    <w:rsid w:val="0028220F"/>
    <w:rsid w:val="00285144"/>
    <w:rsid w:val="0029269F"/>
    <w:rsid w:val="002D081C"/>
    <w:rsid w:val="002D77E3"/>
    <w:rsid w:val="002E4EC7"/>
    <w:rsid w:val="002F1E0B"/>
    <w:rsid w:val="00345883"/>
    <w:rsid w:val="00347D58"/>
    <w:rsid w:val="00356C14"/>
    <w:rsid w:val="00360C19"/>
    <w:rsid w:val="003953F1"/>
    <w:rsid w:val="003B7FA6"/>
    <w:rsid w:val="003C5E08"/>
    <w:rsid w:val="003D1BF3"/>
    <w:rsid w:val="003F310D"/>
    <w:rsid w:val="003F5750"/>
    <w:rsid w:val="0041462C"/>
    <w:rsid w:val="004154CC"/>
    <w:rsid w:val="00443D4D"/>
    <w:rsid w:val="00445342"/>
    <w:rsid w:val="00453665"/>
    <w:rsid w:val="00460E93"/>
    <w:rsid w:val="004C5C8B"/>
    <w:rsid w:val="004E1AEF"/>
    <w:rsid w:val="004F1E3E"/>
    <w:rsid w:val="00505C4C"/>
    <w:rsid w:val="00544927"/>
    <w:rsid w:val="00545B7A"/>
    <w:rsid w:val="00557E35"/>
    <w:rsid w:val="0057699E"/>
    <w:rsid w:val="0058148B"/>
    <w:rsid w:val="00582C02"/>
    <w:rsid w:val="00584EB7"/>
    <w:rsid w:val="00585484"/>
    <w:rsid w:val="0059123F"/>
    <w:rsid w:val="00592D62"/>
    <w:rsid w:val="005970A6"/>
    <w:rsid w:val="005B5DE9"/>
    <w:rsid w:val="005B78CA"/>
    <w:rsid w:val="005C4F47"/>
    <w:rsid w:val="00615B2A"/>
    <w:rsid w:val="00617B26"/>
    <w:rsid w:val="00621232"/>
    <w:rsid w:val="006270A9"/>
    <w:rsid w:val="0066464D"/>
    <w:rsid w:val="00675956"/>
    <w:rsid w:val="00676587"/>
    <w:rsid w:val="00681034"/>
    <w:rsid w:val="006A3364"/>
    <w:rsid w:val="006E4E22"/>
    <w:rsid w:val="006F7A9E"/>
    <w:rsid w:val="00705944"/>
    <w:rsid w:val="00706247"/>
    <w:rsid w:val="00712641"/>
    <w:rsid w:val="00716774"/>
    <w:rsid w:val="007362BF"/>
    <w:rsid w:val="00741202"/>
    <w:rsid w:val="0075155B"/>
    <w:rsid w:val="007632E4"/>
    <w:rsid w:val="00764025"/>
    <w:rsid w:val="00767EA9"/>
    <w:rsid w:val="00787CAF"/>
    <w:rsid w:val="00787FFA"/>
    <w:rsid w:val="007960A0"/>
    <w:rsid w:val="007966AB"/>
    <w:rsid w:val="007A656C"/>
    <w:rsid w:val="007C4D94"/>
    <w:rsid w:val="007F0B08"/>
    <w:rsid w:val="00816216"/>
    <w:rsid w:val="00834D92"/>
    <w:rsid w:val="00845B3D"/>
    <w:rsid w:val="00875F10"/>
    <w:rsid w:val="0087734B"/>
    <w:rsid w:val="008839AF"/>
    <w:rsid w:val="008B7C29"/>
    <w:rsid w:val="008D3658"/>
    <w:rsid w:val="008D4E3C"/>
    <w:rsid w:val="008E2817"/>
    <w:rsid w:val="008F59B2"/>
    <w:rsid w:val="0094674E"/>
    <w:rsid w:val="00952354"/>
    <w:rsid w:val="00985DCF"/>
    <w:rsid w:val="00986CA0"/>
    <w:rsid w:val="009A26D8"/>
    <w:rsid w:val="009B0ADC"/>
    <w:rsid w:val="009B7B39"/>
    <w:rsid w:val="009C4DED"/>
    <w:rsid w:val="009D5933"/>
    <w:rsid w:val="009F2555"/>
    <w:rsid w:val="00A35217"/>
    <w:rsid w:val="00A37CCB"/>
    <w:rsid w:val="00A428CA"/>
    <w:rsid w:val="00A47732"/>
    <w:rsid w:val="00A57254"/>
    <w:rsid w:val="00A918F2"/>
    <w:rsid w:val="00A930FE"/>
    <w:rsid w:val="00A931C4"/>
    <w:rsid w:val="00A95BB6"/>
    <w:rsid w:val="00AA74F7"/>
    <w:rsid w:val="00AC1A02"/>
    <w:rsid w:val="00AC3453"/>
    <w:rsid w:val="00AD06DC"/>
    <w:rsid w:val="00AD1120"/>
    <w:rsid w:val="00AD1A8D"/>
    <w:rsid w:val="00B12051"/>
    <w:rsid w:val="00B35351"/>
    <w:rsid w:val="00B46905"/>
    <w:rsid w:val="00B60590"/>
    <w:rsid w:val="00B773D9"/>
    <w:rsid w:val="00B9624E"/>
    <w:rsid w:val="00BB3079"/>
    <w:rsid w:val="00BD0932"/>
    <w:rsid w:val="00BD768D"/>
    <w:rsid w:val="00C100B2"/>
    <w:rsid w:val="00C25D51"/>
    <w:rsid w:val="00C26C9C"/>
    <w:rsid w:val="00C50B00"/>
    <w:rsid w:val="00C61F8E"/>
    <w:rsid w:val="00D40AAB"/>
    <w:rsid w:val="00D66BAB"/>
    <w:rsid w:val="00D7548E"/>
    <w:rsid w:val="00DA614C"/>
    <w:rsid w:val="00DC36F0"/>
    <w:rsid w:val="00DE4646"/>
    <w:rsid w:val="00E025E2"/>
    <w:rsid w:val="00E161AB"/>
    <w:rsid w:val="00E20234"/>
    <w:rsid w:val="00E255D4"/>
    <w:rsid w:val="00E27DFA"/>
    <w:rsid w:val="00E35D29"/>
    <w:rsid w:val="00E63BB6"/>
    <w:rsid w:val="00E70F68"/>
    <w:rsid w:val="00E73E8F"/>
    <w:rsid w:val="00E83E4B"/>
    <w:rsid w:val="00EA0F28"/>
    <w:rsid w:val="00EC3D9F"/>
    <w:rsid w:val="00ED2268"/>
    <w:rsid w:val="00EE42A8"/>
    <w:rsid w:val="00F31B40"/>
    <w:rsid w:val="00F45BA8"/>
    <w:rsid w:val="00F52D1C"/>
    <w:rsid w:val="00F86AA5"/>
    <w:rsid w:val="00FB3617"/>
    <w:rsid w:val="00FC6A47"/>
    <w:rsid w:val="00FC6CDF"/>
    <w:rsid w:val="035574C2"/>
    <w:rsid w:val="0487E653"/>
    <w:rsid w:val="05174113"/>
    <w:rsid w:val="05CBC5F6"/>
    <w:rsid w:val="05EE3307"/>
    <w:rsid w:val="06605BC3"/>
    <w:rsid w:val="07B2A121"/>
    <w:rsid w:val="083F81A4"/>
    <w:rsid w:val="08F8BB6E"/>
    <w:rsid w:val="091E4DF4"/>
    <w:rsid w:val="0931F19F"/>
    <w:rsid w:val="0A1A1924"/>
    <w:rsid w:val="0ABB7F27"/>
    <w:rsid w:val="0EBFF8A6"/>
    <w:rsid w:val="1169E3BB"/>
    <w:rsid w:val="13397E64"/>
    <w:rsid w:val="1BF0D011"/>
    <w:rsid w:val="1CC3BC5C"/>
    <w:rsid w:val="1DB5A0FB"/>
    <w:rsid w:val="1E717B61"/>
    <w:rsid w:val="1EC6C4AF"/>
    <w:rsid w:val="1F364EEA"/>
    <w:rsid w:val="1F4A06FA"/>
    <w:rsid w:val="1F5A170F"/>
    <w:rsid w:val="27D16D62"/>
    <w:rsid w:val="2902C111"/>
    <w:rsid w:val="290F93BF"/>
    <w:rsid w:val="2982CC91"/>
    <w:rsid w:val="2A5A8BC3"/>
    <w:rsid w:val="2B02BBD0"/>
    <w:rsid w:val="2CBAD855"/>
    <w:rsid w:val="3001474D"/>
    <w:rsid w:val="319EBCBF"/>
    <w:rsid w:val="356686C8"/>
    <w:rsid w:val="390104DD"/>
    <w:rsid w:val="3D131D45"/>
    <w:rsid w:val="3E4FD5B0"/>
    <w:rsid w:val="43EF8DA6"/>
    <w:rsid w:val="44DC98F9"/>
    <w:rsid w:val="460C06C9"/>
    <w:rsid w:val="4613BA30"/>
    <w:rsid w:val="48B694C3"/>
    <w:rsid w:val="49541AC4"/>
    <w:rsid w:val="4B15A4C9"/>
    <w:rsid w:val="4D79DE4C"/>
    <w:rsid w:val="4E3E9B39"/>
    <w:rsid w:val="4F6213CD"/>
    <w:rsid w:val="52C5937C"/>
    <w:rsid w:val="53A4896F"/>
    <w:rsid w:val="54AEDF63"/>
    <w:rsid w:val="5614B05D"/>
    <w:rsid w:val="56CD96A9"/>
    <w:rsid w:val="57401014"/>
    <w:rsid w:val="5900A28E"/>
    <w:rsid w:val="5AB4EDD6"/>
    <w:rsid w:val="5AC9A939"/>
    <w:rsid w:val="5BDD51C6"/>
    <w:rsid w:val="5FAED5EA"/>
    <w:rsid w:val="61DA85D7"/>
    <w:rsid w:val="67BCAA66"/>
    <w:rsid w:val="6805B87C"/>
    <w:rsid w:val="6A517417"/>
    <w:rsid w:val="6DF5B527"/>
    <w:rsid w:val="70FFB7F9"/>
    <w:rsid w:val="72D1A370"/>
    <w:rsid w:val="73CAA809"/>
    <w:rsid w:val="743C05E1"/>
    <w:rsid w:val="7B2E6EFE"/>
    <w:rsid w:val="7BD5A2FD"/>
    <w:rsid w:val="7CF7E340"/>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4FD5B0"/>
  <w15:chartTrackingRefBased/>
  <w15:docId w15:val="{0D47CEAF-1821-432A-94D5-296DF6655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uiPriority w:val="9"/>
    <w:unhideWhenUsed/>
    <w:qFormat/>
    <w:rsid w:val="1F364EEA"/>
    <w:pPr>
      <w:keepNext/>
      <w:keepLines/>
      <w:spacing w:before="160" w:after="80"/>
      <w:outlineLvl w:val="2"/>
    </w:pPr>
    <w:rPr>
      <w:rFonts w:cstheme="majorEastAsia"/>
      <w:color w:val="2A7B88" w:themeColor="accent1" w:themeShade="BF"/>
      <w:sz w:val="28"/>
      <w:szCs w:val="28"/>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ListParagraph">
    <w:name w:val="List Paragraph"/>
    <w:basedOn w:val="Normal"/>
    <w:uiPriority w:val="34"/>
    <w:qFormat/>
    <w:pPr>
      <w:ind w:left="720"/>
      <w:contextualSpacing/>
    </w:pPr>
  </w:style>
  <w:style w:type="table" w:styleId="TableGridLight">
    <w:name w:val="Grid Table Light"/>
    <w:basedOn w:val="TableNormal"/>
    <w:uiPriority w:val="40"/>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BB3079"/>
    <w:rPr>
      <w:b/>
      <w:bCs/>
    </w:rPr>
  </w:style>
  <w:style w:type="paragraph" w:styleId="NormalWeb">
    <w:name w:val="Normal (Web)"/>
    <w:basedOn w:val="Normal"/>
    <w:uiPriority w:val="99"/>
    <w:unhideWhenUsed/>
    <w:rsid w:val="0058148B"/>
    <w:pPr>
      <w:spacing w:before="100" w:beforeAutospacing="1" w:after="100" w:afterAutospacing="1"/>
    </w:pPr>
    <w:rPr>
      <w:rFonts w:ascii="Times New Roman" w:eastAsia="Times New Roman" w:hAnsi="Times New Roman" w:cs="Times New Roman"/>
      <w:color w:val="auto"/>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301533">
      <w:bodyDiv w:val="1"/>
      <w:marLeft w:val="0"/>
      <w:marRight w:val="0"/>
      <w:marTop w:val="0"/>
      <w:marBottom w:val="0"/>
      <w:divBdr>
        <w:top w:val="none" w:sz="0" w:space="0" w:color="auto"/>
        <w:left w:val="none" w:sz="0" w:space="0" w:color="auto"/>
        <w:bottom w:val="none" w:sz="0" w:space="0" w:color="auto"/>
        <w:right w:val="none" w:sz="0" w:space="0" w:color="auto"/>
      </w:divBdr>
    </w:div>
    <w:div w:id="296180554">
      <w:bodyDiv w:val="1"/>
      <w:marLeft w:val="0"/>
      <w:marRight w:val="0"/>
      <w:marTop w:val="0"/>
      <w:marBottom w:val="0"/>
      <w:divBdr>
        <w:top w:val="none" w:sz="0" w:space="0" w:color="auto"/>
        <w:left w:val="none" w:sz="0" w:space="0" w:color="auto"/>
        <w:bottom w:val="none" w:sz="0" w:space="0" w:color="auto"/>
        <w:right w:val="none" w:sz="0" w:space="0" w:color="auto"/>
      </w:divBdr>
    </w:div>
    <w:div w:id="446315571">
      <w:bodyDiv w:val="1"/>
      <w:marLeft w:val="0"/>
      <w:marRight w:val="0"/>
      <w:marTop w:val="0"/>
      <w:marBottom w:val="0"/>
      <w:divBdr>
        <w:top w:val="none" w:sz="0" w:space="0" w:color="auto"/>
        <w:left w:val="none" w:sz="0" w:space="0" w:color="auto"/>
        <w:bottom w:val="none" w:sz="0" w:space="0" w:color="auto"/>
        <w:right w:val="none" w:sz="0" w:space="0" w:color="auto"/>
      </w:divBdr>
    </w:div>
    <w:div w:id="1003044636">
      <w:bodyDiv w:val="1"/>
      <w:marLeft w:val="0"/>
      <w:marRight w:val="0"/>
      <w:marTop w:val="0"/>
      <w:marBottom w:val="0"/>
      <w:divBdr>
        <w:top w:val="none" w:sz="0" w:space="0" w:color="auto"/>
        <w:left w:val="none" w:sz="0" w:space="0" w:color="auto"/>
        <w:bottom w:val="none" w:sz="0" w:space="0" w:color="auto"/>
        <w:right w:val="none" w:sz="0" w:space="0" w:color="auto"/>
      </w:divBdr>
    </w:div>
    <w:div w:id="1745108818">
      <w:bodyDiv w:val="1"/>
      <w:marLeft w:val="0"/>
      <w:marRight w:val="0"/>
      <w:marTop w:val="0"/>
      <w:marBottom w:val="0"/>
      <w:divBdr>
        <w:top w:val="none" w:sz="0" w:space="0" w:color="auto"/>
        <w:left w:val="none" w:sz="0" w:space="0" w:color="auto"/>
        <w:bottom w:val="none" w:sz="0" w:space="0" w:color="auto"/>
        <w:right w:val="none" w:sz="0" w:space="0" w:color="auto"/>
      </w:divBdr>
    </w:div>
    <w:div w:id="1754155602">
      <w:bodyDiv w:val="1"/>
      <w:marLeft w:val="0"/>
      <w:marRight w:val="0"/>
      <w:marTop w:val="0"/>
      <w:marBottom w:val="0"/>
      <w:divBdr>
        <w:top w:val="none" w:sz="0" w:space="0" w:color="auto"/>
        <w:left w:val="none" w:sz="0" w:space="0" w:color="auto"/>
        <w:bottom w:val="none" w:sz="0" w:space="0" w:color="auto"/>
        <w:right w:val="none" w:sz="0" w:space="0" w:color="auto"/>
      </w:divBdr>
    </w:div>
    <w:div w:id="2026398561">
      <w:bodyDiv w:val="1"/>
      <w:marLeft w:val="0"/>
      <w:marRight w:val="0"/>
      <w:marTop w:val="0"/>
      <w:marBottom w:val="0"/>
      <w:divBdr>
        <w:top w:val="none" w:sz="0" w:space="0" w:color="auto"/>
        <w:left w:val="none" w:sz="0" w:space="0" w:color="auto"/>
        <w:bottom w:val="none" w:sz="0" w:space="0" w:color="auto"/>
        <w:right w:val="none" w:sz="0" w:space="0" w:color="auto"/>
      </w:divBdr>
    </w:div>
    <w:div w:id="204547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syedaumema46/"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yedaumema414@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3.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B58EEF29-E329-4D07-A3C4-7BD558B1B48C}">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5</Pages>
  <Words>2365</Words>
  <Characters>13481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ISHIKA ANAND</dc:creator>
  <cp:keywords/>
  <cp:lastModifiedBy>Ishika Anand</cp:lastModifiedBy>
  <cp:revision>2</cp:revision>
  <dcterms:created xsi:type="dcterms:W3CDTF">2025-12-18T21:28:00Z</dcterms:created>
  <dcterms:modified xsi:type="dcterms:W3CDTF">2025-12-18T21:28:00Z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GrammarlyDocumentId">
    <vt:lpwstr>c5c27f90-0157-47d5-94f9-2aefe9f6dfb1</vt:lpwstr>
  </property>
</Properties>
</file>