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9972" w14:textId="77777777" w:rsidR="009F42F5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VENKATA KAKARLA</w:t>
      </w:r>
    </w:p>
    <w:p w14:paraId="763E94BC" w14:textId="77777777" w:rsidR="009F42F5" w:rsidRDefault="00000000">
      <w:pPr>
        <w:spacing w:after="60"/>
        <w:jc w:val="center"/>
      </w:pPr>
      <w:r>
        <w:rPr>
          <w:color w:val="555555"/>
          <w:sz w:val="22"/>
          <w:szCs w:val="22"/>
        </w:rPr>
        <w:t>Healthcare Business Analyst | PMP® | PMI-ACP® | LSSBB | CCS</w:t>
      </w:r>
    </w:p>
    <w:p w14:paraId="59DCE6D5" w14:textId="77777777" w:rsidR="009F42F5" w:rsidRDefault="00000000"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>EHR/EMR ▪ Medicaid/Medicare ▪ Requirements Gathering ▪ Process Mapping ▪ Agile/Scrum ▪ JIRA/Confluence ▪ HL7/FHIR ▪ Revenue Cycle ▪ Behavioral Health ▪ State Government Programs</w:t>
      </w:r>
    </w:p>
    <w:p w14:paraId="0A906102" w14:textId="77777777" w:rsidR="009F42F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5FE64538" w14:textId="77777777" w:rsidR="009F42F5" w:rsidRDefault="00000000" w:rsidP="00C54EB8">
      <w:pPr>
        <w:spacing w:before="80" w:after="80"/>
        <w:jc w:val="both"/>
      </w:pPr>
      <w:r>
        <w:rPr>
          <w:color w:val="000000"/>
        </w:rPr>
        <w:t>Detail-oriented Healthcare Business Analyst with 12+ years of experience bridging clinical operations and IT across EHR implementations, Medicaid/Medicare programs, and healthcare workflow transformations. Proven expertise in gathering and documenting business and functional requirements, conducting gap analyses, and supporting system modernization projects in multi-state, multi-stakeholder environments. Skilled in process mapping, stakeholder engagement, and cross-functional collaboration with clinical, technical, and regulatory teams. Experienced working with state government Medicaid agencies, payer organizations, and managed care programs impacting 780,000+ members. Proficient in Agile, Scrum, and Waterfall methodologies with hands-on JIRA, Confluence, and Epic analytics experience. PMP®-certified with a deep background in CDI, RCM, and healthcare data standards including HL7, FHIR, ICD-10, and CPT.</w:t>
      </w:r>
    </w:p>
    <w:p w14:paraId="1FFA57BA" w14:textId="77777777" w:rsidR="009F42F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CORE COMPETENCIES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6"/>
      </w:tblGrid>
      <w:tr w:rsidR="009F42F5" w14:paraId="4A8AC522" w14:textId="77777777" w:rsidTr="00C54EB8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4100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Business &amp; Functional Requirements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9350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Process Mapping &amp; Gap Analysis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36A1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Medicaid / Medicare Compliance</w:t>
            </w:r>
          </w:p>
        </w:tc>
      </w:tr>
      <w:tr w:rsidR="009F42F5" w14:paraId="5247DE23" w14:textId="77777777" w:rsidTr="00C54EB8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92ED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Stakeholder Engagement &amp; Facilitation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6551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Agile / Scrum / Waterfall / SAFe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9863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JIRA, Confluence, Visio, MS Project</w:t>
            </w:r>
          </w:p>
        </w:tc>
      </w:tr>
      <w:tr w:rsidR="009F42F5" w14:paraId="14FFE95B" w14:textId="77777777" w:rsidTr="00C54EB8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CC31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EHR System Implementations (Epic)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47B8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Healthcare Data &amp; Analytics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34878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Behavioral / Public Health Programs</w:t>
            </w:r>
          </w:p>
        </w:tc>
      </w:tr>
      <w:tr w:rsidR="009F42F5" w14:paraId="2148686E" w14:textId="77777777" w:rsidTr="00C54EB8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FFA8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State Medicaid Agency Coordination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A155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Workflow Documentation &amp; UAT</w:t>
            </w:r>
          </w:p>
        </w:tc>
        <w:tc>
          <w:tcPr>
            <w:tcW w:w="1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F06D" w14:textId="77777777" w:rsidR="009F42F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HL7 / FHIR / ICD-10 / CPT / HCPCS</w:t>
            </w:r>
          </w:p>
        </w:tc>
      </w:tr>
    </w:tbl>
    <w:p w14:paraId="71DB0DD6" w14:textId="77777777" w:rsidR="009F42F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7BAECEB0" w14:textId="77777777" w:rsidR="009F42F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4E79"/>
          <w:sz w:val="22"/>
          <w:szCs w:val="22"/>
        </w:rPr>
        <w:t>UnitedHealth Group (UHG)</w:t>
      </w:r>
      <w:r>
        <w:rPr>
          <w:color w:val="555555"/>
        </w:rPr>
        <w:t xml:space="preserve"> | Hopkins, MN (Remote)</w:t>
      </w:r>
      <w:r>
        <w:rPr>
          <w:i/>
          <w:iCs/>
          <w:color w:val="555555"/>
        </w:rPr>
        <w:tab/>
        <w:t>Jan 2025 – Present</w:t>
      </w:r>
    </w:p>
    <w:p w14:paraId="7C3C3131" w14:textId="77777777" w:rsidR="009F42F5" w:rsidRDefault="00000000">
      <w:pPr>
        <w:spacing w:after="60"/>
      </w:pPr>
      <w:r>
        <w:rPr>
          <w:b/>
          <w:bCs/>
          <w:i/>
          <w:iCs/>
          <w:color w:val="000000"/>
        </w:rPr>
        <w:t>Clinical IT Business Analyst / Project Manager</w:t>
      </w:r>
    </w:p>
    <w:p w14:paraId="2C381D5D" w14:textId="77777777" w:rsidR="009F42F5" w:rsidRDefault="00000000" w:rsidP="00C54EB8">
      <w:pPr>
        <w:spacing w:after="60"/>
        <w:jc w:val="both"/>
      </w:pPr>
      <w:r>
        <w:rPr>
          <w:color w:val="555555"/>
        </w:rPr>
        <w:t>Serves as BA and PM for enterprise Epic Revenue Cycle and Clinical IT programs spanning ambulatory, Professional Billing, Patient Financial Services, and charge automation platforms.</w:t>
      </w:r>
    </w:p>
    <w:p w14:paraId="7FCB364C" w14:textId="77777777" w:rsidR="009F42F5" w:rsidRDefault="00000000" w:rsidP="00C54EB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Elicit, document, and validate business and functional requirements for Epic Revenue Cycle workflows including Professional Billing, Claims (837/835), Charge Router, and PFS across multi-specialty provider networks.</w:t>
      </w:r>
    </w:p>
    <w:p w14:paraId="31EF06AF" w14:textId="77777777" w:rsidR="009F42F5" w:rsidRDefault="00000000" w:rsidP="00C54EB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Conduct process mapping and gap analysis of ambulatory and specialty workflows to identify inefficiencies and support system optimization initiatives.</w:t>
      </w:r>
    </w:p>
    <w:p w14:paraId="39E031D4" w14:textId="77777777" w:rsidR="009F42F5" w:rsidRDefault="00000000" w:rsidP="00C54EB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Develop and maintain BRDs, user stories, use cases, and workflow documentation aligned with PMO standards and CMS compliance requirements.</w:t>
      </w:r>
    </w:p>
    <w:p w14:paraId="68E46C14" w14:textId="77777777" w:rsidR="009F42F5" w:rsidRDefault="00000000" w:rsidP="00C54EB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Facilitate requirements workshops and stakeholder interviews with clinical operations, IT, and payer teams to align solutions with business objectives.</w:t>
      </w:r>
    </w:p>
    <w:p w14:paraId="1E1321D8" w14:textId="77777777" w:rsidR="009F42F5" w:rsidRDefault="00000000" w:rsidP="00C54EB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Coordinate UAT strategy including test case development, defect tracking, and formal release acceptance, reducing post-release defects and safeguarding revenue cycle continuity.</w:t>
      </w:r>
    </w:p>
    <w:p w14:paraId="5F06287E" w14:textId="77777777" w:rsidR="009F42F5" w:rsidRDefault="00000000" w:rsidP="00C54EB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Support executive steering committees with program status reporting, risk posture dashboards, and strategic decision documentation for senior leadership.</w:t>
      </w:r>
    </w:p>
    <w:p w14:paraId="0A4C5F7D" w14:textId="77777777" w:rsidR="009F42F5" w:rsidRDefault="00000000" w:rsidP="00C54EB8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000000"/>
        </w:rPr>
        <w:t>Enable operational visibility through ADT data flows and real-time dashboards supporting patient flow, capacity planning, and placement readiness reporting.</w:t>
      </w:r>
    </w:p>
    <w:p w14:paraId="2EF7FF99" w14:textId="77777777" w:rsidR="009F42F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4E79"/>
          <w:sz w:val="22"/>
          <w:szCs w:val="22"/>
        </w:rPr>
        <w:t>Humana – Healthy Horizons (EHR Division)</w:t>
      </w:r>
      <w:r>
        <w:rPr>
          <w:color w:val="555555"/>
        </w:rPr>
        <w:t xml:space="preserve"> | Arizona (Remote)</w:t>
      </w:r>
      <w:r>
        <w:rPr>
          <w:i/>
          <w:iCs/>
          <w:color w:val="555555"/>
        </w:rPr>
        <w:tab/>
        <w:t>Aug 2023 – Dec 2024</w:t>
      </w:r>
    </w:p>
    <w:p w14:paraId="7B156B77" w14:textId="77777777" w:rsidR="009F42F5" w:rsidRDefault="00000000">
      <w:pPr>
        <w:spacing w:after="60"/>
      </w:pPr>
      <w:r>
        <w:rPr>
          <w:b/>
          <w:bCs/>
          <w:i/>
          <w:iCs/>
          <w:color w:val="000000"/>
        </w:rPr>
        <w:t>Healthcare IT Business Analyst / Project Manager</w:t>
      </w:r>
    </w:p>
    <w:p w14:paraId="7FC8C118" w14:textId="77777777" w:rsidR="009F42F5" w:rsidRDefault="00000000">
      <w:pPr>
        <w:spacing w:after="60"/>
      </w:pPr>
      <w:r>
        <w:rPr>
          <w:color w:val="555555"/>
        </w:rPr>
        <w:t>BA and PM for enterprise Medicaid and Medicare market implementations delivering EHR-enabled rollouts across 6 state markets for 780,000+ members and 6,500+ providers.</w:t>
      </w:r>
    </w:p>
    <w:p w14:paraId="53A4A224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Gathered and documented detailed business requirements, functional specifications, and process workflows for EHR-enabled enrollment, eligibility verification, claims processing, care coordination, and member services across 6 state Medicaid/Medicare markets.</w:t>
      </w:r>
    </w:p>
    <w:p w14:paraId="6DED129F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Conducted gap analysis between existing state Medicaid program workflows and target EHR system capabilities, identifying integration points and remediation needs.</w:t>
      </w:r>
    </w:p>
    <w:p w14:paraId="3AF04BE8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Served as primary liaison between state Medicaid agencies, CMS, and internal delivery teams managing governance reviews, regulatory reporting deliverables, and compliance checkpoints.</w:t>
      </w:r>
    </w:p>
    <w:p w14:paraId="2F9CDDB9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Developed standardized implementation playbooks and workflow documentation adopted across multiple Humana markets, improving delivery velocity and consistency.</w:t>
      </w:r>
    </w:p>
    <w:p w14:paraId="2FF2BEE6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Led UAT coordination, cutover readiness, and go-live execution ensuring seamless transition across enrollment, claims, care coordination, and member services platforms.</w:t>
      </w:r>
    </w:p>
    <w:p w14:paraId="0E925C58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Achieved 42% improvement in provider onboarding throughput by redesigning EHR-driven enrollment, credentialing, and eligibility verification workflows integrated with payer systems.</w:t>
      </w:r>
    </w:p>
    <w:p w14:paraId="1FED46D4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Implemented Prosci-based change management strategy achieving &gt;90% operational adoption with minimal disruption across clinical, enrollment, and RCM workstreams.</w:t>
      </w:r>
    </w:p>
    <w:p w14:paraId="6CC308F5" w14:textId="0D7702B9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Avoided $4.2M in regulatory penalties through proactive CMS compliance readiness, audit preparation, and risk mitigation documentation supporting 35% faster stabilization timelines.</w:t>
      </w:r>
    </w:p>
    <w:p w14:paraId="113B85F5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Enabled real-time ADT and enrollment data integrations to support patient flow coordination and operational readiness dashboards for executive decision-making.</w:t>
      </w:r>
    </w:p>
    <w:p w14:paraId="338ED1A9" w14:textId="77777777" w:rsidR="009F42F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4E79"/>
          <w:sz w:val="22"/>
          <w:szCs w:val="22"/>
        </w:rPr>
        <w:t>Taiba Hospital</w:t>
      </w:r>
      <w:r>
        <w:rPr>
          <w:color w:val="555555"/>
        </w:rPr>
        <w:t xml:space="preserve"> | Kuwait (Onsite)</w:t>
      </w:r>
      <w:r>
        <w:rPr>
          <w:i/>
          <w:iCs/>
          <w:color w:val="555555"/>
        </w:rPr>
        <w:tab/>
        <w:t>Jan 2018 – Dec 2021</w:t>
      </w:r>
    </w:p>
    <w:p w14:paraId="090E0914" w14:textId="77777777" w:rsidR="009F42F5" w:rsidRDefault="00000000">
      <w:pPr>
        <w:spacing w:after="60"/>
      </w:pPr>
      <w:r>
        <w:rPr>
          <w:b/>
          <w:bCs/>
          <w:i/>
          <w:iCs/>
          <w:color w:val="000000"/>
        </w:rPr>
        <w:t>RCM Business Analyst &amp; Program Manager</w:t>
      </w:r>
    </w:p>
    <w:p w14:paraId="7A7EFF15" w14:textId="77777777" w:rsidR="009F42F5" w:rsidRDefault="00000000">
      <w:pPr>
        <w:spacing w:after="60"/>
      </w:pPr>
      <w:r>
        <w:rPr>
          <w:color w:val="555555"/>
        </w:rPr>
        <w:t>Led business analysis, requirements documentation, and process redesign for 6 concurrent multi-phase RCM initiatives spanning coding, billing, CDM, CDI, and end-to-end revenue cycle transformation.</w:t>
      </w:r>
    </w:p>
    <w:p w14:paraId="750CB905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Documented current-state and future-state workflows for ICD-10 standardization, CDM optimization, pre-authorization governance, outpatient billing, and CDI programs; produced BRDs, process maps, and gap analyses for each initiative.</w:t>
      </w:r>
    </w:p>
    <w:p w14:paraId="0422E058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Led cross-functional requirements sessions with physicians, nurses, coders, HIM, and IT teams to define documentation standards, EHR-integrated workflows, and KPI dashboards.</w:t>
      </w:r>
    </w:p>
    <w:p w14:paraId="49053642" w14:textId="64BAA56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Directed hospital-wide CDM overhaul covering 6,000–7,000 CPT/HCPCS/PCS codes reduced denial rates by 20% and stabilized $4.5M monthly revenue stream through process standardization.</w:t>
      </w:r>
    </w:p>
    <w:p w14:paraId="67FF54D8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Implemented CDI program improving documentation accuracy by 15%, reducing query turnaround time, and supporting a $40M claims portfolio with enhanced compliance oversight.</w:t>
      </w:r>
    </w:p>
    <w:p w14:paraId="4966DEA0" w14:textId="250E41F6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Redesigned end-to-end RCM workflows through gap analysis across coding, billing, pharmacy, and diagnostics increasing operational efficiency by 10% and accelerating claim submission cycles.</w:t>
      </w:r>
    </w:p>
    <w:p w14:paraId="0A777925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Developed pivot-table-based reporting and KPI dashboards to track physician documentation patterns, coding accuracy, and denial trends across departments.</w:t>
      </w:r>
    </w:p>
    <w:p w14:paraId="246F2BD4" w14:textId="77777777" w:rsidR="009F42F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4E79"/>
          <w:sz w:val="22"/>
          <w:szCs w:val="22"/>
        </w:rPr>
        <w:t>GEBBS Healthcare Solutions</w:t>
      </w:r>
      <w:r>
        <w:rPr>
          <w:color w:val="555555"/>
        </w:rPr>
        <w:t xml:space="preserve"> | India (Onsite)</w:t>
      </w:r>
      <w:r>
        <w:rPr>
          <w:i/>
          <w:iCs/>
          <w:color w:val="555555"/>
        </w:rPr>
        <w:tab/>
        <w:t>Oct 2015 – Dec 2017</w:t>
      </w:r>
    </w:p>
    <w:p w14:paraId="57F11E02" w14:textId="77777777" w:rsidR="009F42F5" w:rsidRDefault="00000000">
      <w:pPr>
        <w:spacing w:after="60"/>
      </w:pPr>
      <w:r>
        <w:rPr>
          <w:b/>
          <w:bCs/>
          <w:i/>
          <w:iCs/>
          <w:color w:val="000000"/>
        </w:rPr>
        <w:t>RCM Coding Lead &amp; Business Analyst</w:t>
      </w:r>
    </w:p>
    <w:p w14:paraId="58192331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Analyzed coding quality and RCM workflows for surgical and E&amp;M services; developed internal guidelines and SOPs ensuring consistent CPT/ICD-10 accuracy across clinical workflows.</w:t>
      </w:r>
    </w:p>
    <w:p w14:paraId="5768014A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Conducted coding audits and gap analyses reducing coding errors by 20%, increasing claim acceptance rates by 15%, and cutting denials by 12%.</w:t>
      </w:r>
    </w:p>
    <w:p w14:paraId="4C0662B4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structured onboarding and training programs for coders, partnering with billing and RCM teams to reduce rework and strengthen audit readiness.</w:t>
      </w:r>
    </w:p>
    <w:p w14:paraId="2C055FAB" w14:textId="77777777" w:rsidR="009F42F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4E79"/>
          <w:sz w:val="22"/>
          <w:szCs w:val="22"/>
        </w:rPr>
        <w:t>Techno Soft Consulting</w:t>
      </w:r>
      <w:r>
        <w:rPr>
          <w:color w:val="555555"/>
        </w:rPr>
        <w:t xml:space="preserve"> | India (Onsite)</w:t>
      </w:r>
      <w:r>
        <w:rPr>
          <w:i/>
          <w:iCs/>
          <w:color w:val="555555"/>
        </w:rPr>
        <w:tab/>
        <w:t>Aug 2014 – Jul 2015</w:t>
      </w:r>
    </w:p>
    <w:p w14:paraId="6533F983" w14:textId="77777777" w:rsidR="009F42F5" w:rsidRDefault="00000000">
      <w:pPr>
        <w:spacing w:after="60"/>
      </w:pPr>
      <w:r>
        <w:rPr>
          <w:b/>
          <w:bCs/>
          <w:i/>
          <w:iCs/>
          <w:color w:val="000000"/>
        </w:rPr>
        <w:t>RCM Coding SME</w:t>
      </w:r>
    </w:p>
    <w:p w14:paraId="15F800FE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Managed high-volume surgical coding (160+ charts/day) at 95–98% accuracy; reduced audit discrepancies by 30% through proactive QA and protocol standardization.</w:t>
      </w:r>
    </w:p>
    <w:p w14:paraId="664AC10D" w14:textId="77777777" w:rsidR="009F42F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F4E79"/>
          <w:sz w:val="22"/>
          <w:szCs w:val="22"/>
        </w:rPr>
        <w:t>Omega Healthcare Management</w:t>
      </w:r>
      <w:r>
        <w:rPr>
          <w:color w:val="555555"/>
        </w:rPr>
        <w:t xml:space="preserve"> | India (Onsite)</w:t>
      </w:r>
      <w:r>
        <w:rPr>
          <w:i/>
          <w:iCs/>
          <w:color w:val="555555"/>
        </w:rPr>
        <w:tab/>
        <w:t>Apr 2012 – Jul 2014</w:t>
      </w:r>
    </w:p>
    <w:p w14:paraId="5CDCF313" w14:textId="77777777" w:rsidR="009F42F5" w:rsidRDefault="00000000">
      <w:pPr>
        <w:spacing w:after="60"/>
      </w:pPr>
      <w:r>
        <w:rPr>
          <w:b/>
          <w:bCs/>
          <w:i/>
          <w:iCs/>
          <w:color w:val="000000"/>
        </w:rPr>
        <w:t>Healthcare Analyst</w:t>
      </w:r>
    </w:p>
    <w:p w14:paraId="23661A90" w14:textId="77777777" w:rsidR="009F42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Performed RCM coding analysis, denial trend tracking, and payer compliance reviews supporting revenue cycle operations across ambulatory and surgical service lines.</w:t>
      </w:r>
    </w:p>
    <w:p w14:paraId="1F15C70E" w14:textId="77777777" w:rsidR="009F42F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2182152B" w14:textId="77777777" w:rsidR="009F42F5" w:rsidRDefault="00000000">
      <w:pPr>
        <w:tabs>
          <w:tab w:val="right" w:pos="9360"/>
        </w:tabs>
        <w:spacing w:before="80" w:after="30"/>
      </w:pPr>
      <w:r>
        <w:rPr>
          <w:b/>
          <w:bCs/>
        </w:rPr>
        <w:t>Master of Science in Medical Informatics</w:t>
      </w:r>
      <w:r>
        <w:rPr>
          <w:i/>
          <w:iCs/>
          <w:color w:val="555555"/>
        </w:rPr>
        <w:tab/>
        <w:t>Sacred Heart University, Fairfield, CT | 2023</w:t>
      </w:r>
    </w:p>
    <w:p w14:paraId="1672C520" w14:textId="77777777" w:rsidR="009F42F5" w:rsidRDefault="00000000">
      <w:pPr>
        <w:tabs>
          <w:tab w:val="right" w:pos="9360"/>
        </w:tabs>
        <w:spacing w:before="30" w:after="30"/>
      </w:pPr>
      <w:r>
        <w:rPr>
          <w:b/>
          <w:bCs/>
        </w:rPr>
        <w:t>Bachelor of Pharmacy</w:t>
      </w:r>
      <w:r>
        <w:rPr>
          <w:i/>
          <w:iCs/>
          <w:color w:val="555555"/>
        </w:rPr>
        <w:tab/>
        <w:t>Malineni Lakshmaiah College of Pharmacy, India | 2011</w:t>
      </w:r>
    </w:p>
    <w:p w14:paraId="4C01206F" w14:textId="77777777" w:rsidR="009F42F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CERTIFICATIONS</w:t>
      </w:r>
    </w:p>
    <w:p w14:paraId="62462AEC" w14:textId="77777777" w:rsidR="009F42F5" w:rsidRDefault="00000000">
      <w:pPr>
        <w:spacing w:before="80" w:after="60"/>
      </w:pPr>
      <w:r>
        <w:rPr>
          <w:color w:val="000000"/>
        </w:rPr>
        <w:lastRenderedPageBreak/>
        <w:t>PMP® (PMI)  |  PMI-ACP® (PMI)  |  CCS – Certified Coding Specialist (AHIMA)  |  Lean Six Sigma Black Belt  |  Lean Six Sigma Green Belt  |  HIPAA Compliance</w:t>
      </w:r>
    </w:p>
    <w:p w14:paraId="38E98F74" w14:textId="77777777" w:rsidR="009F42F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TECHNICAL SKILLS</w:t>
      </w:r>
    </w:p>
    <w:p w14:paraId="7331284F" w14:textId="77777777" w:rsidR="009F42F5" w:rsidRDefault="009F42F5">
      <w:pPr>
        <w:spacing w:before="8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7973"/>
      </w:tblGrid>
      <w:tr w:rsidR="009F42F5" w14:paraId="5A333C53" w14:textId="77777777" w:rsidTr="00FB5621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505E" w14:textId="77777777" w:rsidR="009F42F5" w:rsidRDefault="00000000">
            <w:r>
              <w:rPr>
                <w:b/>
                <w:bCs/>
                <w:color w:val="1F4E79"/>
                <w:sz w:val="19"/>
                <w:szCs w:val="19"/>
              </w:rPr>
              <w:t>BA Tools</w:t>
            </w:r>
          </w:p>
        </w:tc>
        <w:tc>
          <w:tcPr>
            <w:tcW w:w="3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EEC1" w14:textId="77777777" w:rsidR="009F42F5" w:rsidRDefault="00000000">
            <w:r>
              <w:rPr>
                <w:color w:val="000000"/>
                <w:sz w:val="19"/>
                <w:szCs w:val="19"/>
              </w:rPr>
              <w:t>JIRA, Confluence, MS Visio, Smartsheet, MS Project, Azure DevOps, Draw.io, MS Office Suite</w:t>
            </w:r>
          </w:p>
        </w:tc>
      </w:tr>
      <w:tr w:rsidR="009F42F5" w14:paraId="0A9D9888" w14:textId="77777777" w:rsidTr="00FB5621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30AA" w14:textId="77777777" w:rsidR="009F42F5" w:rsidRDefault="00000000">
            <w:r>
              <w:rPr>
                <w:b/>
                <w:bCs/>
                <w:color w:val="1F4E79"/>
                <w:sz w:val="19"/>
                <w:szCs w:val="19"/>
              </w:rPr>
              <w:t>EHR Platforms</w:t>
            </w:r>
          </w:p>
        </w:tc>
        <w:tc>
          <w:tcPr>
            <w:tcW w:w="3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D4E8" w14:textId="77777777" w:rsidR="009F42F5" w:rsidRDefault="00000000">
            <w:r>
              <w:rPr>
                <w:color w:val="000000"/>
                <w:sz w:val="19"/>
                <w:szCs w:val="19"/>
              </w:rPr>
              <w:t>Epic (Professional Billing, Claims, PFS, Charge Router, HB, Ambulatory), eClinicalWorks, Inpatient/Outpatient Workflows</w:t>
            </w:r>
          </w:p>
        </w:tc>
      </w:tr>
      <w:tr w:rsidR="009F42F5" w14:paraId="1F4E8441" w14:textId="77777777" w:rsidTr="00FB5621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617C" w14:textId="77777777" w:rsidR="009F42F5" w:rsidRDefault="00000000">
            <w:r>
              <w:rPr>
                <w:b/>
                <w:bCs/>
                <w:color w:val="1F4E79"/>
                <w:sz w:val="19"/>
                <w:szCs w:val="19"/>
              </w:rPr>
              <w:t>Healthcare Data</w:t>
            </w:r>
          </w:p>
        </w:tc>
        <w:tc>
          <w:tcPr>
            <w:tcW w:w="3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C835" w14:textId="77777777" w:rsidR="009F42F5" w:rsidRDefault="00000000">
            <w:r>
              <w:rPr>
                <w:color w:val="000000"/>
                <w:sz w:val="19"/>
                <w:szCs w:val="19"/>
              </w:rPr>
              <w:t>HL7 v2, FHIR APIs, X12 (837/835), ADT Integration, Clearinghouse &amp; HIE Integrations, ICD-10-CM/PCS, CPT, HCPCS, DRG, E&amp;M</w:t>
            </w:r>
          </w:p>
        </w:tc>
      </w:tr>
      <w:tr w:rsidR="009F42F5" w14:paraId="2CABF981" w14:textId="77777777" w:rsidTr="00FB5621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73C7" w14:textId="77777777" w:rsidR="009F42F5" w:rsidRDefault="00000000">
            <w:r>
              <w:rPr>
                <w:b/>
                <w:bCs/>
                <w:color w:val="1F4E79"/>
                <w:sz w:val="19"/>
                <w:szCs w:val="19"/>
              </w:rPr>
              <w:t>Analytics &amp; Reporting</w:t>
            </w:r>
          </w:p>
        </w:tc>
        <w:tc>
          <w:tcPr>
            <w:tcW w:w="3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5BAE" w14:textId="77777777" w:rsidR="009F42F5" w:rsidRDefault="00000000">
            <w:r>
              <w:rPr>
                <w:color w:val="000000"/>
                <w:sz w:val="19"/>
                <w:szCs w:val="19"/>
              </w:rPr>
              <w:t>Tableau, Power BI, Epic Reporting, Advanced Excel (Pivot Tables), KPI Dashboards, Denial &amp; Revenue Analytics</w:t>
            </w:r>
          </w:p>
        </w:tc>
      </w:tr>
      <w:tr w:rsidR="009F42F5" w14:paraId="7D07A8F5" w14:textId="77777777" w:rsidTr="00FB5621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94CA" w14:textId="77777777" w:rsidR="009F42F5" w:rsidRDefault="00000000">
            <w:r>
              <w:rPr>
                <w:b/>
                <w:bCs/>
                <w:color w:val="1F4E79"/>
                <w:sz w:val="19"/>
                <w:szCs w:val="19"/>
              </w:rPr>
              <w:t>Methodologies</w:t>
            </w:r>
          </w:p>
        </w:tc>
        <w:tc>
          <w:tcPr>
            <w:tcW w:w="3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FBCD" w14:textId="77777777" w:rsidR="009F42F5" w:rsidRDefault="00000000">
            <w:r>
              <w:rPr>
                <w:color w:val="000000"/>
                <w:sz w:val="19"/>
                <w:szCs w:val="19"/>
              </w:rPr>
              <w:t>Agile (Scrum, Kanban, SAFe), Waterfall, Hybrid SDLC, ITIL, Prosci Change Management, PMBOK</w:t>
            </w:r>
          </w:p>
        </w:tc>
      </w:tr>
      <w:tr w:rsidR="009F42F5" w14:paraId="3B6B9023" w14:textId="77777777" w:rsidTr="00FB5621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B5C4" w14:textId="77777777" w:rsidR="009F42F5" w:rsidRDefault="00000000">
            <w:r>
              <w:rPr>
                <w:b/>
                <w:bCs/>
                <w:color w:val="1F4E79"/>
                <w:sz w:val="19"/>
                <w:szCs w:val="19"/>
              </w:rPr>
              <w:t>Compliance</w:t>
            </w:r>
          </w:p>
        </w:tc>
        <w:tc>
          <w:tcPr>
            <w:tcW w:w="3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F64D" w14:textId="77777777" w:rsidR="009F42F5" w:rsidRDefault="00000000">
            <w:r>
              <w:rPr>
                <w:color w:val="000000"/>
                <w:sz w:val="19"/>
                <w:szCs w:val="19"/>
              </w:rPr>
              <w:t>HIPAA, CMS, Medicaid/Medicare, Audit Readiness, SOC2-Aligned Controls, State Medicaid Regulatory Reporting</w:t>
            </w:r>
          </w:p>
        </w:tc>
      </w:tr>
      <w:tr w:rsidR="009F42F5" w14:paraId="227ECE3B" w14:textId="77777777" w:rsidTr="00FB5621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4FFB" w14:textId="77777777" w:rsidR="009F42F5" w:rsidRDefault="00000000">
            <w:r>
              <w:rPr>
                <w:b/>
                <w:bCs/>
                <w:color w:val="1F4E79"/>
                <w:sz w:val="19"/>
                <w:szCs w:val="19"/>
              </w:rPr>
              <w:t>Cloud &amp; Dev</w:t>
            </w:r>
          </w:p>
        </w:tc>
        <w:tc>
          <w:tcPr>
            <w:tcW w:w="39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0BAE" w14:textId="77777777" w:rsidR="009F42F5" w:rsidRDefault="00000000">
            <w:r>
              <w:rPr>
                <w:color w:val="000000"/>
                <w:sz w:val="19"/>
                <w:szCs w:val="19"/>
              </w:rPr>
              <w:t>Azure, AWS, GCP, CI/CD (Jenkins, Docker)</w:t>
            </w:r>
          </w:p>
        </w:tc>
      </w:tr>
    </w:tbl>
    <w:p w14:paraId="75BA73DD" w14:textId="77777777" w:rsidR="00E72C23" w:rsidRDefault="00E72C23"/>
    <w:sectPr w:rsidR="00E72C23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76ACD"/>
    <w:multiLevelType w:val="hybridMultilevel"/>
    <w:tmpl w:val="C8307E72"/>
    <w:lvl w:ilvl="0" w:tplc="3AD0A01A">
      <w:start w:val="1"/>
      <w:numFmt w:val="bullet"/>
      <w:lvlText w:val="●"/>
      <w:lvlJc w:val="left"/>
      <w:pPr>
        <w:ind w:left="720" w:hanging="360"/>
      </w:pPr>
    </w:lvl>
    <w:lvl w:ilvl="1" w:tplc="9B964208">
      <w:start w:val="1"/>
      <w:numFmt w:val="bullet"/>
      <w:lvlText w:val="○"/>
      <w:lvlJc w:val="left"/>
      <w:pPr>
        <w:ind w:left="1440" w:hanging="360"/>
      </w:pPr>
    </w:lvl>
    <w:lvl w:ilvl="2" w:tplc="86222938">
      <w:start w:val="1"/>
      <w:numFmt w:val="bullet"/>
      <w:lvlText w:val="■"/>
      <w:lvlJc w:val="left"/>
      <w:pPr>
        <w:ind w:left="2160" w:hanging="360"/>
      </w:pPr>
    </w:lvl>
    <w:lvl w:ilvl="3" w:tplc="94FC3490">
      <w:start w:val="1"/>
      <w:numFmt w:val="bullet"/>
      <w:lvlText w:val="●"/>
      <w:lvlJc w:val="left"/>
      <w:pPr>
        <w:ind w:left="2880" w:hanging="360"/>
      </w:pPr>
    </w:lvl>
    <w:lvl w:ilvl="4" w:tplc="F10C1E78">
      <w:start w:val="1"/>
      <w:numFmt w:val="bullet"/>
      <w:lvlText w:val="○"/>
      <w:lvlJc w:val="left"/>
      <w:pPr>
        <w:ind w:left="3600" w:hanging="360"/>
      </w:pPr>
    </w:lvl>
    <w:lvl w:ilvl="5" w:tplc="4828AD70">
      <w:start w:val="1"/>
      <w:numFmt w:val="bullet"/>
      <w:lvlText w:val="■"/>
      <w:lvlJc w:val="left"/>
      <w:pPr>
        <w:ind w:left="4320" w:hanging="360"/>
      </w:pPr>
    </w:lvl>
    <w:lvl w:ilvl="6" w:tplc="46BABEF2">
      <w:start w:val="1"/>
      <w:numFmt w:val="bullet"/>
      <w:lvlText w:val="●"/>
      <w:lvlJc w:val="left"/>
      <w:pPr>
        <w:ind w:left="5040" w:hanging="360"/>
      </w:pPr>
    </w:lvl>
    <w:lvl w:ilvl="7" w:tplc="C4BE4806">
      <w:start w:val="1"/>
      <w:numFmt w:val="bullet"/>
      <w:lvlText w:val="●"/>
      <w:lvlJc w:val="left"/>
      <w:pPr>
        <w:ind w:left="5760" w:hanging="360"/>
      </w:pPr>
    </w:lvl>
    <w:lvl w:ilvl="8" w:tplc="A51CBF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364A5B"/>
    <w:multiLevelType w:val="hybridMultilevel"/>
    <w:tmpl w:val="9634F3BE"/>
    <w:lvl w:ilvl="0" w:tplc="50CE4576">
      <w:start w:val="1"/>
      <w:numFmt w:val="bullet"/>
      <w:lvlText w:val="•"/>
      <w:lvlJc w:val="left"/>
      <w:pPr>
        <w:ind w:left="440" w:hanging="220"/>
      </w:pPr>
    </w:lvl>
    <w:lvl w:ilvl="1" w:tplc="1CA069A2">
      <w:numFmt w:val="decimal"/>
      <w:lvlText w:val=""/>
      <w:lvlJc w:val="left"/>
    </w:lvl>
    <w:lvl w:ilvl="2" w:tplc="C5586ACE">
      <w:numFmt w:val="decimal"/>
      <w:lvlText w:val=""/>
      <w:lvlJc w:val="left"/>
    </w:lvl>
    <w:lvl w:ilvl="3" w:tplc="00761292">
      <w:numFmt w:val="decimal"/>
      <w:lvlText w:val=""/>
      <w:lvlJc w:val="left"/>
    </w:lvl>
    <w:lvl w:ilvl="4" w:tplc="C324CF40">
      <w:numFmt w:val="decimal"/>
      <w:lvlText w:val=""/>
      <w:lvlJc w:val="left"/>
    </w:lvl>
    <w:lvl w:ilvl="5" w:tplc="805CE66E">
      <w:numFmt w:val="decimal"/>
      <w:lvlText w:val=""/>
      <w:lvlJc w:val="left"/>
    </w:lvl>
    <w:lvl w:ilvl="6" w:tplc="C584CC74">
      <w:numFmt w:val="decimal"/>
      <w:lvlText w:val=""/>
      <w:lvlJc w:val="left"/>
    </w:lvl>
    <w:lvl w:ilvl="7" w:tplc="200AA966">
      <w:numFmt w:val="decimal"/>
      <w:lvlText w:val=""/>
      <w:lvlJc w:val="left"/>
    </w:lvl>
    <w:lvl w:ilvl="8" w:tplc="5CC8BE76">
      <w:numFmt w:val="decimal"/>
      <w:lvlText w:val=""/>
      <w:lvlJc w:val="left"/>
    </w:lvl>
  </w:abstractNum>
  <w:num w:numId="1" w16cid:durableId="711615807">
    <w:abstractNumId w:val="0"/>
    <w:lvlOverride w:ilvl="0">
      <w:startOverride w:val="1"/>
    </w:lvlOverride>
  </w:num>
  <w:num w:numId="2" w16cid:durableId="8857956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2F5"/>
    <w:rsid w:val="009F42F5"/>
    <w:rsid w:val="00A627B1"/>
    <w:rsid w:val="00AF5FD3"/>
    <w:rsid w:val="00BB21C8"/>
    <w:rsid w:val="00C54EB8"/>
    <w:rsid w:val="00C94A85"/>
    <w:rsid w:val="00E72C23"/>
    <w:rsid w:val="00EF55DC"/>
    <w:rsid w:val="00F424D6"/>
    <w:rsid w:val="00FB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6E2B"/>
  <w15:docId w15:val="{2BAD342F-455A-4D5A-BB98-F0A79FF2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hemanth kakarla</dc:creator>
  <cp:lastModifiedBy>venkata hemanth kakarla</cp:lastModifiedBy>
  <cp:revision>7</cp:revision>
  <dcterms:created xsi:type="dcterms:W3CDTF">2026-03-06T15:56:00Z</dcterms:created>
  <dcterms:modified xsi:type="dcterms:W3CDTF">2026-03-06T16:18:00Z</dcterms:modified>
</cp:coreProperties>
</file>