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360" w:after="40"/>
        <w:jc w:val="center"/>
      </w:pPr>
      <w:r>
        <w:rPr>
          <w:b w:val="0"/>
        </w:rPr>
        <w:t>Plano de Acao</w:t>
      </w:r>
    </w:p>
    <w:p>
      <w:pPr>
        <w:pStyle w:val="Subtitle"/>
        <w:spacing w:before="0" w:after="280"/>
        <w:jc w:val="center"/>
      </w:pPr>
      <w:r>
        <w:rPr>
          <w:b w:val="0"/>
        </w:rPr>
        <w:t>Governanca, Seguranca e Escalabilidade do INOVE_QUATAI</w:t>
      </w:r>
    </w:p>
    <w:p>
      <w:pPr>
        <w:spacing w:before="0" w:after="480"/>
        <w:jc w:val="center"/>
      </w:pPr>
      <w:r>
        <w:rPr>
          <w:b w:val="0"/>
          <w:color w:val="475569"/>
          <w:sz w:val="22"/>
        </w:rPr>
        <w:t>Documento executivo-tecnico para endurecimento do sistema, preparacao multiempresa e reducao de risco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6E3"/>
          <w:left w:val="single" w:sz="8" w:color="C9D6E3"/>
          <w:bottom w:val="single" w:sz="8" w:color="C9D6E3"/>
          <w:right w:val="single" w:sz="8" w:color="C9D6E3"/>
          <w:insideH w:val="single" w:sz="8" w:color="C9D6E3"/>
          <w:insideV w:val="single" w:sz="8" w:color="C9D6E3"/>
        </w:tblBorders>
      </w:tblPr>
      <w:tblGrid>
        <w:gridCol w:w="2952"/>
        <w:gridCol w:w="5400"/>
      </w:tblGrid>
      <w:tr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CEAF7"/>
          </w:tcPr>
          <w:p>
            <w:r>
              <w:rPr>
                <w:b/>
                <w:color w:val="123B65"/>
              </w:rPr>
              <w:t>Projeto</w:t>
            </w:r>
          </w:p>
        </w:tc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</w:tcPr>
          <w:p>
            <w:r>
              <w:t>INOVE_QUATAI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CEAF7"/>
          </w:tcPr>
          <w:p>
            <w:r>
              <w:rPr>
                <w:b/>
                <w:color w:val="123B65"/>
              </w:rPr>
              <w:t>Supabase</w:t>
            </w:r>
          </w:p>
        </w:tc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</w:tcPr>
          <w:p>
            <w:r>
              <w:t>Projeto INOVEQUATAI - ref wboelthngddvkgrvwkbu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CEAF7"/>
          </w:tcPr>
          <w:p>
            <w:r>
              <w:rPr>
                <w:b/>
                <w:color w:val="123B65"/>
              </w:rPr>
              <w:t>GitHub</w:t>
            </w:r>
          </w:p>
        </w:tc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</w:tcPr>
          <w:p>
            <w:r>
              <w:t>Repositorio guuimaximo/INOVE_QUATAI</w:t>
            </w:r>
          </w:p>
        </w:tc>
      </w:tr>
      <w:tr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CEAF7"/>
          </w:tcPr>
          <w:p>
            <w:r>
              <w:rPr>
                <w:b/>
                <w:color w:val="123B65"/>
              </w:rPr>
              <w:t>Objetivo</w:t>
            </w:r>
          </w:p>
        </w:tc>
        <w:tc>
          <w:tcPr>
            <w:tcW w:type="dxa" w:w="49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8FAFC"/>
          </w:tcPr>
          <w:p>
            <w:r>
              <w:t>Elevar seguranca, governanca e prontidao para escalar o produto</w:t>
            </w:r>
          </w:p>
        </w:tc>
      </w:tr>
    </w:tbl>
    <w:p>
      <w:pPr>
        <w:pStyle w:val="BodySmall"/>
        <w:spacing w:before="360" w:after="0"/>
        <w:jc w:val="center"/>
      </w:pPr>
      <w:r>
        <w:rPr>
          <w:b w:val="0"/>
          <w:color w:val="475569"/>
        </w:rPr>
        <w:t>Data da revisao: 28/04/2026</w:t>
      </w:r>
    </w:p>
    <w:p>
      <w:pPr>
        <w:sectPr>
          <w:pgSz w:w="12240" w:h="15840"/>
          <w:pgMar w:top="1008" w:right="1181" w:bottom="936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Resumo Executivo</w:t>
      </w:r>
    </w:p>
    <w:p>
      <w:pPr>
        <w:spacing w:before="0" w:after="160"/>
      </w:pPr>
      <w:r>
        <w:rPr>
          <w:b w:val="0"/>
        </w:rPr>
        <w:t>O sistema ainda nao esta pronto para ser ofertado para outras empresas com seguranca maxima. Os dois bloqueios centrais sao o login legado no frontend usando usuarios_aprovadores.senha e a ausencia de um modelo multiempresa real com isolamento por empresa no banco e no codigo.</w:t>
      </w:r>
    </w:p>
    <w:p>
      <w:pPr>
        <w:spacing w:before="0" w:after="200"/>
      </w:pPr>
      <w:r>
        <w:rPr>
          <w:b w:val="0"/>
        </w:rPr>
        <w:t>Em paralelo, a schema publica do Supabase esta excessivamente exposta, o repositorio GitHub esta publico, o frontend preve uso de token do GitHub no navegador e varios buckets de storage estao publicos.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FC4D9"/>
          <w:left w:val="single" w:sz="8" w:color="AFC4D9"/>
          <w:bottom w:val="single" w:sz="8" w:color="AFC4D9"/>
          <w:right w:val="single" w:sz="8" w:color="AFC4D9"/>
          <w:insideH w:val="single" w:sz="8" w:color="AFC4D9"/>
          <w:insideV w:val="single" w:sz="8" w:color="AFC4D9"/>
        </w:tblBorders>
      </w:tblPr>
      <w:tblGrid>
        <w:gridCol w:w="8640"/>
      </w:tblGrid>
      <w:tr>
        <w:tc>
          <w:tcPr>
            <w:tcW w:type="dxa" w:w="9878"/>
            <w:shd w:fill="EAF2FB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65"/>
              </w:rPr>
              <w:t>Meta do plano: migrar o sistema de um produto single-tenant customizado para uma base segura, auditavel e pronta para escalar por empresa, com Quatai como empresa 046.</w:t>
            </w:r>
          </w:p>
        </w:tc>
      </w:tr>
    </w:tbl>
    <w:p/>
    <w:p>
      <w:pPr>
        <w:pStyle w:val="Heading1"/>
      </w:pPr>
      <w:r>
        <w:t>Escopo Revisado</w:t>
      </w:r>
    </w:p>
    <w:p>
      <w:pPr>
        <w:pStyle w:val="ListBullet"/>
        <w:spacing w:after="60"/>
      </w:pPr>
      <w:r>
        <w:t>Supabase: tabelas publicas, colunas criticas, RLS, policies, views, funcoes SECURITY DEFINER e buckets de storage.</w:t>
      </w:r>
    </w:p>
    <w:p>
      <w:pPr>
        <w:pStyle w:val="ListBullet"/>
        <w:spacing w:after="60"/>
      </w:pPr>
      <w:r>
        <w:t>GitHub: visibilidade do repositorio, PRs recentes, workflow de ETL e padrao de integracao no frontend.</w:t>
      </w:r>
    </w:p>
    <w:p>
      <w:pPr>
        <w:pStyle w:val="ListBullet"/>
        <w:spacing w:after="60"/>
      </w:pPr>
      <w:r>
        <w:t>Frontend Vite: autenticacao, variaveis, storage publico, clientes Supabase, codigo duplicado e acoplamentos externos.</w:t>
      </w:r>
    </w:p>
    <w:p>
      <w:pPr>
        <w:pStyle w:val="ListBullet"/>
        <w:spacing w:after="60"/>
      </w:pPr>
      <w:r>
        <w:t>Escalabilidade: prontidao para multiempresa, com foco no futuro uso da Quatai como empresa 046.</w:t>
      </w:r>
    </w:p>
    <w:p>
      <w:r>
        <w:br w:type="page"/>
      </w:r>
    </w:p>
    <w:p>
      <w:pPr>
        <w:pStyle w:val="Heading1"/>
      </w:pPr>
      <w:r>
        <w:t>Prioridades Criticas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7E0EA"/>
          <w:left w:val="single" w:sz="8" w:color="D7E0EA"/>
          <w:bottom w:val="single" w:sz="8" w:color="D7E0EA"/>
          <w:right w:val="single" w:sz="8" w:color="D7E0EA"/>
          <w:insideH w:val="single" w:sz="8" w:color="D7E0EA"/>
          <w:insideV w:val="single" w:sz="8" w:color="D7E0EA"/>
        </w:tblBorders>
      </w:tblPr>
      <w:tblGrid>
        <w:gridCol w:w="1037"/>
        <w:gridCol w:w="2448"/>
        <w:gridCol w:w="3096"/>
        <w:gridCol w:w="2304"/>
      </w:tblGrid>
      <w:tr>
        <w:tc>
          <w:tcPr>
            <w:tcW w:type="dxa" w:w="2469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469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469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Situacao atual</w:t>
            </w:r>
          </w:p>
        </w:tc>
        <w:tc>
          <w:tcPr>
            <w:tcW w:type="dxa" w:w="2469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  <w:shd w:fill="123B65"/>
          </w:tcPr>
          <w:p>
            <w:r>
              <w:rPr>
                <w:b/>
                <w:color w:val="FFFFFF"/>
              </w:rPr>
              <w:t>Acao imediata</w:t>
            </w:r>
          </w:p>
        </w:tc>
      </w:tr>
      <w:t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DECEC"/>
          </w:tcPr>
          <w:p>
            <w:r>
              <w:rPr>
                <w:b/>
              </w:rPr>
              <w:t>P0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Auth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Login no frontend compara senha em usuarios_aprovadores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Fechar login legado e migrar 100% para Supabase Auth</w:t>
            </w:r>
          </w:p>
        </w:tc>
      </w:tr>
      <w:t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DECEC"/>
          </w:tcPr>
          <w:p>
            <w:r>
              <w:rPr>
                <w:b/>
              </w:rPr>
              <w:t>P0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Banco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49 de 54 tabelas publicas sem RLS ativo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Revisar grants e ativar RLS por dominio</w:t>
            </w:r>
          </w:p>
        </w:tc>
      </w:tr>
      <w:t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DECEC"/>
          </w:tcPr>
          <w:p>
            <w:r>
              <w:rPr>
                <w:b/>
              </w:rPr>
              <w:t>P0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GitHub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Frontend preve VITE_GITHUB_TOKEN no bundle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Remover token do browser e mover automacoes para backend</w:t>
            </w:r>
          </w:p>
        </w:tc>
      </w:tr>
      <w:t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EF3C7"/>
          </w:tcPr>
          <w:p>
            <w:r>
              <w:rPr>
                <w:b/>
              </w:rPr>
              <w:t>P1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Storage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Buckets sensiveis publicos com milhares de objetos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Trocar para buckets privados e signed URLs</w:t>
            </w:r>
          </w:p>
        </w:tc>
      </w:tr>
      <w:t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EF3C7"/>
          </w:tcPr>
          <w:p>
            <w:r>
              <w:rPr>
                <w:b/>
              </w:rPr>
              <w:t>P1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Multiempresa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Nao existe empresa_id ou tenant_id no schema publico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Introduzir camada de tenancy e isolamento</w:t>
            </w:r>
          </w:p>
        </w:tc>
      </w:tr>
      <w:tr>
        <w:tc>
          <w:tcPr>
            <w:tcW w:type="dxa" w:w="10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7EF"/>
          </w:tcPr>
          <w:p>
            <w:r>
              <w:rPr>
                <w:b/>
              </w:rPr>
              <w:t>P2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Codigo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Arquivos duplicados, fluxos paralelos e rota backend no repo Vite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Classificar e remover codigo obsoleto</w:t>
            </w:r>
          </w:p>
        </w:tc>
      </w:tr>
    </w:tbl>
    <w:p/>
    <w:p>
      <w:pPr>
        <w:pStyle w:val="Heading1"/>
      </w:pPr>
      <w:r>
        <w:t>Plano de Acao por Fase</w:t>
      </w:r>
    </w:p>
    <w:p>
      <w:pPr>
        <w:pStyle w:val="Heading2"/>
      </w:pPr>
      <w:r>
        <w:t>Fase 0 - Contencao imediata (0 a 7 dias)</w:t>
      </w:r>
    </w:p>
    <w:p>
      <w:pPr>
        <w:pStyle w:val="ListBullet"/>
        <w:spacing w:after="60"/>
      </w:pPr>
      <w:r>
        <w:t>Remover qualquer uso de VITE_GITHUB_TOKEN no frontend.</w:t>
      </w:r>
    </w:p>
    <w:p>
      <w:pPr>
        <w:pStyle w:val="ListBullet"/>
        <w:spacing w:after="60"/>
      </w:pPr>
      <w:r>
        <w:t>Restringir ou remover auth_emails_view.</w:t>
      </w:r>
    </w:p>
    <w:p>
      <w:pPr>
        <w:pStyle w:val="ListBullet"/>
        <w:spacing w:after="60"/>
      </w:pPr>
      <w:r>
        <w:t>Congelar novas funcionalidades dependentes de usuarios_aprovadores.senha.</w:t>
      </w:r>
    </w:p>
    <w:p>
      <w:pPr>
        <w:pStyle w:val="ListBullet"/>
        <w:spacing w:after="60"/>
      </w:pPr>
      <w:r>
        <w:t>Mapear e reduzir grants de anon na schema public.</w:t>
      </w:r>
    </w:p>
    <w:p>
      <w:pPr>
        <w:pStyle w:val="ListBullet"/>
        <w:spacing w:after="60"/>
      </w:pPr>
      <w:r>
        <w:t>Revisar publicacao atual e confirmar quais secrets estao expostos ao browser.</w:t>
      </w:r>
    </w:p>
    <w:p>
      <w:pPr>
        <w:pStyle w:val="Heading2"/>
      </w:pPr>
      <w:r>
        <w:t>Fase 1 - Migracao de autenticacao (1 a 3 semanas)</w:t>
      </w:r>
    </w:p>
    <w:p>
      <w:pPr>
        <w:pStyle w:val="ListBullet"/>
        <w:spacing w:after="60"/>
      </w:pPr>
      <w:r>
        <w:t>Trocar login e reset para Supabase Auth.</w:t>
      </w:r>
    </w:p>
    <w:p>
      <w:pPr>
        <w:pStyle w:val="ListBullet"/>
        <w:spacing w:after="60"/>
      </w:pPr>
      <w:r>
        <w:t>Usar profiles como fonte primaria de identidade e papeis.</w:t>
      </w:r>
    </w:p>
    <w:p>
      <w:pPr>
        <w:pStyle w:val="ListBullet"/>
        <w:spacing w:after="60"/>
      </w:pPr>
      <w:r>
        <w:t>Encerrar autorizacao baseada em localStorage.</w:t>
      </w:r>
    </w:p>
    <w:p>
      <w:pPr>
        <w:pStyle w:val="ListBullet"/>
        <w:spacing w:after="60"/>
      </w:pPr>
      <w:r>
        <w:t>Migrar usuarios_aprovadores para papel de tabela de transicao apenas.</w:t>
      </w:r>
    </w:p>
    <w:p>
      <w:pPr>
        <w:pStyle w:val="ListBullet"/>
        <w:spacing w:after="60"/>
      </w:pPr>
      <w:r>
        <w:t>Planejar remocao da coluna senha ao final da migracao.</w:t>
      </w:r>
    </w:p>
    <w:p>
      <w:pPr>
        <w:pStyle w:val="Heading2"/>
      </w:pPr>
      <w:r>
        <w:t>Fase 2 - Endurecimento do banco e storage (2 a 5 semanas)</w:t>
      </w:r>
    </w:p>
    <w:p>
      <w:pPr>
        <w:pStyle w:val="ListBullet"/>
        <w:spacing w:after="60"/>
      </w:pPr>
      <w:r>
        <w:t>Ativar RLS por dominio nas tabelas sensiveis.</w:t>
      </w:r>
    </w:p>
    <w:p>
      <w:pPr>
        <w:pStyle w:val="ListBullet"/>
        <w:spacing w:after="60"/>
      </w:pPr>
      <w:r>
        <w:t>Reescrever policies permissivas e remover allow all.</w:t>
      </w:r>
    </w:p>
    <w:p>
      <w:pPr>
        <w:pStyle w:val="ListBullet"/>
        <w:spacing w:after="60"/>
      </w:pPr>
      <w:r>
        <w:t>Revisar SECURITY DEFINER em views e funcoes.</w:t>
      </w:r>
    </w:p>
    <w:p>
      <w:pPr>
        <w:pStyle w:val="ListBullet"/>
        <w:spacing w:after="60"/>
      </w:pPr>
      <w:r>
        <w:t>Migrar buckets sensiveis para privados.</w:t>
      </w:r>
    </w:p>
    <w:p>
      <w:pPr>
        <w:pStyle w:val="ListBullet"/>
        <w:spacing w:after="60"/>
      </w:pPr>
      <w:r>
        <w:t>Limpar indices, constraints e objetos duplicados.</w:t>
      </w:r>
    </w:p>
    <w:p>
      <w:pPr>
        <w:pStyle w:val="Heading2"/>
      </w:pPr>
      <w:r>
        <w:t>Fase 3 - Governanca de codigo e integracoes (3 a 6 semanas)</w:t>
      </w:r>
    </w:p>
    <w:p>
      <w:pPr>
        <w:pStyle w:val="ListBullet"/>
        <w:spacing w:after="60"/>
      </w:pPr>
      <w:r>
        <w:t>Classificar arquivos como ativo, legado, migrar ou remover.</w:t>
      </w:r>
    </w:p>
    <w:p>
      <w:pPr>
        <w:pStyle w:val="ListBullet"/>
        <w:spacing w:after="60"/>
      </w:pPr>
      <w:r>
        <w:t>Remover codigo morto e fluxos paralelos de cadastro/login.</w:t>
      </w:r>
    </w:p>
    <w:p>
      <w:pPr>
        <w:pStyle w:val="ListBullet"/>
        <w:spacing w:after="60"/>
      </w:pPr>
      <w:r>
        <w:t>Separar rotas backend do repositorio frontend.</w:t>
      </w:r>
    </w:p>
    <w:p>
      <w:pPr>
        <w:pStyle w:val="ListBullet"/>
        <w:spacing w:after="60"/>
      </w:pPr>
      <w:r>
        <w:t>Corrigir o workflow ETL e documentar owner tecnico.</w:t>
      </w:r>
    </w:p>
    <w:p>
      <w:pPr>
        <w:pStyle w:val="ListBullet"/>
        <w:spacing w:after="60"/>
      </w:pPr>
      <w:r>
        <w:t>Padronizar naming, ownership e criterios de deploy.</w:t>
      </w:r>
    </w:p>
    <w:p>
      <w:pPr>
        <w:pStyle w:val="Heading2"/>
      </w:pPr>
      <w:r>
        <w:t>Fase 4 - Preparacao multiempresa (4 a 8 semanas)</w:t>
      </w:r>
    </w:p>
    <w:p>
      <w:pPr>
        <w:pStyle w:val="ListBullet"/>
        <w:spacing w:after="60"/>
      </w:pPr>
      <w:r>
        <w:t>Criar tabela empresas e chave empresa_id.</w:t>
      </w:r>
    </w:p>
    <w:p>
      <w:pPr>
        <w:pStyle w:val="ListBullet"/>
        <w:spacing w:after="60"/>
      </w:pPr>
      <w:r>
        <w:t>Associar usuario autenticado a empresa e perfil.</w:t>
      </w:r>
    </w:p>
    <w:p>
      <w:pPr>
        <w:pStyle w:val="ListBullet"/>
        <w:spacing w:after="60"/>
      </w:pPr>
      <w:r>
        <w:t>Adicionar empresa_id nas tabelas de negocio.</w:t>
      </w:r>
    </w:p>
    <w:p>
      <w:pPr>
        <w:pStyle w:val="ListBullet"/>
        <w:spacing w:after="60"/>
      </w:pPr>
      <w:r>
        <w:t>Aplicar RLS com filtro por empresa.</w:t>
      </w:r>
    </w:p>
    <w:p>
      <w:pPr>
        <w:pStyle w:val="ListBullet"/>
        <w:spacing w:after="60"/>
      </w:pPr>
      <w:r>
        <w:t>Fazer backfill da Quatai como empresa 046.</w:t>
      </w:r>
    </w:p>
    <w:p>
      <w:r>
        <w:br w:type="page"/>
      </w:r>
    </w:p>
    <w:p>
      <w:pPr>
        <w:pStyle w:val="Heading1"/>
      </w:pPr>
      <w:r>
        <w:t>Matriz de Execucao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7E0EA"/>
          <w:left w:val="single" w:sz="8" w:color="D7E0EA"/>
          <w:bottom w:val="single" w:sz="8" w:color="D7E0EA"/>
          <w:right w:val="single" w:sz="8" w:color="D7E0EA"/>
          <w:insideH w:val="single" w:sz="8" w:color="D7E0EA"/>
          <w:insideV w:val="single" w:sz="8" w:color="D7E0EA"/>
        </w:tblBorders>
      </w:tblPr>
      <w:tblGrid>
        <w:gridCol w:w="3096"/>
        <w:gridCol w:w="1440"/>
        <w:gridCol w:w="1656"/>
        <w:gridCol w:w="1440"/>
        <w:gridCol w:w="1728"/>
      </w:tblGrid>
      <w:tr>
        <w:tc>
          <w:tcPr>
            <w:tcW w:type="dxa" w:w="197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123B65"/>
          </w:tcPr>
          <w:p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197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123B65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97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123B65"/>
          </w:tcPr>
          <w:p>
            <w:r>
              <w:rPr>
                <w:b/>
                <w:color w:val="FFFFFF"/>
              </w:rPr>
              <w:t>Prazo</w:t>
            </w:r>
          </w:p>
        </w:tc>
        <w:tc>
          <w:tcPr>
            <w:tcW w:type="dxa" w:w="197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123B65"/>
          </w:tcPr>
          <w:p>
            <w:r>
              <w:rPr>
                <w:b/>
                <w:color w:val="FFFFFF"/>
              </w:rPr>
              <w:t>Esforco</w:t>
            </w:r>
          </w:p>
        </w:tc>
        <w:tc>
          <w:tcPr>
            <w:tcW w:type="dxa" w:w="197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123B65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0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Fechar login legado e reset inseguro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DECEC"/>
          </w:tcPr>
          <w:p>
            <w:r>
              <w:rPr>
                <w:b/>
              </w:rPr>
              <w:t>P0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Semana 1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M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Auth segura e pronta para endurecimento</w:t>
            </w:r>
          </w:p>
        </w:tc>
      </w:tr>
      <w:tr>
        <w:tc>
          <w:tcPr>
            <w:tcW w:type="dxa" w:w="30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Revisar grants + ativar RLS nas tabelas criticas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DECEC"/>
          </w:tcPr>
          <w:p>
            <w:r>
              <w:rPr>
                <w:b/>
              </w:rPr>
              <w:t>P0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Semana 1-2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G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Reducao imediata da superficie de ataque</w:t>
            </w:r>
          </w:p>
        </w:tc>
      </w:tr>
      <w:tr>
        <w:tc>
          <w:tcPr>
            <w:tcW w:type="dxa" w:w="30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Remover token GitHub do frontend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DECEC"/>
          </w:tcPr>
          <w:p>
            <w:r>
              <w:rPr>
                <w:b/>
              </w:rPr>
              <w:t>P0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Semana 1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P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Fim do risco de vazamento de token no browser</w:t>
            </w:r>
          </w:p>
        </w:tc>
      </w:tr>
      <w:tr>
        <w:tc>
          <w:tcPr>
            <w:tcW w:type="dxa" w:w="30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Privatizar buckets sensiveis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EF3C7"/>
          </w:tcPr>
          <w:p>
            <w:r>
              <w:rPr>
                <w:b/>
              </w:rPr>
              <w:t>P1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Semana 2-3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M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Anexos e relatorios protegidos</w:t>
            </w:r>
          </w:p>
        </w:tc>
      </w:tr>
      <w:tr>
        <w:tc>
          <w:tcPr>
            <w:tcW w:type="dxa" w:w="30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Limpar codigo morto e fluxos paralelos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EAF7EF"/>
          </w:tcPr>
          <w:p>
            <w:r>
              <w:rPr>
                <w:b/>
              </w:rPr>
              <w:t>P2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Semana 3-4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M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Menos ambiguidade operacional</w:t>
            </w:r>
          </w:p>
        </w:tc>
      </w:tr>
      <w:tr>
        <w:tc>
          <w:tcPr>
            <w:tcW w:type="dxa" w:w="309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Desenhar e aplicar empresa_id = 046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EF3C7"/>
          </w:tcPr>
          <w:p>
            <w:r>
              <w:rPr>
                <w:b/>
              </w:rPr>
              <w:t>P1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Semana 4-6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G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r>
              <w:t>Base pronta para multiempresa</w:t>
            </w:r>
          </w:p>
        </w:tc>
      </w:tr>
    </w:tbl>
    <w:p/>
    <w:p>
      <w:pPr>
        <w:pStyle w:val="Heading1"/>
      </w:pPr>
      <w:r>
        <w:t>Diretriz de Multiempresa</w:t>
      </w:r>
    </w:p>
    <w:p>
      <w:pPr>
        <w:spacing w:before="0" w:after="160"/>
      </w:pPr>
      <w:r>
        <w:rPr>
          <w:b w:val="0"/>
        </w:rPr>
        <w:t>Hoje o sistema esta mais proximo de um produto single-tenant customizado do que de uma plataforma multiempresa. Para escalar, a Quatai deve entrar formalmente no modelo como empresa 046, e nao apenas como convencao de negocio.</w:t>
      </w:r>
    </w:p>
    <w:p>
      <w:pPr>
        <w:pStyle w:val="ListBullet"/>
        <w:spacing w:after="60"/>
      </w:pPr>
      <w:r>
        <w:t>Criar tabela empresas com codigo_empresa, nome_fantasia, status e configuracoes de branding.</w:t>
      </w:r>
    </w:p>
    <w:p>
      <w:pPr>
        <w:pStyle w:val="ListBullet"/>
        <w:spacing w:after="60"/>
      </w:pPr>
      <w:r>
        <w:t>Associar profiles a empresa_id e, se necessario, permitir multiplas empresas por usuario por tabela de vinculo.</w:t>
      </w:r>
    </w:p>
    <w:p>
      <w:pPr>
        <w:pStyle w:val="ListBullet"/>
        <w:spacing w:after="60"/>
      </w:pPr>
      <w:r>
        <w:t>Adicionar empresa_id em tabelas de negocio e buckets/logica de storage.</w:t>
      </w:r>
    </w:p>
    <w:p>
      <w:pPr>
        <w:pStyle w:val="ListBullet"/>
        <w:spacing w:after="60"/>
      </w:pPr>
      <w:r>
        <w:t>Aplicar RLS com filtro por empresa para leitura, escrita, update e delete.</w:t>
      </w:r>
    </w:p>
    <w:p>
      <w:pPr>
        <w:pStyle w:val="ListBullet"/>
        <w:spacing w:after="60"/>
      </w:pPr>
      <w:r>
        <w:t>Retirar do browser qualquer integracao cross-base como supabaseBCNT.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7B95A"/>
          <w:left w:val="single" w:sz="8" w:color="E7B95A"/>
          <w:bottom w:val="single" w:sz="8" w:color="E7B95A"/>
          <w:right w:val="single" w:sz="8" w:color="E7B95A"/>
          <w:insideH w:val="single" w:sz="8" w:color="E7B95A"/>
          <w:insideV w:val="single" w:sz="8" w:color="E7B95A"/>
        </w:tblBorders>
      </w:tblPr>
      <w:tblGrid>
        <w:gridCol w:w="8712"/>
      </w:tblGrid>
      <w:tr>
        <w:tc>
          <w:tcPr>
            <w:tcW w:type="dxa" w:w="9878"/>
            <w:shd w:fill="FEF3C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B45309"/>
              </w:rPr>
              <w:t>Decisao recomendada: antes de onboardar qualquer nova empresa, concluir a modelagem de tenancy e fazer o backfill da Quatai como empresa 046.</w:t>
            </w:r>
          </w:p>
        </w:tc>
      </w:tr>
    </w:tbl>
    <w:p/>
    <w:p>
      <w:pPr>
        <w:sectPr>
          <w:pgSz w:w="12240" w:h="15840"/>
          <w:pgMar w:top="1008" w:right="1181" w:bottom="936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Codigo e Objetos Candidatos a Limpeza</w:t>
      </w:r>
    </w:p>
    <w:p>
      <w:pPr>
        <w:spacing w:before="0" w:after="160"/>
      </w:pPr>
      <w:r>
        <w:rPr>
          <w:b w:val="0"/>
        </w:rPr>
        <w:t>Foram identificados arquivos duplicados e fluxos paralelos que aumentam ambiguidade e risco de manutencao. A limpeza deve ser feita de forma segura, marcando cada item como ativo, legado, migrar ou remover.</w:t>
      </w:r>
    </w:p>
    <w:p>
      <w:pPr>
        <w:pStyle w:val="ListBullet"/>
        <w:spacing w:after="60"/>
      </w:pPr>
      <w:r>
        <w:t>src/AuthContext.jsx</w:t>
      </w:r>
    </w:p>
    <w:p>
      <w:pPr>
        <w:pStyle w:val="ListBullet"/>
        <w:spacing w:after="60"/>
      </w:pPr>
      <w:r>
        <w:t>src/components/RequireAuth.jsx</w:t>
      </w:r>
    </w:p>
    <w:p>
      <w:pPr>
        <w:pStyle w:val="ListBullet"/>
        <w:spacing w:after="60"/>
      </w:pPr>
      <w:r>
        <w:t>src/components/ProtectedRoute.jsx</w:t>
      </w:r>
    </w:p>
    <w:p>
      <w:pPr>
        <w:pStyle w:val="ListBullet"/>
        <w:spacing w:after="60"/>
      </w:pPr>
      <w:r>
        <w:t>src/pages/auth/Cadastro.jsx</w:t>
      </w:r>
    </w:p>
    <w:p>
      <w:pPr>
        <w:pStyle w:val="ListBullet"/>
        <w:spacing w:after="60"/>
      </w:pPr>
      <w:r>
        <w:t>src/pages/auth/Register.jsx</w:t>
      </w:r>
    </w:p>
    <w:p>
      <w:pPr>
        <w:pStyle w:val="ListBullet"/>
        <w:spacing w:after="60"/>
      </w:pPr>
      <w:r>
        <w:t>src/pages/home/Landing.jsx</w:t>
      </w:r>
    </w:p>
    <w:p>
      <w:pPr>
        <w:pStyle w:val="ListBullet"/>
        <w:spacing w:after="60"/>
      </w:pPr>
      <w:r>
        <w:t>src/pages/portal/PortalSistemas.jsx</w:t>
      </w:r>
    </w:p>
    <w:p>
      <w:pPr>
        <w:pStyle w:val="ListBullet"/>
        <w:spacing w:after="60"/>
      </w:pPr>
      <w:r>
        <w:t>src/routes/premiacaoRoutes.js</w:t>
      </w:r>
    </w:p>
    <w:p>
      <w:pPr>
        <w:pStyle w:val="Callout"/>
        <w:spacing w:before="120" w:after="0"/>
      </w:pPr>
      <w:r>
        <w:rPr>
          <w:b w:val="0"/>
          <w:color w:val="475569"/>
        </w:rPr>
        <w:t>No banco, objetos sem referencia direta no frontend atual devem ser marcados como sem referencia no frontend, e nao removidos automaticamente. Eles podem estar em uso por ETL, dashboards externos, SQL manual ou processos internos.</w:t>
      </w:r>
    </w:p>
    <w:p>
      <w:pPr>
        <w:pStyle w:val="Heading1"/>
      </w:pPr>
      <w:r>
        <w:t>Entregaveis Recomendados na Sequencia</w:t>
      </w:r>
    </w:p>
    <w:p>
      <w:pPr>
        <w:pStyle w:val="ListNumber"/>
        <w:spacing w:after="80"/>
      </w:pPr>
      <w:r>
        <w:t>Matriz tabela -&gt; owner -&gt; sensibilidade -&gt; RLS -&gt; uso no codigo.</w:t>
      </w:r>
    </w:p>
    <w:p>
      <w:pPr>
        <w:pStyle w:val="ListNumber"/>
        <w:spacing w:after="80"/>
      </w:pPr>
      <w:r>
        <w:t>Plano SQL de endurecimento do Supabase.</w:t>
      </w:r>
    </w:p>
    <w:p>
      <w:pPr>
        <w:pStyle w:val="ListNumber"/>
        <w:spacing w:after="80"/>
      </w:pPr>
      <w:r>
        <w:t>Plano de migracao usuarios_aprovadores -&gt; profiles/auth.</w:t>
      </w:r>
    </w:p>
    <w:p>
      <w:pPr>
        <w:pStyle w:val="ListNumber"/>
        <w:spacing w:after="80"/>
      </w:pPr>
      <w:r>
        <w:t>Plano de tenancy com empresa_id = 046 para Quatai.</w:t>
      </w:r>
    </w:p>
    <w:p>
      <w:pPr>
        <w:pStyle w:val="ListNumber"/>
        <w:spacing w:after="80"/>
      </w:pPr>
      <w:r>
        <w:t>Lista de remocao segura de codigo e objetos obsoletos.</w:t>
      </w:r>
    </w:p>
    <w:sectPr w:rsidR="00FC693F" w:rsidRPr="0006063C" w:rsidSect="00034616"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B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D94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sz w:val="18"/>
    </w:rPr>
  </w:style>
  <w:style w:type="paragraph" w:customStyle="1" w:styleId="Callout">
    <w:name w:val="Callout"/>
    <w:basedOn w:val="Normal"/>
    <w:rPr>
      <w:rFonts w:ascii="Aptos" w:hAnsi="Aptos"/>
      <w:color w:val="1E293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