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  <w:rPr>
          <w:rFonts w:hint="eastAsia"/>
          <w:lang w:eastAsia="zh-CN"/>
        </w:rPr>
      </w:pPr>
      <w:bookmarkStart w:id="0" w:name="_Toc31896"/>
      <w:r>
        <w:rPr>
          <w:rFonts w:hint="eastAsia"/>
        </w:rPr>
        <w:t>Orca</w:t>
      </w:r>
      <w:r>
        <w:rPr>
          <w:rFonts w:hint="eastAsia"/>
          <w:lang w:eastAsia="zh-CN"/>
        </w:rPr>
        <w:t>编码规范</w:t>
      </w:r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spacing w:afterLines="100"/>
        <w:jc w:val="center"/>
      </w:pPr>
      <w:r>
        <w:rPr>
          <w:rFonts w:hint="eastAsia"/>
        </w:rPr>
        <w:t>修改记录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4820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820" w:type="dxa"/>
          </w:tcPr>
          <w:p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820" w:type="dxa"/>
          </w:tcPr>
          <w:p>
            <w:pPr>
              <w:jc w:val="left"/>
            </w:pPr>
            <w:r>
              <w:rPr>
                <w:rFonts w:hint="eastAsia"/>
              </w:rPr>
              <w:t>初始化版本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rPr>
                <w:rFonts w:hint="eastAsia"/>
              </w:rPr>
              <w:t>顾伟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1.1 适用范围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本文档针对的是C程序的编码规范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编辑器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为了统一风格，推荐使用source insight来编写代码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source insight配置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876165" cy="2257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961765" cy="13144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字体：等宽字体Courier 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 tabs：启用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 width：4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缩进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所有缩进使用tab键，并且配置tab转换为4个空格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空行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空行用于区分逻辑上不同的程序块，适当加入空行可以增加整体的美观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ISP_DEV isp_dev = 0; 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ISP_EXPOSURE_ATTR_S exp_attr = {0};</w:t>
            </w: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if (HI_MPI_ISP_GetExposureAttr(isp_dev, &amp;exp_attr) != 0)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ERROR("HI_MPI_ISP_GetExposureAttr fail...\n");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return FAIL;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二元操作符的前后应当加空格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一元操作符前后不加空格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if、 for、 while等关键字之后应留一个空格再跟左括号‘(’，以突出关键字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duty += step;</w:t>
            </w: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i++;</w:t>
            </w: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if (fp != NULL)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fclose(fp);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fp = NULL;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对齐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分界符‘{’和‘}’应独占一行并且位于同一列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{}之内的代码块在‘{’右边缩进一个单位处左对齐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函数参数较长，要进行适当的划分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if (0 == flag)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if (conv(param) != OK)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ERROR("conv fail...\n");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FAIL;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ERROR("flag %d is invalid...\n", flag);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return FAIL;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长度限制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一行代码长度限制在120个字符以内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注释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单行注释使用：//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多行注释使用：/* */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文件名命令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英文字符使用小写字母，不同单词之间使用”_”作为连接符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头文件类型为.h，源文件类型为.c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vpif_capture.h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vpif_capture.c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变量命名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英文字符使用小写字母，不同单词之间使用”_”作为连接符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全局变量加入前缀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g_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指针变量加入前缀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，并且*和前面的类型有一个空格，和后面的变量名结合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Static int g_count = 0;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函数名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英文字符使用小写字母，不同单词之间使用”_”作为连接符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 *p_head = NULL</w:t>
            </w:r>
          </w:p>
          <w:p>
            <w:pPr>
              <w:pStyle w:val="9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static int init_default_alg_param(void *p_alg_context)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自定义类型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不建议重新定义int/float等内置类型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自定义的结构体带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后缀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自定义的枚举带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后缀，枚举的0值分配给一个无效的类型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函数指针带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pf_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前缀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typedef enum hw_check_mode_e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HW_CHECK_ERROR = 0,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HW_CHECK_LOOP,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HW_CHECK_RANDOM,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HW_CHECK_NUM,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} HW_CHECK_MODE_E;</w:t>
            </w: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typedef struct ae_isp_param_s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int t;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    int hist_error;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} AE_ISP_PARAM_S;</w:t>
            </w: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typedef int (*pf_gpio_init)(void *);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使用规则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一行代码定义一个变量，不能出现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int index, count;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这样的代码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变量定义的时候都要赋初始值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尽量少用全局变量，只在一个文件中使用的全局变量使用static修饰符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ret = 0;</w:t>
            </w:r>
          </w:p>
          <w:p>
            <w:pPr>
              <w:pStyle w:val="9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 sz_type[64] = {0};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函数的使用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使用规则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作用域仅在单个定义文件内部的函数，一律使用static进行修饰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参数的参数不要超过5，超过5的情况使用结构体传递参数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函数的实现一般不要超过200行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函数一般都需要有返回值，对于返回成功失败的函数，0表示成功，负数表示失败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函数内部要对数据的有效性进行检查，比如空指针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非特殊情况，函数内部不要使用static局部变量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基础函数模块设计的时候力求只完成一件事情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函数调用传递参数的时候类型需要匹配，不要使用隐式类型转换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int init_custom_cfg_param(ALG_CONTEXT_S *p_alg_context)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(NULL == p_alg_context)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ERROR("input param is error...\n");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FAIL;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...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OK;</w:t>
            </w:r>
          </w:p>
          <w:p>
            <w:pPr>
              <w:pStyle w:val="9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使用规则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指针变量定义的时候需要带有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前缀以标示为一个指针变量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指针变量在定义的时候就需要赋初始值，防止野指针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Malloc分配的指针变量在free之后需要赋值为NULL，防止野指针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不允许使用三重指针，非必要情况不要使用两重指针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*p_buff = NULL;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 (p_buff != NULL)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9"/>
              <w:ind w:firstLine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Free(p_buff);</w:t>
            </w:r>
          </w:p>
          <w:p>
            <w:pPr>
              <w:pStyle w:val="9"/>
              <w:ind w:firstLine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p_buff = NULL;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内存的分配和释放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使用规则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每写一个malloc的时候，所以的退出路径上都写好free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尽量一次性分配好内存，避免频繁的malloc和free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处理每个编译的warning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编译时打开-Wall选项，处理每个编译警告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goto语句的使用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Goto语句只能有一种用途就是异常情况退出，其他的情况尽量不要使用goto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memset(sz_line, 0, sizeof(sz_line));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fgets(sz_line, ALG_FILE_LINE, fp);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p_head = sz_line;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new_alg_param.ae_speed[0] = atoi(p_head);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 ((p_head = strstr(p_head, ",")) == NULL)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DEBUG("parse end of file\n");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goto EXIT;</w:t>
            </w:r>
          </w:p>
          <w:p>
            <w:pPr>
              <w:pStyle w:val="9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==语句的使用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使用==判断变量和常量是否相当的时候常量写在前面，变量写在后面，防止==写成了=，变成了赋值操作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 (1 == val)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...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不依赖运算符的优先级，全部使用括号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不依赖运算符的优先级，全部使用括号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6"/>
        <w:tblpPr w:leftFromText="180" w:rightFromText="180" w:vertAnchor="text" w:horzAnchor="page" w:tblpXSpec="center" w:tblpY="157"/>
        <w:tblW w:w="8218" w:type="dxa"/>
        <w:jc w:val="center"/>
        <w:tblInd w:w="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8" w:type="dxa"/>
            <w:shd w:val="clear" w:color="auto" w:fill="D9D9D9"/>
            <w:vAlign w:val="top"/>
          </w:tcPr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 = ((a + b) * c) / (e + d)  // 只是演示代码，变量命名不可取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MTT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238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53CF"/>
    <w:multiLevelType w:val="singleLevel"/>
    <w:tmpl w:val="5A4B53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1B51"/>
    <w:rsid w:val="00932EF3"/>
    <w:rsid w:val="012B194E"/>
    <w:rsid w:val="01EF36D1"/>
    <w:rsid w:val="023A7239"/>
    <w:rsid w:val="02F857CC"/>
    <w:rsid w:val="02FE3FC3"/>
    <w:rsid w:val="038C7315"/>
    <w:rsid w:val="03B83529"/>
    <w:rsid w:val="04BF4AEF"/>
    <w:rsid w:val="06BE1F7B"/>
    <w:rsid w:val="06D21958"/>
    <w:rsid w:val="07A50905"/>
    <w:rsid w:val="08860F8C"/>
    <w:rsid w:val="09295D04"/>
    <w:rsid w:val="09997161"/>
    <w:rsid w:val="0AB8130D"/>
    <w:rsid w:val="0ABD6F15"/>
    <w:rsid w:val="0AD37E91"/>
    <w:rsid w:val="0B2A6843"/>
    <w:rsid w:val="0C0F45BE"/>
    <w:rsid w:val="0D1E39D4"/>
    <w:rsid w:val="0D307E2B"/>
    <w:rsid w:val="0E0F36E8"/>
    <w:rsid w:val="0EFC0FB7"/>
    <w:rsid w:val="0FBE0134"/>
    <w:rsid w:val="105E439D"/>
    <w:rsid w:val="106C006E"/>
    <w:rsid w:val="10B81412"/>
    <w:rsid w:val="10D37233"/>
    <w:rsid w:val="11F65E97"/>
    <w:rsid w:val="12DE28FC"/>
    <w:rsid w:val="132F5DE5"/>
    <w:rsid w:val="13572D4E"/>
    <w:rsid w:val="14121A44"/>
    <w:rsid w:val="153C446F"/>
    <w:rsid w:val="15D8366D"/>
    <w:rsid w:val="15F1733D"/>
    <w:rsid w:val="163B31A1"/>
    <w:rsid w:val="16905182"/>
    <w:rsid w:val="16E65D86"/>
    <w:rsid w:val="17445395"/>
    <w:rsid w:val="1769266C"/>
    <w:rsid w:val="184A283F"/>
    <w:rsid w:val="185877E3"/>
    <w:rsid w:val="185D48CB"/>
    <w:rsid w:val="186F2D6A"/>
    <w:rsid w:val="1892662E"/>
    <w:rsid w:val="18A2550B"/>
    <w:rsid w:val="19362E04"/>
    <w:rsid w:val="19506BF2"/>
    <w:rsid w:val="19590665"/>
    <w:rsid w:val="19741AA0"/>
    <w:rsid w:val="19D13AEC"/>
    <w:rsid w:val="1A934D9F"/>
    <w:rsid w:val="1AEB7553"/>
    <w:rsid w:val="1B4C3FCD"/>
    <w:rsid w:val="1BB76589"/>
    <w:rsid w:val="1C1D65E9"/>
    <w:rsid w:val="1C533322"/>
    <w:rsid w:val="1D185D3C"/>
    <w:rsid w:val="1DFB20A4"/>
    <w:rsid w:val="1E407767"/>
    <w:rsid w:val="1E8F0FAB"/>
    <w:rsid w:val="1E971BC4"/>
    <w:rsid w:val="1F05225C"/>
    <w:rsid w:val="1F833B3F"/>
    <w:rsid w:val="1F9E069F"/>
    <w:rsid w:val="22754AF6"/>
    <w:rsid w:val="22AD6A91"/>
    <w:rsid w:val="22C7005F"/>
    <w:rsid w:val="22D41ED8"/>
    <w:rsid w:val="23B3199B"/>
    <w:rsid w:val="23EA7461"/>
    <w:rsid w:val="2440765A"/>
    <w:rsid w:val="25827AA0"/>
    <w:rsid w:val="25F85F93"/>
    <w:rsid w:val="260E3107"/>
    <w:rsid w:val="261511A5"/>
    <w:rsid w:val="264F239E"/>
    <w:rsid w:val="26FA1A00"/>
    <w:rsid w:val="271B378C"/>
    <w:rsid w:val="27F166A7"/>
    <w:rsid w:val="28AE381D"/>
    <w:rsid w:val="29CF702C"/>
    <w:rsid w:val="29F25D8F"/>
    <w:rsid w:val="2B7F47E7"/>
    <w:rsid w:val="2D480E96"/>
    <w:rsid w:val="2DAF0F25"/>
    <w:rsid w:val="2EE53063"/>
    <w:rsid w:val="2F0A7237"/>
    <w:rsid w:val="2F7847F4"/>
    <w:rsid w:val="30536AD9"/>
    <w:rsid w:val="307E4C11"/>
    <w:rsid w:val="323C1B52"/>
    <w:rsid w:val="33EB0E72"/>
    <w:rsid w:val="34372538"/>
    <w:rsid w:val="34D94FD5"/>
    <w:rsid w:val="35A21419"/>
    <w:rsid w:val="36421300"/>
    <w:rsid w:val="36441DE4"/>
    <w:rsid w:val="37167DBC"/>
    <w:rsid w:val="37A134DC"/>
    <w:rsid w:val="386C277C"/>
    <w:rsid w:val="38CE4D4D"/>
    <w:rsid w:val="39001792"/>
    <w:rsid w:val="3962132A"/>
    <w:rsid w:val="3A3C3039"/>
    <w:rsid w:val="3A482730"/>
    <w:rsid w:val="3AAA18FA"/>
    <w:rsid w:val="3BA8599A"/>
    <w:rsid w:val="3C1C61D6"/>
    <w:rsid w:val="3E071A1B"/>
    <w:rsid w:val="3E910816"/>
    <w:rsid w:val="3F3322DD"/>
    <w:rsid w:val="3F9A1BC7"/>
    <w:rsid w:val="3FC22D35"/>
    <w:rsid w:val="40227823"/>
    <w:rsid w:val="407F42A0"/>
    <w:rsid w:val="409209C8"/>
    <w:rsid w:val="40F44D64"/>
    <w:rsid w:val="4153200E"/>
    <w:rsid w:val="418A327B"/>
    <w:rsid w:val="419C490C"/>
    <w:rsid w:val="43B06170"/>
    <w:rsid w:val="46A74A1E"/>
    <w:rsid w:val="46E109B6"/>
    <w:rsid w:val="47BA169B"/>
    <w:rsid w:val="48294E3F"/>
    <w:rsid w:val="488420E0"/>
    <w:rsid w:val="48F02B49"/>
    <w:rsid w:val="491B5135"/>
    <w:rsid w:val="498951F5"/>
    <w:rsid w:val="49F0412F"/>
    <w:rsid w:val="4AFE0678"/>
    <w:rsid w:val="4B0938D2"/>
    <w:rsid w:val="4B6A25E0"/>
    <w:rsid w:val="4B885E40"/>
    <w:rsid w:val="4C564216"/>
    <w:rsid w:val="4DC67C0A"/>
    <w:rsid w:val="4E8F4902"/>
    <w:rsid w:val="4E94382D"/>
    <w:rsid w:val="5015468B"/>
    <w:rsid w:val="503E2284"/>
    <w:rsid w:val="50710DC4"/>
    <w:rsid w:val="50733E99"/>
    <w:rsid w:val="51A63C18"/>
    <w:rsid w:val="51C2101C"/>
    <w:rsid w:val="51C57A2E"/>
    <w:rsid w:val="51CE0E4D"/>
    <w:rsid w:val="539A6A67"/>
    <w:rsid w:val="54C47158"/>
    <w:rsid w:val="565038D9"/>
    <w:rsid w:val="571B78A8"/>
    <w:rsid w:val="5854062C"/>
    <w:rsid w:val="59676765"/>
    <w:rsid w:val="5A656B52"/>
    <w:rsid w:val="5AC81BF8"/>
    <w:rsid w:val="5B463959"/>
    <w:rsid w:val="5BC42659"/>
    <w:rsid w:val="5D300763"/>
    <w:rsid w:val="5DC33CDC"/>
    <w:rsid w:val="5DFF30FD"/>
    <w:rsid w:val="5FEC7AC1"/>
    <w:rsid w:val="6102071E"/>
    <w:rsid w:val="610F091C"/>
    <w:rsid w:val="61D40754"/>
    <w:rsid w:val="626E527A"/>
    <w:rsid w:val="62865B69"/>
    <w:rsid w:val="63F256AB"/>
    <w:rsid w:val="64577C4E"/>
    <w:rsid w:val="664B727C"/>
    <w:rsid w:val="69217128"/>
    <w:rsid w:val="69607DF8"/>
    <w:rsid w:val="69615441"/>
    <w:rsid w:val="6AE658A9"/>
    <w:rsid w:val="6B7E7F19"/>
    <w:rsid w:val="6BF9085F"/>
    <w:rsid w:val="6CDD28F6"/>
    <w:rsid w:val="6CE37006"/>
    <w:rsid w:val="6D625FA1"/>
    <w:rsid w:val="6DE53EE0"/>
    <w:rsid w:val="6F9A132A"/>
    <w:rsid w:val="70901BA0"/>
    <w:rsid w:val="71701946"/>
    <w:rsid w:val="719473B9"/>
    <w:rsid w:val="71C87277"/>
    <w:rsid w:val="726A6C6D"/>
    <w:rsid w:val="73CB7E75"/>
    <w:rsid w:val="759C15F3"/>
    <w:rsid w:val="7652791A"/>
    <w:rsid w:val="774C4056"/>
    <w:rsid w:val="77845CAD"/>
    <w:rsid w:val="77CC2850"/>
    <w:rsid w:val="79256D27"/>
    <w:rsid w:val="795E2E29"/>
    <w:rsid w:val="7ADB564F"/>
    <w:rsid w:val="7B5002EC"/>
    <w:rsid w:val="7B785413"/>
    <w:rsid w:val="7BE545A8"/>
    <w:rsid w:val="7C07640D"/>
    <w:rsid w:val="7CA85FFC"/>
    <w:rsid w:val="7CF037A0"/>
    <w:rsid w:val="7D2B1AF1"/>
    <w:rsid w:val="7E0A7FB7"/>
    <w:rsid w:val="7E46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paragraph" w:customStyle="1" w:styleId="9">
    <w:name w:val="样式 正文_首行缩进2字符 + Courier New 六号 绿色"/>
    <w:basedOn w:val="10"/>
    <w:qFormat/>
    <w:uiPriority w:val="0"/>
    <w:pPr>
      <w:spacing w:line="240" w:lineRule="auto"/>
      <w:ind w:firstLine="0" w:firstLineChars="0"/>
    </w:pPr>
    <w:rPr>
      <w:rFonts w:ascii="Courier New" w:hAnsi="Courier New"/>
      <w:color w:val="008000"/>
      <w:sz w:val="15"/>
    </w:rPr>
  </w:style>
  <w:style w:type="paragraph" w:customStyle="1" w:styleId="10">
    <w:name w:val="正文_首行缩进2字符"/>
    <w:basedOn w:val="1"/>
    <w:qFormat/>
    <w:uiPriority w:val="0"/>
    <w:pPr>
      <w:ind w:firstLine="480" w:firstLineChars="200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lothar</dc:creator>
  <cp:lastModifiedBy>lothar</cp:lastModifiedBy>
  <dcterms:modified xsi:type="dcterms:W3CDTF">2018-01-02T11:47:04Z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