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19B251" w14:textId="77777777" w:rsidR="00DF0B24" w:rsidRPr="00442114" w:rsidRDefault="00DF0B24" w:rsidP="00442114">
      <w:pPr>
        <w:jc w:val="center"/>
        <w:rPr>
          <w:rFonts w:asciiTheme="minorEastAsia" w:eastAsiaTheme="minorEastAsia" w:hAnsiTheme="minorEastAsia"/>
          <w:b/>
          <w:sz w:val="32"/>
          <w:szCs w:val="24"/>
        </w:rPr>
      </w:pPr>
      <w:r w:rsidRPr="00442114">
        <w:rPr>
          <w:rFonts w:asciiTheme="minorEastAsia" w:eastAsiaTheme="minorEastAsia" w:hAnsiTheme="minorEastAsia" w:hint="eastAsia"/>
          <w:b/>
          <w:sz w:val="32"/>
          <w:szCs w:val="24"/>
        </w:rPr>
        <w:t>华宝</w:t>
      </w:r>
      <w:r w:rsidRPr="00442114">
        <w:rPr>
          <w:rFonts w:asciiTheme="minorEastAsia" w:eastAsiaTheme="minorEastAsia" w:hAnsiTheme="minorEastAsia"/>
          <w:b/>
          <w:sz w:val="32"/>
          <w:szCs w:val="24"/>
        </w:rPr>
        <w:t>证券</w:t>
      </w:r>
      <w:r w:rsidRPr="00442114">
        <w:rPr>
          <w:rFonts w:asciiTheme="minorEastAsia" w:eastAsiaTheme="minorEastAsia" w:hAnsiTheme="minorEastAsia" w:hint="eastAsia"/>
          <w:b/>
          <w:sz w:val="32"/>
          <w:szCs w:val="24"/>
        </w:rPr>
        <w:t>公募</w:t>
      </w:r>
      <w:r w:rsidRPr="00442114">
        <w:rPr>
          <w:rFonts w:asciiTheme="minorEastAsia" w:eastAsiaTheme="minorEastAsia" w:hAnsiTheme="minorEastAsia"/>
          <w:b/>
          <w:sz w:val="32"/>
          <w:szCs w:val="24"/>
        </w:rPr>
        <w:t>研究体系</w:t>
      </w:r>
      <w:r w:rsidRPr="00442114">
        <w:rPr>
          <w:rFonts w:asciiTheme="minorEastAsia" w:eastAsiaTheme="minorEastAsia" w:hAnsiTheme="minorEastAsia" w:hint="eastAsia"/>
          <w:b/>
          <w:sz w:val="32"/>
          <w:szCs w:val="24"/>
        </w:rPr>
        <w:t>总概</w:t>
      </w:r>
    </w:p>
    <w:p w14:paraId="39DA7703" w14:textId="77777777" w:rsidR="00DF0B24" w:rsidRDefault="00DF0B24" w:rsidP="00DF0B24">
      <w:pPr>
        <w:pStyle w:val="a6"/>
        <w:ind w:left="450" w:firstLineChars="0" w:firstLine="0"/>
        <w:rPr>
          <w:rFonts w:asciiTheme="minorEastAsia" w:eastAsiaTheme="minorEastAsia" w:hAnsiTheme="minorEastAsia"/>
          <w:sz w:val="21"/>
          <w:szCs w:val="21"/>
        </w:rPr>
      </w:pPr>
    </w:p>
    <w:p w14:paraId="0D1480AA" w14:textId="77777777" w:rsidR="00DF0B24" w:rsidRDefault="001C0B36" w:rsidP="00DF0B24">
      <w:pPr>
        <w:pStyle w:val="a6"/>
        <w:rPr>
          <w:rFonts w:asciiTheme="minorEastAsia" w:eastAsiaTheme="minorEastAsia" w:hAnsiTheme="minorEastAsia"/>
          <w:sz w:val="21"/>
          <w:szCs w:val="21"/>
        </w:rPr>
      </w:pPr>
      <w:r>
        <w:rPr>
          <w:rFonts w:asciiTheme="minorEastAsia" w:eastAsiaTheme="minorEastAsia" w:hAnsiTheme="minorEastAsia" w:hint="eastAsia"/>
          <w:sz w:val="21"/>
          <w:szCs w:val="21"/>
        </w:rPr>
        <w:t>在</w:t>
      </w:r>
      <w:r w:rsidR="00DF0B24">
        <w:rPr>
          <w:rFonts w:asciiTheme="minorEastAsia" w:eastAsiaTheme="minorEastAsia" w:hAnsiTheme="minorEastAsia" w:hint="eastAsia"/>
          <w:sz w:val="21"/>
          <w:szCs w:val="21"/>
        </w:rPr>
        <w:t>公募基金研究</w:t>
      </w:r>
      <w:r>
        <w:rPr>
          <w:rFonts w:asciiTheme="minorEastAsia" w:eastAsiaTheme="minorEastAsia" w:hAnsiTheme="minorEastAsia" w:hint="eastAsia"/>
          <w:sz w:val="21"/>
          <w:szCs w:val="21"/>
        </w:rPr>
        <w:t>方面</w:t>
      </w:r>
      <w:r w:rsidR="00DF0B24">
        <w:rPr>
          <w:rFonts w:asciiTheme="minorEastAsia" w:eastAsiaTheme="minorEastAsia" w:hAnsiTheme="minorEastAsia" w:hint="eastAsia"/>
          <w:sz w:val="21"/>
          <w:szCs w:val="21"/>
        </w:rPr>
        <w:t>，</w:t>
      </w:r>
      <w:r w:rsidR="00DF0B24" w:rsidRPr="001A3D71">
        <w:rPr>
          <w:rFonts w:asciiTheme="minorEastAsia" w:eastAsiaTheme="minorEastAsia" w:hAnsiTheme="minorEastAsia" w:hint="eastAsia"/>
          <w:sz w:val="21"/>
          <w:szCs w:val="21"/>
        </w:rPr>
        <w:t>华宝证券坚持以“买方”的需求为导向，建立了基金经理评价模型，基金公司评价模型和基金评价模型三维一体，并以基金经理为核心的基金筛选体系，采用定量分析与定性（调研）分析相结合的方式，聚焦优秀基金经理，结合仓位及行业配置情况，聚焦优秀基金产品，构建客观、直接、有效、实用的基金产品池，为资产配置提供了建设性的投资建议。</w:t>
      </w:r>
    </w:p>
    <w:p w14:paraId="6698B3AD" w14:textId="77777777" w:rsidR="00DF0B24" w:rsidRDefault="00DF0B24" w:rsidP="00DF0B24">
      <w:pPr>
        <w:pStyle w:val="a6"/>
        <w:ind w:left="450" w:firstLineChars="0" w:firstLine="0"/>
        <w:rPr>
          <w:rFonts w:asciiTheme="minorEastAsia" w:eastAsiaTheme="minorEastAsia" w:hAnsiTheme="minorEastAsia"/>
          <w:sz w:val="21"/>
          <w:szCs w:val="21"/>
        </w:rPr>
      </w:pPr>
      <w:r>
        <w:rPr>
          <w:rFonts w:asciiTheme="minorEastAsia" w:hAnsiTheme="minorEastAsia"/>
          <w:noProof/>
          <w:sz w:val="24"/>
          <w:szCs w:val="24"/>
        </w:rPr>
        <w:drawing>
          <wp:inline distT="0" distB="0" distL="0" distR="0" wp14:anchorId="297C95C1" wp14:editId="2B89E7EE">
            <wp:extent cx="4601657" cy="2076450"/>
            <wp:effectExtent l="0" t="0" r="889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22706" cy="2085948"/>
                    </a:xfrm>
                    <a:prstGeom prst="rect">
                      <a:avLst/>
                    </a:prstGeom>
                    <a:noFill/>
                    <a:ln>
                      <a:noFill/>
                    </a:ln>
                  </pic:spPr>
                </pic:pic>
              </a:graphicData>
            </a:graphic>
          </wp:inline>
        </w:drawing>
      </w:r>
    </w:p>
    <w:p w14:paraId="0B31DD5A" w14:textId="77777777" w:rsidR="00DF0B24" w:rsidRDefault="00DF0B24" w:rsidP="00DF0B24">
      <w:pPr>
        <w:pStyle w:val="a1"/>
        <w:numPr>
          <w:ilvl w:val="1"/>
          <w:numId w:val="2"/>
        </w:numPr>
        <w:spacing w:before="156" w:after="156" w:line="240" w:lineRule="auto"/>
        <w:outlineLvl w:val="4"/>
        <w:rPr>
          <w:rFonts w:asciiTheme="minorEastAsia" w:eastAsiaTheme="minorEastAsia" w:hAnsiTheme="minorEastAsia"/>
          <w:sz w:val="21"/>
          <w:szCs w:val="21"/>
        </w:rPr>
      </w:pPr>
      <w:r>
        <w:rPr>
          <w:rFonts w:asciiTheme="minorEastAsia" w:eastAsiaTheme="minorEastAsia" w:hAnsiTheme="minorEastAsia" w:hint="eastAsia"/>
          <w:sz w:val="21"/>
          <w:szCs w:val="21"/>
        </w:rPr>
        <w:t>策略分类和评价方法</w:t>
      </w:r>
    </w:p>
    <w:p w14:paraId="13056F95" w14:textId="77777777" w:rsidR="00DF0B24" w:rsidRPr="00442114" w:rsidRDefault="00DF0B24" w:rsidP="00DF0B24">
      <w:pPr>
        <w:ind w:firstLineChars="200" w:firstLine="420"/>
        <w:rPr>
          <w:rFonts w:asciiTheme="minorEastAsia" w:eastAsiaTheme="minorEastAsia" w:hAnsiTheme="minorEastAsia"/>
          <w:sz w:val="21"/>
          <w:szCs w:val="21"/>
        </w:rPr>
      </w:pPr>
      <w:r w:rsidRPr="00F92003">
        <w:rPr>
          <w:rFonts w:asciiTheme="minorEastAsia" w:eastAsiaTheme="minorEastAsia" w:hAnsiTheme="minorEastAsia" w:hint="eastAsia"/>
          <w:sz w:val="21"/>
          <w:szCs w:val="21"/>
        </w:rPr>
        <w:t>华宝证券</w:t>
      </w:r>
      <w:r w:rsidRPr="00F92003">
        <w:rPr>
          <w:rFonts w:asciiTheme="minorEastAsia" w:eastAsiaTheme="minorEastAsia" w:hAnsiTheme="minorEastAsia"/>
          <w:sz w:val="21"/>
          <w:szCs w:val="21"/>
        </w:rPr>
        <w:t>将市场上的基金</w:t>
      </w:r>
      <w:r w:rsidRPr="00F92003">
        <w:rPr>
          <w:rFonts w:asciiTheme="minorEastAsia" w:eastAsiaTheme="minorEastAsia" w:hAnsiTheme="minorEastAsia" w:hint="eastAsia"/>
          <w:sz w:val="21"/>
          <w:szCs w:val="21"/>
        </w:rPr>
        <w:t>产品按照</w:t>
      </w:r>
      <w:r w:rsidRPr="00F92003">
        <w:rPr>
          <w:rFonts w:asciiTheme="minorEastAsia" w:eastAsiaTheme="minorEastAsia" w:hAnsiTheme="minorEastAsia"/>
          <w:sz w:val="21"/>
          <w:szCs w:val="21"/>
        </w:rPr>
        <w:t>策略进行了重新分类</w:t>
      </w:r>
      <w:r w:rsidRPr="00F92003">
        <w:rPr>
          <w:rFonts w:asciiTheme="minorEastAsia" w:eastAsiaTheme="minorEastAsia" w:hAnsiTheme="minorEastAsia" w:hint="eastAsia"/>
          <w:sz w:val="21"/>
          <w:szCs w:val="21"/>
        </w:rPr>
        <w:t>，包括主动管理类</w:t>
      </w:r>
      <w:r w:rsidRPr="00F92003">
        <w:rPr>
          <w:rFonts w:asciiTheme="minorEastAsia" w:eastAsiaTheme="minorEastAsia" w:hAnsiTheme="minorEastAsia"/>
          <w:sz w:val="21"/>
          <w:szCs w:val="21"/>
        </w:rPr>
        <w:t>、</w:t>
      </w:r>
      <w:r w:rsidRPr="00F92003">
        <w:rPr>
          <w:rFonts w:asciiTheme="minorEastAsia" w:eastAsiaTheme="minorEastAsia" w:hAnsiTheme="minorEastAsia" w:hint="eastAsia"/>
          <w:sz w:val="21"/>
          <w:szCs w:val="21"/>
        </w:rPr>
        <w:t>被动管理类、</w:t>
      </w:r>
      <w:r w:rsidRPr="00F92003">
        <w:rPr>
          <w:rFonts w:asciiTheme="minorEastAsia" w:eastAsiaTheme="minorEastAsia" w:hAnsiTheme="minorEastAsia"/>
          <w:sz w:val="21"/>
          <w:szCs w:val="21"/>
        </w:rPr>
        <w:t>固定收益类、和QDII型</w:t>
      </w:r>
      <w:r w:rsidRPr="00F92003">
        <w:rPr>
          <w:rFonts w:asciiTheme="minorEastAsia" w:eastAsiaTheme="minorEastAsia" w:hAnsiTheme="minorEastAsia" w:hint="eastAsia"/>
          <w:sz w:val="21"/>
          <w:szCs w:val="21"/>
        </w:rPr>
        <w:t>等七大类</w:t>
      </w:r>
      <w:r w:rsidRPr="00F92003">
        <w:rPr>
          <w:rFonts w:asciiTheme="minorEastAsia" w:eastAsiaTheme="minorEastAsia" w:hAnsiTheme="minorEastAsia"/>
          <w:sz w:val="21"/>
          <w:szCs w:val="21"/>
        </w:rPr>
        <w:t>。</w:t>
      </w:r>
      <w:r w:rsidRPr="00F92003">
        <w:rPr>
          <w:rFonts w:asciiTheme="minorEastAsia" w:eastAsiaTheme="minorEastAsia" w:hAnsiTheme="minorEastAsia" w:hint="eastAsia"/>
          <w:sz w:val="21"/>
          <w:szCs w:val="21"/>
        </w:rPr>
        <w:t>其中</w:t>
      </w:r>
      <w:r w:rsidRPr="00F92003">
        <w:rPr>
          <w:rFonts w:asciiTheme="minorEastAsia" w:eastAsiaTheme="minorEastAsia" w:hAnsiTheme="minorEastAsia"/>
          <w:sz w:val="21"/>
          <w:szCs w:val="21"/>
        </w:rPr>
        <w:t>，在权益类主动管理类中，根据其投资风格，将基金分为成长风格、价值风格、均衡风格和交易型风格基金。其中均衡风格和交易型风格基金的区别在于：前者并不会出现较为极致的风格，始终处于成长和价值风格之间，而交易型风格则每个阶段都有较为极致的风格，例如某一阶段为成长风，而另一阶段为价值风。同时分离出普通量化、大数据量化、行业主题、事件主题型（如一带一路）型基金。其余分类如下表所示。</w:t>
      </w:r>
      <w:r w:rsidR="00442114" w:rsidRPr="00F92003">
        <w:rPr>
          <w:rFonts w:ascii="宋体" w:hAnsi="宋体" w:hint="eastAsia"/>
          <w:sz w:val="21"/>
          <w:szCs w:val="21"/>
        </w:rPr>
        <w:t>对于</w:t>
      </w:r>
      <w:r w:rsidR="00442114" w:rsidRPr="00F92003">
        <w:rPr>
          <w:rFonts w:ascii="宋体" w:hAnsi="宋体"/>
          <w:sz w:val="21"/>
          <w:szCs w:val="21"/>
        </w:rPr>
        <w:t>具有</w:t>
      </w:r>
      <w:r w:rsidR="00442114" w:rsidRPr="00F92003">
        <w:rPr>
          <w:rFonts w:ascii="宋体" w:hAnsi="宋体" w:hint="eastAsia"/>
          <w:sz w:val="21"/>
          <w:szCs w:val="21"/>
        </w:rPr>
        <w:t>特殊策略类的基金品种，我们在进行筛选时将</w:t>
      </w:r>
      <w:r w:rsidR="00442114">
        <w:rPr>
          <w:rFonts w:ascii="宋体" w:hAnsi="宋体" w:hint="eastAsia"/>
          <w:sz w:val="21"/>
          <w:szCs w:val="21"/>
        </w:rPr>
        <w:t>重点考察</w:t>
      </w:r>
      <w:r w:rsidR="00442114">
        <w:rPr>
          <w:rFonts w:ascii="宋体" w:hAnsi="宋体"/>
          <w:sz w:val="21"/>
          <w:szCs w:val="21"/>
        </w:rPr>
        <w:t>策略因子</w:t>
      </w:r>
      <w:r w:rsidR="00442114">
        <w:rPr>
          <w:rFonts w:ascii="宋体" w:hAnsi="宋体" w:hint="eastAsia"/>
          <w:sz w:val="21"/>
          <w:szCs w:val="21"/>
        </w:rPr>
        <w:t>的</w:t>
      </w:r>
      <w:r w:rsidR="00442114">
        <w:rPr>
          <w:rFonts w:ascii="宋体" w:hAnsi="宋体"/>
          <w:sz w:val="21"/>
          <w:szCs w:val="21"/>
        </w:rPr>
        <w:t>表现情况</w:t>
      </w:r>
      <w:r w:rsidR="00442114">
        <w:rPr>
          <w:rFonts w:ascii="宋体" w:hAnsi="宋体" w:hint="eastAsia"/>
          <w:sz w:val="21"/>
          <w:szCs w:val="21"/>
        </w:rPr>
        <w:t>。</w:t>
      </w:r>
    </w:p>
    <w:p w14:paraId="52966F36" w14:textId="77777777" w:rsidR="000F68A8" w:rsidRPr="00F92003" w:rsidRDefault="000F68A8" w:rsidP="00DF0B24">
      <w:pPr>
        <w:ind w:firstLineChars="200" w:firstLine="420"/>
        <w:rPr>
          <w:rFonts w:asciiTheme="minorEastAsia" w:eastAsiaTheme="minorEastAsia" w:hAnsiTheme="minorEastAsia"/>
          <w:sz w:val="21"/>
          <w:szCs w:val="21"/>
        </w:rPr>
      </w:pPr>
    </w:p>
    <w:tbl>
      <w:tblPr>
        <w:tblW w:w="8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40"/>
        <w:gridCol w:w="2560"/>
        <w:gridCol w:w="1560"/>
        <w:gridCol w:w="3060"/>
      </w:tblGrid>
      <w:tr w:rsidR="00442114" w:rsidRPr="005843EE" w14:paraId="734B89C5" w14:textId="77777777" w:rsidTr="00442114">
        <w:trPr>
          <w:trHeight w:val="270"/>
          <w:jc w:val="center"/>
        </w:trPr>
        <w:tc>
          <w:tcPr>
            <w:tcW w:w="1740" w:type="dxa"/>
            <w:shd w:val="clear" w:color="auto" w:fill="auto"/>
            <w:tcMar>
              <w:top w:w="15" w:type="dxa"/>
              <w:left w:w="15" w:type="dxa"/>
              <w:bottom w:w="0" w:type="dxa"/>
              <w:right w:w="15" w:type="dxa"/>
            </w:tcMar>
            <w:vAlign w:val="center"/>
            <w:hideMark/>
          </w:tcPr>
          <w:p w14:paraId="70353A6A" w14:textId="77777777" w:rsidR="00442114" w:rsidRPr="00D329EC" w:rsidRDefault="00442114" w:rsidP="00FC61BB">
            <w:pPr>
              <w:ind w:firstLineChars="200" w:firstLine="361"/>
              <w:rPr>
                <w:rFonts w:ascii="宋体" w:hAnsi="宋体"/>
                <w:b/>
                <w:szCs w:val="21"/>
              </w:rPr>
            </w:pPr>
            <w:r w:rsidRPr="00D329EC">
              <w:rPr>
                <w:rFonts w:ascii="宋体" w:hAnsi="宋体" w:hint="eastAsia"/>
                <w:b/>
                <w:szCs w:val="21"/>
              </w:rPr>
              <w:t>大类</w:t>
            </w:r>
          </w:p>
        </w:tc>
        <w:tc>
          <w:tcPr>
            <w:tcW w:w="2560" w:type="dxa"/>
            <w:shd w:val="clear" w:color="auto" w:fill="auto"/>
            <w:tcMar>
              <w:top w:w="15" w:type="dxa"/>
              <w:left w:w="15" w:type="dxa"/>
              <w:bottom w:w="0" w:type="dxa"/>
              <w:right w:w="15" w:type="dxa"/>
            </w:tcMar>
            <w:vAlign w:val="center"/>
            <w:hideMark/>
          </w:tcPr>
          <w:p w14:paraId="450EDF81" w14:textId="77777777" w:rsidR="00442114" w:rsidRPr="00D329EC" w:rsidRDefault="00442114" w:rsidP="00FC61BB">
            <w:pPr>
              <w:ind w:firstLineChars="200" w:firstLine="361"/>
              <w:rPr>
                <w:rFonts w:ascii="宋体" w:hAnsi="宋体"/>
                <w:b/>
                <w:szCs w:val="21"/>
              </w:rPr>
            </w:pPr>
            <w:r w:rsidRPr="00D329EC">
              <w:rPr>
                <w:rFonts w:ascii="宋体" w:hAnsi="宋体" w:hint="eastAsia"/>
                <w:b/>
                <w:szCs w:val="21"/>
              </w:rPr>
              <w:t>之类</w:t>
            </w:r>
          </w:p>
        </w:tc>
        <w:tc>
          <w:tcPr>
            <w:tcW w:w="1560" w:type="dxa"/>
            <w:shd w:val="clear" w:color="auto" w:fill="auto"/>
            <w:tcMar>
              <w:top w:w="15" w:type="dxa"/>
              <w:left w:w="15" w:type="dxa"/>
              <w:bottom w:w="0" w:type="dxa"/>
              <w:right w:w="15" w:type="dxa"/>
            </w:tcMar>
            <w:vAlign w:val="center"/>
            <w:hideMark/>
          </w:tcPr>
          <w:p w14:paraId="66A14063" w14:textId="77777777" w:rsidR="00442114" w:rsidRPr="00D329EC" w:rsidRDefault="00442114" w:rsidP="00FC61BB">
            <w:pPr>
              <w:ind w:firstLineChars="200" w:firstLine="361"/>
              <w:rPr>
                <w:rFonts w:ascii="宋体" w:hAnsi="宋体"/>
                <w:b/>
                <w:szCs w:val="21"/>
              </w:rPr>
            </w:pPr>
            <w:r w:rsidRPr="00D329EC">
              <w:rPr>
                <w:rFonts w:ascii="宋体" w:hAnsi="宋体" w:hint="eastAsia"/>
                <w:b/>
                <w:szCs w:val="21"/>
              </w:rPr>
              <w:t>大类</w:t>
            </w:r>
          </w:p>
        </w:tc>
        <w:tc>
          <w:tcPr>
            <w:tcW w:w="3060" w:type="dxa"/>
            <w:shd w:val="clear" w:color="auto" w:fill="auto"/>
            <w:tcMar>
              <w:top w:w="15" w:type="dxa"/>
              <w:left w:w="15" w:type="dxa"/>
              <w:bottom w:w="0" w:type="dxa"/>
              <w:right w:w="15" w:type="dxa"/>
            </w:tcMar>
            <w:vAlign w:val="center"/>
            <w:hideMark/>
          </w:tcPr>
          <w:p w14:paraId="532FFEB7" w14:textId="77777777" w:rsidR="00442114" w:rsidRPr="00D329EC" w:rsidRDefault="00442114" w:rsidP="00FC61BB">
            <w:pPr>
              <w:ind w:firstLineChars="200" w:firstLine="361"/>
              <w:rPr>
                <w:rFonts w:ascii="宋体" w:hAnsi="宋体"/>
                <w:b/>
                <w:szCs w:val="21"/>
              </w:rPr>
            </w:pPr>
            <w:r w:rsidRPr="00D329EC">
              <w:rPr>
                <w:rFonts w:ascii="宋体" w:hAnsi="宋体" w:hint="eastAsia"/>
                <w:b/>
                <w:szCs w:val="21"/>
              </w:rPr>
              <w:t>之类</w:t>
            </w:r>
          </w:p>
        </w:tc>
      </w:tr>
      <w:tr w:rsidR="00442114" w:rsidRPr="005843EE" w14:paraId="2980321A" w14:textId="77777777" w:rsidTr="00442114">
        <w:trPr>
          <w:trHeight w:val="270"/>
          <w:jc w:val="center"/>
        </w:trPr>
        <w:tc>
          <w:tcPr>
            <w:tcW w:w="1740" w:type="dxa"/>
            <w:vMerge w:val="restart"/>
            <w:shd w:val="clear" w:color="auto" w:fill="F2F2F2"/>
            <w:tcMar>
              <w:top w:w="15" w:type="dxa"/>
              <w:left w:w="15" w:type="dxa"/>
              <w:bottom w:w="0" w:type="dxa"/>
              <w:right w:w="15" w:type="dxa"/>
            </w:tcMar>
            <w:vAlign w:val="center"/>
            <w:hideMark/>
          </w:tcPr>
          <w:p w14:paraId="33F13BDC"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主动管理型</w:t>
            </w:r>
          </w:p>
        </w:tc>
        <w:tc>
          <w:tcPr>
            <w:tcW w:w="2560" w:type="dxa"/>
            <w:shd w:val="clear" w:color="auto" w:fill="F2F2F2"/>
            <w:tcMar>
              <w:top w:w="15" w:type="dxa"/>
              <w:left w:w="15" w:type="dxa"/>
              <w:bottom w:w="0" w:type="dxa"/>
              <w:right w:w="15" w:type="dxa"/>
            </w:tcMar>
            <w:vAlign w:val="center"/>
            <w:hideMark/>
          </w:tcPr>
          <w:p w14:paraId="489232F9"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价值型风格</w:t>
            </w:r>
          </w:p>
        </w:tc>
        <w:tc>
          <w:tcPr>
            <w:tcW w:w="1560" w:type="dxa"/>
            <w:vMerge w:val="restart"/>
            <w:shd w:val="clear" w:color="auto" w:fill="auto"/>
            <w:tcMar>
              <w:top w:w="15" w:type="dxa"/>
              <w:left w:w="15" w:type="dxa"/>
              <w:bottom w:w="0" w:type="dxa"/>
              <w:right w:w="15" w:type="dxa"/>
            </w:tcMar>
            <w:vAlign w:val="center"/>
            <w:hideMark/>
          </w:tcPr>
          <w:p w14:paraId="2BBA624F"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固定收益</w:t>
            </w:r>
          </w:p>
        </w:tc>
        <w:tc>
          <w:tcPr>
            <w:tcW w:w="3060" w:type="dxa"/>
            <w:shd w:val="clear" w:color="auto" w:fill="auto"/>
            <w:tcMar>
              <w:top w:w="15" w:type="dxa"/>
              <w:left w:w="15" w:type="dxa"/>
              <w:bottom w:w="0" w:type="dxa"/>
              <w:right w:w="15" w:type="dxa"/>
            </w:tcMar>
            <w:vAlign w:val="center"/>
            <w:hideMark/>
          </w:tcPr>
          <w:p w14:paraId="285A4119"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纯债（含一级）</w:t>
            </w:r>
          </w:p>
        </w:tc>
      </w:tr>
      <w:tr w:rsidR="00442114" w:rsidRPr="005843EE" w14:paraId="16B2BC22" w14:textId="77777777" w:rsidTr="00442114">
        <w:trPr>
          <w:trHeight w:val="270"/>
          <w:jc w:val="center"/>
        </w:trPr>
        <w:tc>
          <w:tcPr>
            <w:tcW w:w="0" w:type="auto"/>
            <w:vMerge/>
            <w:vAlign w:val="center"/>
            <w:hideMark/>
          </w:tcPr>
          <w:p w14:paraId="360ED701"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725B06BE"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成长型风格</w:t>
            </w:r>
          </w:p>
        </w:tc>
        <w:tc>
          <w:tcPr>
            <w:tcW w:w="0" w:type="auto"/>
            <w:vMerge/>
            <w:tcMar>
              <w:top w:w="15" w:type="dxa"/>
              <w:left w:w="15" w:type="dxa"/>
              <w:bottom w:w="0" w:type="dxa"/>
              <w:right w:w="15" w:type="dxa"/>
            </w:tcMar>
            <w:vAlign w:val="center"/>
            <w:hideMark/>
          </w:tcPr>
          <w:p w14:paraId="291EAEDF"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192760A1"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二级债基</w:t>
            </w:r>
          </w:p>
        </w:tc>
      </w:tr>
      <w:tr w:rsidR="00442114" w:rsidRPr="005843EE" w14:paraId="79627179" w14:textId="77777777" w:rsidTr="00442114">
        <w:trPr>
          <w:trHeight w:val="270"/>
          <w:jc w:val="center"/>
        </w:trPr>
        <w:tc>
          <w:tcPr>
            <w:tcW w:w="0" w:type="auto"/>
            <w:vMerge/>
            <w:vAlign w:val="center"/>
            <w:hideMark/>
          </w:tcPr>
          <w:p w14:paraId="61E82E4E"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23454AE4"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均衡型风格</w:t>
            </w:r>
          </w:p>
        </w:tc>
        <w:tc>
          <w:tcPr>
            <w:tcW w:w="0" w:type="auto"/>
            <w:vMerge/>
            <w:tcMar>
              <w:top w:w="15" w:type="dxa"/>
              <w:left w:w="15" w:type="dxa"/>
              <w:bottom w:w="0" w:type="dxa"/>
              <w:right w:w="15" w:type="dxa"/>
            </w:tcMar>
            <w:vAlign w:val="center"/>
            <w:hideMark/>
          </w:tcPr>
          <w:p w14:paraId="3456DD87"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037D4F93"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可转债基金</w:t>
            </w:r>
          </w:p>
        </w:tc>
      </w:tr>
      <w:tr w:rsidR="00442114" w:rsidRPr="005843EE" w14:paraId="6FE01638" w14:textId="77777777" w:rsidTr="00442114">
        <w:trPr>
          <w:trHeight w:val="270"/>
          <w:jc w:val="center"/>
        </w:trPr>
        <w:tc>
          <w:tcPr>
            <w:tcW w:w="0" w:type="auto"/>
            <w:vMerge/>
            <w:vAlign w:val="center"/>
            <w:hideMark/>
          </w:tcPr>
          <w:p w14:paraId="50A81C34"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5C4ECA6F"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漂移型风格</w:t>
            </w:r>
          </w:p>
        </w:tc>
        <w:tc>
          <w:tcPr>
            <w:tcW w:w="0" w:type="auto"/>
            <w:vMerge/>
            <w:tcMar>
              <w:top w:w="15" w:type="dxa"/>
              <w:left w:w="15" w:type="dxa"/>
              <w:bottom w:w="0" w:type="dxa"/>
              <w:right w:w="15" w:type="dxa"/>
            </w:tcMar>
            <w:vAlign w:val="center"/>
            <w:hideMark/>
          </w:tcPr>
          <w:p w14:paraId="55B8F278"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333ABFE2"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定开债</w:t>
            </w:r>
          </w:p>
        </w:tc>
      </w:tr>
      <w:tr w:rsidR="00442114" w:rsidRPr="005843EE" w14:paraId="3A003383" w14:textId="77777777" w:rsidTr="00442114">
        <w:trPr>
          <w:trHeight w:val="270"/>
          <w:jc w:val="center"/>
        </w:trPr>
        <w:tc>
          <w:tcPr>
            <w:tcW w:w="0" w:type="auto"/>
            <w:vMerge/>
            <w:vAlign w:val="center"/>
            <w:hideMark/>
          </w:tcPr>
          <w:p w14:paraId="02C14960"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4C28920F"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普通量化基金</w:t>
            </w:r>
          </w:p>
        </w:tc>
        <w:tc>
          <w:tcPr>
            <w:tcW w:w="1560" w:type="dxa"/>
            <w:vMerge w:val="restart"/>
            <w:shd w:val="clear" w:color="auto" w:fill="F2F2F2"/>
            <w:tcMar>
              <w:top w:w="15" w:type="dxa"/>
              <w:left w:w="15" w:type="dxa"/>
              <w:bottom w:w="0" w:type="dxa"/>
              <w:right w:w="15" w:type="dxa"/>
            </w:tcMar>
            <w:vAlign w:val="center"/>
            <w:hideMark/>
          </w:tcPr>
          <w:p w14:paraId="4B782D68"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QDII</w:t>
            </w:r>
          </w:p>
        </w:tc>
        <w:tc>
          <w:tcPr>
            <w:tcW w:w="3060" w:type="dxa"/>
            <w:shd w:val="clear" w:color="auto" w:fill="F2F2F2"/>
            <w:tcMar>
              <w:top w:w="15" w:type="dxa"/>
              <w:left w:w="15" w:type="dxa"/>
              <w:bottom w:w="0" w:type="dxa"/>
              <w:right w:w="15" w:type="dxa"/>
            </w:tcMar>
            <w:vAlign w:val="center"/>
            <w:hideMark/>
          </w:tcPr>
          <w:p w14:paraId="5C72C519"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投资于香港地区</w:t>
            </w:r>
          </w:p>
        </w:tc>
      </w:tr>
      <w:tr w:rsidR="00442114" w:rsidRPr="005843EE" w14:paraId="4BD58883" w14:textId="77777777" w:rsidTr="00442114">
        <w:trPr>
          <w:trHeight w:val="270"/>
          <w:jc w:val="center"/>
        </w:trPr>
        <w:tc>
          <w:tcPr>
            <w:tcW w:w="0" w:type="auto"/>
            <w:vMerge/>
            <w:vAlign w:val="center"/>
            <w:hideMark/>
          </w:tcPr>
          <w:p w14:paraId="34C503DA"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0531A52E"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大数据量化（非指数）</w:t>
            </w:r>
          </w:p>
        </w:tc>
        <w:tc>
          <w:tcPr>
            <w:tcW w:w="0" w:type="auto"/>
            <w:vMerge/>
            <w:tcMar>
              <w:top w:w="15" w:type="dxa"/>
              <w:left w:w="15" w:type="dxa"/>
              <w:bottom w:w="0" w:type="dxa"/>
              <w:right w:w="15" w:type="dxa"/>
            </w:tcMar>
            <w:vAlign w:val="center"/>
            <w:hideMark/>
          </w:tcPr>
          <w:p w14:paraId="5C9A872A"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2F402B9A"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投资于德国</w:t>
            </w:r>
          </w:p>
        </w:tc>
      </w:tr>
      <w:tr w:rsidR="00442114" w:rsidRPr="005843EE" w14:paraId="004EE14B" w14:textId="77777777" w:rsidTr="00442114">
        <w:trPr>
          <w:trHeight w:val="270"/>
          <w:jc w:val="center"/>
        </w:trPr>
        <w:tc>
          <w:tcPr>
            <w:tcW w:w="0" w:type="auto"/>
            <w:vMerge/>
            <w:vAlign w:val="center"/>
            <w:hideMark/>
          </w:tcPr>
          <w:p w14:paraId="59E2F410"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72B9E7EB"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行业主题</w:t>
            </w:r>
          </w:p>
        </w:tc>
        <w:tc>
          <w:tcPr>
            <w:tcW w:w="0" w:type="auto"/>
            <w:vMerge/>
            <w:tcMar>
              <w:top w:w="15" w:type="dxa"/>
              <w:left w:w="15" w:type="dxa"/>
              <w:bottom w:w="0" w:type="dxa"/>
              <w:right w:w="15" w:type="dxa"/>
            </w:tcMar>
            <w:vAlign w:val="center"/>
            <w:hideMark/>
          </w:tcPr>
          <w:p w14:paraId="610327F7"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512129D6"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投资于美国</w:t>
            </w:r>
          </w:p>
        </w:tc>
      </w:tr>
      <w:tr w:rsidR="00442114" w:rsidRPr="005843EE" w14:paraId="67AA2E16" w14:textId="77777777" w:rsidTr="00442114">
        <w:trPr>
          <w:trHeight w:val="270"/>
          <w:jc w:val="center"/>
        </w:trPr>
        <w:tc>
          <w:tcPr>
            <w:tcW w:w="0" w:type="auto"/>
            <w:vMerge/>
            <w:vAlign w:val="center"/>
            <w:hideMark/>
          </w:tcPr>
          <w:p w14:paraId="6D25B8F5"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5B35907B"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事件主题</w:t>
            </w:r>
          </w:p>
        </w:tc>
        <w:tc>
          <w:tcPr>
            <w:tcW w:w="0" w:type="auto"/>
            <w:vMerge/>
            <w:tcMar>
              <w:top w:w="15" w:type="dxa"/>
              <w:left w:w="15" w:type="dxa"/>
              <w:bottom w:w="0" w:type="dxa"/>
              <w:right w:w="15" w:type="dxa"/>
            </w:tcMar>
            <w:vAlign w:val="center"/>
            <w:hideMark/>
          </w:tcPr>
          <w:p w14:paraId="30F4A21D"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33FC0DCD"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投资于大中华</w:t>
            </w:r>
          </w:p>
        </w:tc>
      </w:tr>
      <w:tr w:rsidR="00442114" w:rsidRPr="005843EE" w14:paraId="19E8808F" w14:textId="77777777" w:rsidTr="00442114">
        <w:trPr>
          <w:trHeight w:val="270"/>
          <w:jc w:val="center"/>
        </w:trPr>
        <w:tc>
          <w:tcPr>
            <w:tcW w:w="0" w:type="auto"/>
            <w:vMerge/>
            <w:vAlign w:val="center"/>
            <w:hideMark/>
          </w:tcPr>
          <w:p w14:paraId="06B7002D"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358E6D54"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沪港深</w:t>
            </w:r>
          </w:p>
        </w:tc>
        <w:tc>
          <w:tcPr>
            <w:tcW w:w="0" w:type="auto"/>
            <w:vMerge/>
            <w:tcMar>
              <w:top w:w="15" w:type="dxa"/>
              <w:left w:w="15" w:type="dxa"/>
              <w:bottom w:w="0" w:type="dxa"/>
              <w:right w:w="15" w:type="dxa"/>
            </w:tcMar>
            <w:vAlign w:val="center"/>
            <w:hideMark/>
          </w:tcPr>
          <w:p w14:paraId="34050516"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3FA0E11A"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投资于新兴市场与金砖四国</w:t>
            </w:r>
          </w:p>
        </w:tc>
      </w:tr>
      <w:tr w:rsidR="00442114" w:rsidRPr="005843EE" w14:paraId="363F8641" w14:textId="77777777" w:rsidTr="00442114">
        <w:trPr>
          <w:trHeight w:val="270"/>
          <w:jc w:val="center"/>
        </w:trPr>
        <w:tc>
          <w:tcPr>
            <w:tcW w:w="1740" w:type="dxa"/>
            <w:vMerge w:val="restart"/>
            <w:shd w:val="clear" w:color="auto" w:fill="auto"/>
            <w:tcMar>
              <w:top w:w="15" w:type="dxa"/>
              <w:left w:w="15" w:type="dxa"/>
              <w:bottom w:w="0" w:type="dxa"/>
              <w:right w:w="15" w:type="dxa"/>
            </w:tcMar>
            <w:vAlign w:val="center"/>
            <w:hideMark/>
          </w:tcPr>
          <w:p w14:paraId="0798A6D3"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被动管理型</w:t>
            </w:r>
          </w:p>
        </w:tc>
        <w:tc>
          <w:tcPr>
            <w:tcW w:w="2560" w:type="dxa"/>
            <w:shd w:val="clear" w:color="auto" w:fill="auto"/>
            <w:tcMar>
              <w:top w:w="15" w:type="dxa"/>
              <w:left w:w="15" w:type="dxa"/>
              <w:bottom w:w="0" w:type="dxa"/>
              <w:right w:w="15" w:type="dxa"/>
            </w:tcMar>
            <w:vAlign w:val="center"/>
            <w:hideMark/>
          </w:tcPr>
          <w:p w14:paraId="06449AF6"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一般被动（非行业）</w:t>
            </w:r>
          </w:p>
        </w:tc>
        <w:tc>
          <w:tcPr>
            <w:tcW w:w="0" w:type="auto"/>
            <w:vMerge/>
            <w:tcMar>
              <w:top w:w="15" w:type="dxa"/>
              <w:left w:w="15" w:type="dxa"/>
              <w:bottom w:w="0" w:type="dxa"/>
              <w:right w:w="15" w:type="dxa"/>
            </w:tcMar>
            <w:vAlign w:val="center"/>
            <w:hideMark/>
          </w:tcPr>
          <w:p w14:paraId="10F98C96"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50931954"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全球QDII</w:t>
            </w:r>
          </w:p>
        </w:tc>
      </w:tr>
      <w:tr w:rsidR="00442114" w:rsidRPr="005843EE" w14:paraId="5FBE6120" w14:textId="77777777" w:rsidTr="00442114">
        <w:trPr>
          <w:trHeight w:val="270"/>
          <w:jc w:val="center"/>
        </w:trPr>
        <w:tc>
          <w:tcPr>
            <w:tcW w:w="0" w:type="auto"/>
            <w:vMerge/>
            <w:vAlign w:val="center"/>
            <w:hideMark/>
          </w:tcPr>
          <w:p w14:paraId="3E0E442E" w14:textId="77777777" w:rsidR="00442114" w:rsidRPr="00D329EC" w:rsidRDefault="00442114" w:rsidP="00FC61BB">
            <w:pPr>
              <w:ind w:firstLineChars="200" w:firstLine="360"/>
              <w:rPr>
                <w:rFonts w:ascii="宋体" w:hAnsi="宋体"/>
                <w:szCs w:val="21"/>
              </w:rPr>
            </w:pPr>
          </w:p>
        </w:tc>
        <w:tc>
          <w:tcPr>
            <w:tcW w:w="2560" w:type="dxa"/>
            <w:shd w:val="clear" w:color="auto" w:fill="auto"/>
            <w:tcMar>
              <w:top w:w="15" w:type="dxa"/>
              <w:left w:w="15" w:type="dxa"/>
              <w:bottom w:w="0" w:type="dxa"/>
              <w:right w:w="15" w:type="dxa"/>
            </w:tcMar>
            <w:vAlign w:val="center"/>
            <w:hideMark/>
          </w:tcPr>
          <w:p w14:paraId="445A6703"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一般被动（行业指数）</w:t>
            </w:r>
          </w:p>
        </w:tc>
        <w:tc>
          <w:tcPr>
            <w:tcW w:w="0" w:type="auto"/>
            <w:vMerge/>
            <w:tcMar>
              <w:top w:w="15" w:type="dxa"/>
              <w:left w:w="15" w:type="dxa"/>
              <w:bottom w:w="0" w:type="dxa"/>
              <w:right w:w="15" w:type="dxa"/>
            </w:tcMar>
            <w:vAlign w:val="center"/>
            <w:hideMark/>
          </w:tcPr>
          <w:p w14:paraId="5B2EB0CF"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2941E36C"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亚太区QDII</w:t>
            </w:r>
          </w:p>
        </w:tc>
      </w:tr>
      <w:tr w:rsidR="00442114" w:rsidRPr="005843EE" w14:paraId="79B68A3B" w14:textId="77777777" w:rsidTr="00442114">
        <w:trPr>
          <w:trHeight w:val="270"/>
          <w:jc w:val="center"/>
        </w:trPr>
        <w:tc>
          <w:tcPr>
            <w:tcW w:w="0" w:type="auto"/>
            <w:vMerge/>
            <w:vAlign w:val="center"/>
            <w:hideMark/>
          </w:tcPr>
          <w:p w14:paraId="25A0FFFD" w14:textId="77777777" w:rsidR="00442114" w:rsidRPr="00D329EC" w:rsidRDefault="00442114" w:rsidP="00FC61BB">
            <w:pPr>
              <w:ind w:firstLineChars="200" w:firstLine="360"/>
              <w:rPr>
                <w:rFonts w:ascii="宋体" w:hAnsi="宋体"/>
                <w:szCs w:val="21"/>
              </w:rPr>
            </w:pPr>
          </w:p>
        </w:tc>
        <w:tc>
          <w:tcPr>
            <w:tcW w:w="2560" w:type="dxa"/>
            <w:shd w:val="clear" w:color="auto" w:fill="auto"/>
            <w:tcMar>
              <w:top w:w="15" w:type="dxa"/>
              <w:left w:w="15" w:type="dxa"/>
              <w:bottom w:w="0" w:type="dxa"/>
              <w:right w:w="15" w:type="dxa"/>
            </w:tcMar>
            <w:vAlign w:val="center"/>
            <w:hideMark/>
          </w:tcPr>
          <w:p w14:paraId="2C894DF3"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大数据量化（指数）</w:t>
            </w:r>
          </w:p>
        </w:tc>
        <w:tc>
          <w:tcPr>
            <w:tcW w:w="0" w:type="auto"/>
            <w:vMerge/>
            <w:tcMar>
              <w:top w:w="15" w:type="dxa"/>
              <w:left w:w="15" w:type="dxa"/>
              <w:bottom w:w="0" w:type="dxa"/>
              <w:right w:w="15" w:type="dxa"/>
            </w:tcMar>
            <w:vAlign w:val="center"/>
            <w:hideMark/>
          </w:tcPr>
          <w:p w14:paraId="2A80303B" w14:textId="77777777" w:rsidR="00442114" w:rsidRPr="00D329EC" w:rsidRDefault="00442114" w:rsidP="00FC61BB">
            <w:pPr>
              <w:ind w:firstLineChars="200" w:firstLine="360"/>
              <w:rPr>
                <w:rFonts w:ascii="宋体" w:hAnsi="宋体"/>
                <w:szCs w:val="21"/>
              </w:rPr>
            </w:pPr>
          </w:p>
        </w:tc>
        <w:tc>
          <w:tcPr>
            <w:tcW w:w="3060" w:type="dxa"/>
            <w:shd w:val="clear" w:color="auto" w:fill="F2F2F2"/>
            <w:tcMar>
              <w:top w:w="15" w:type="dxa"/>
              <w:left w:w="15" w:type="dxa"/>
              <w:bottom w:w="0" w:type="dxa"/>
              <w:right w:w="15" w:type="dxa"/>
            </w:tcMar>
            <w:vAlign w:val="center"/>
            <w:hideMark/>
          </w:tcPr>
          <w:p w14:paraId="12C70FD1"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亚洲QDII</w:t>
            </w:r>
          </w:p>
        </w:tc>
      </w:tr>
      <w:tr w:rsidR="00442114" w:rsidRPr="005843EE" w14:paraId="46128DDB" w14:textId="77777777" w:rsidTr="00442114">
        <w:trPr>
          <w:trHeight w:val="270"/>
          <w:jc w:val="center"/>
        </w:trPr>
        <w:tc>
          <w:tcPr>
            <w:tcW w:w="0" w:type="auto"/>
            <w:vMerge/>
            <w:vAlign w:val="center"/>
            <w:hideMark/>
          </w:tcPr>
          <w:p w14:paraId="6AE1FA4F" w14:textId="77777777" w:rsidR="00442114" w:rsidRPr="00D329EC" w:rsidRDefault="00442114" w:rsidP="00FC61BB">
            <w:pPr>
              <w:ind w:firstLineChars="200" w:firstLine="360"/>
              <w:rPr>
                <w:rFonts w:ascii="宋体" w:hAnsi="宋体"/>
                <w:szCs w:val="21"/>
              </w:rPr>
            </w:pPr>
          </w:p>
        </w:tc>
        <w:tc>
          <w:tcPr>
            <w:tcW w:w="2560" w:type="dxa"/>
            <w:shd w:val="clear" w:color="auto" w:fill="auto"/>
            <w:tcMar>
              <w:top w:w="15" w:type="dxa"/>
              <w:left w:w="15" w:type="dxa"/>
              <w:bottom w:w="0" w:type="dxa"/>
              <w:right w:w="15" w:type="dxa"/>
            </w:tcMar>
            <w:vAlign w:val="center"/>
            <w:hideMark/>
          </w:tcPr>
          <w:p w14:paraId="7A4C92B8"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一般被动（沪港深）</w:t>
            </w:r>
          </w:p>
        </w:tc>
        <w:tc>
          <w:tcPr>
            <w:tcW w:w="1560" w:type="dxa"/>
            <w:vMerge w:val="restart"/>
            <w:shd w:val="clear" w:color="auto" w:fill="auto"/>
            <w:tcMar>
              <w:top w:w="15" w:type="dxa"/>
              <w:left w:w="15" w:type="dxa"/>
              <w:bottom w:w="0" w:type="dxa"/>
              <w:right w:w="15" w:type="dxa"/>
            </w:tcMar>
            <w:vAlign w:val="center"/>
            <w:hideMark/>
          </w:tcPr>
          <w:p w14:paraId="66A59DF1" w14:textId="77777777" w:rsidR="00442114" w:rsidRPr="00D329EC" w:rsidRDefault="00442114" w:rsidP="00FC61BB">
            <w:pPr>
              <w:rPr>
                <w:rFonts w:ascii="宋体" w:hAnsi="宋体"/>
                <w:szCs w:val="21"/>
              </w:rPr>
            </w:pPr>
            <w:r w:rsidRPr="00D329EC">
              <w:rPr>
                <w:rFonts w:ascii="宋体" w:hAnsi="宋体" w:hint="eastAsia"/>
                <w:szCs w:val="21"/>
              </w:rPr>
              <w:t>另类投资基金</w:t>
            </w:r>
          </w:p>
        </w:tc>
        <w:tc>
          <w:tcPr>
            <w:tcW w:w="3060" w:type="dxa"/>
            <w:shd w:val="clear" w:color="auto" w:fill="auto"/>
            <w:tcMar>
              <w:top w:w="15" w:type="dxa"/>
              <w:left w:w="15" w:type="dxa"/>
              <w:bottom w:w="0" w:type="dxa"/>
              <w:right w:w="15" w:type="dxa"/>
            </w:tcMar>
            <w:vAlign w:val="center"/>
            <w:hideMark/>
          </w:tcPr>
          <w:p w14:paraId="7AA9258D"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类股权投资</w:t>
            </w:r>
          </w:p>
        </w:tc>
      </w:tr>
      <w:tr w:rsidR="00442114" w:rsidRPr="005843EE" w14:paraId="600F4D5C" w14:textId="77777777" w:rsidTr="00442114">
        <w:trPr>
          <w:trHeight w:val="270"/>
          <w:jc w:val="center"/>
        </w:trPr>
        <w:tc>
          <w:tcPr>
            <w:tcW w:w="0" w:type="auto"/>
            <w:vMerge/>
            <w:vAlign w:val="center"/>
            <w:hideMark/>
          </w:tcPr>
          <w:p w14:paraId="50D8D94F" w14:textId="77777777" w:rsidR="00442114" w:rsidRPr="00D329EC" w:rsidRDefault="00442114" w:rsidP="00FC61BB">
            <w:pPr>
              <w:ind w:firstLineChars="200" w:firstLine="360"/>
              <w:rPr>
                <w:rFonts w:ascii="宋体" w:hAnsi="宋体"/>
                <w:szCs w:val="21"/>
              </w:rPr>
            </w:pPr>
          </w:p>
        </w:tc>
        <w:tc>
          <w:tcPr>
            <w:tcW w:w="2560" w:type="dxa"/>
            <w:shd w:val="clear" w:color="auto" w:fill="auto"/>
            <w:tcMar>
              <w:top w:w="15" w:type="dxa"/>
              <w:left w:w="15" w:type="dxa"/>
              <w:bottom w:w="0" w:type="dxa"/>
              <w:right w:w="15" w:type="dxa"/>
            </w:tcMar>
            <w:vAlign w:val="center"/>
            <w:hideMark/>
          </w:tcPr>
          <w:p w14:paraId="2A1581DE"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指数增强</w:t>
            </w:r>
          </w:p>
        </w:tc>
        <w:tc>
          <w:tcPr>
            <w:tcW w:w="0" w:type="auto"/>
            <w:vMerge/>
            <w:tcMar>
              <w:top w:w="15" w:type="dxa"/>
              <w:left w:w="15" w:type="dxa"/>
              <w:bottom w:w="0" w:type="dxa"/>
              <w:right w:w="15" w:type="dxa"/>
            </w:tcMar>
            <w:vAlign w:val="center"/>
            <w:hideMark/>
          </w:tcPr>
          <w:p w14:paraId="1623F725"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7CCD0394"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REITS</w:t>
            </w:r>
          </w:p>
        </w:tc>
      </w:tr>
      <w:tr w:rsidR="00442114" w:rsidRPr="005843EE" w14:paraId="0E130B7E" w14:textId="77777777" w:rsidTr="00442114">
        <w:trPr>
          <w:trHeight w:val="270"/>
          <w:jc w:val="center"/>
        </w:trPr>
        <w:tc>
          <w:tcPr>
            <w:tcW w:w="1740" w:type="dxa"/>
            <w:vMerge w:val="restart"/>
            <w:shd w:val="clear" w:color="auto" w:fill="F2F2F2"/>
            <w:tcMar>
              <w:top w:w="15" w:type="dxa"/>
              <w:left w:w="15" w:type="dxa"/>
              <w:bottom w:w="0" w:type="dxa"/>
              <w:right w:w="15" w:type="dxa"/>
            </w:tcMar>
            <w:vAlign w:val="center"/>
            <w:hideMark/>
          </w:tcPr>
          <w:p w14:paraId="4617A15B"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绝对收益策略</w:t>
            </w:r>
          </w:p>
        </w:tc>
        <w:tc>
          <w:tcPr>
            <w:tcW w:w="2560" w:type="dxa"/>
            <w:shd w:val="clear" w:color="auto" w:fill="F2F2F2"/>
            <w:tcMar>
              <w:top w:w="15" w:type="dxa"/>
              <w:left w:w="15" w:type="dxa"/>
              <w:bottom w:w="0" w:type="dxa"/>
              <w:right w:w="15" w:type="dxa"/>
            </w:tcMar>
            <w:vAlign w:val="center"/>
            <w:hideMark/>
          </w:tcPr>
          <w:p w14:paraId="1395FF38"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中性对冲</w:t>
            </w:r>
          </w:p>
        </w:tc>
        <w:tc>
          <w:tcPr>
            <w:tcW w:w="0" w:type="auto"/>
            <w:vMerge/>
            <w:tcMar>
              <w:top w:w="15" w:type="dxa"/>
              <w:left w:w="15" w:type="dxa"/>
              <w:bottom w:w="0" w:type="dxa"/>
              <w:right w:w="15" w:type="dxa"/>
            </w:tcMar>
            <w:vAlign w:val="center"/>
            <w:hideMark/>
          </w:tcPr>
          <w:p w14:paraId="7C6CD50B"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7635EEB2"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海外REITS</w:t>
            </w:r>
          </w:p>
        </w:tc>
      </w:tr>
      <w:tr w:rsidR="00442114" w:rsidRPr="005843EE" w14:paraId="4D9470F5" w14:textId="77777777" w:rsidTr="00442114">
        <w:trPr>
          <w:trHeight w:val="270"/>
          <w:jc w:val="center"/>
        </w:trPr>
        <w:tc>
          <w:tcPr>
            <w:tcW w:w="0" w:type="auto"/>
            <w:vMerge/>
            <w:vAlign w:val="center"/>
            <w:hideMark/>
          </w:tcPr>
          <w:p w14:paraId="0BAC98C0"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776CA529"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打新基金</w:t>
            </w:r>
          </w:p>
        </w:tc>
        <w:tc>
          <w:tcPr>
            <w:tcW w:w="0" w:type="auto"/>
            <w:vMerge/>
            <w:tcMar>
              <w:top w:w="15" w:type="dxa"/>
              <w:left w:w="15" w:type="dxa"/>
              <w:bottom w:w="0" w:type="dxa"/>
              <w:right w:w="15" w:type="dxa"/>
            </w:tcMar>
            <w:vAlign w:val="center"/>
            <w:hideMark/>
          </w:tcPr>
          <w:p w14:paraId="1E090491"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5B00ED17"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定增基金</w:t>
            </w:r>
          </w:p>
        </w:tc>
      </w:tr>
      <w:tr w:rsidR="00442114" w:rsidRPr="005843EE" w14:paraId="0AC1649C" w14:textId="77777777" w:rsidTr="00442114">
        <w:trPr>
          <w:trHeight w:val="270"/>
          <w:jc w:val="center"/>
        </w:trPr>
        <w:tc>
          <w:tcPr>
            <w:tcW w:w="0" w:type="auto"/>
            <w:vMerge/>
            <w:vAlign w:val="center"/>
            <w:hideMark/>
          </w:tcPr>
          <w:p w14:paraId="52BE4C88" w14:textId="77777777" w:rsidR="00442114" w:rsidRPr="00D329EC" w:rsidRDefault="00442114" w:rsidP="00FC61BB">
            <w:pPr>
              <w:ind w:firstLineChars="200" w:firstLine="360"/>
              <w:rPr>
                <w:rFonts w:ascii="宋体" w:hAnsi="宋体"/>
                <w:szCs w:val="21"/>
              </w:rPr>
            </w:pPr>
          </w:p>
        </w:tc>
        <w:tc>
          <w:tcPr>
            <w:tcW w:w="2560" w:type="dxa"/>
            <w:shd w:val="clear" w:color="auto" w:fill="F2F2F2"/>
            <w:tcMar>
              <w:top w:w="15" w:type="dxa"/>
              <w:left w:w="15" w:type="dxa"/>
              <w:bottom w:w="0" w:type="dxa"/>
              <w:right w:w="15" w:type="dxa"/>
            </w:tcMar>
            <w:vAlign w:val="center"/>
            <w:hideMark/>
          </w:tcPr>
          <w:p w14:paraId="698ADBF7"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避险策略基金</w:t>
            </w:r>
          </w:p>
        </w:tc>
        <w:tc>
          <w:tcPr>
            <w:tcW w:w="0" w:type="auto"/>
            <w:vMerge/>
            <w:tcMar>
              <w:top w:w="15" w:type="dxa"/>
              <w:left w:w="15" w:type="dxa"/>
              <w:bottom w:w="0" w:type="dxa"/>
              <w:right w:w="15" w:type="dxa"/>
            </w:tcMar>
            <w:vAlign w:val="center"/>
            <w:hideMark/>
          </w:tcPr>
          <w:p w14:paraId="0F25756A"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2B161F74"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分级A</w:t>
            </w:r>
          </w:p>
        </w:tc>
      </w:tr>
      <w:tr w:rsidR="00442114" w:rsidRPr="005843EE" w14:paraId="68BCD84E" w14:textId="77777777" w:rsidTr="00442114">
        <w:trPr>
          <w:trHeight w:val="270"/>
          <w:jc w:val="center"/>
        </w:trPr>
        <w:tc>
          <w:tcPr>
            <w:tcW w:w="1740" w:type="dxa"/>
            <w:vMerge w:val="restart"/>
            <w:shd w:val="clear" w:color="auto" w:fill="auto"/>
            <w:tcMar>
              <w:top w:w="15" w:type="dxa"/>
              <w:left w:w="15" w:type="dxa"/>
              <w:bottom w:w="0" w:type="dxa"/>
              <w:right w:w="15" w:type="dxa"/>
            </w:tcMar>
            <w:vAlign w:val="center"/>
            <w:hideMark/>
          </w:tcPr>
          <w:p w14:paraId="383D6261"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货币类</w:t>
            </w:r>
          </w:p>
        </w:tc>
        <w:tc>
          <w:tcPr>
            <w:tcW w:w="2560" w:type="dxa"/>
            <w:shd w:val="clear" w:color="auto" w:fill="auto"/>
            <w:tcMar>
              <w:top w:w="15" w:type="dxa"/>
              <w:left w:w="15" w:type="dxa"/>
              <w:bottom w:w="0" w:type="dxa"/>
              <w:right w:w="15" w:type="dxa"/>
            </w:tcMar>
            <w:vAlign w:val="center"/>
            <w:hideMark/>
          </w:tcPr>
          <w:p w14:paraId="25F3F570"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货币市场型</w:t>
            </w:r>
          </w:p>
        </w:tc>
        <w:tc>
          <w:tcPr>
            <w:tcW w:w="0" w:type="auto"/>
            <w:vMerge/>
            <w:tcMar>
              <w:top w:w="15" w:type="dxa"/>
              <w:left w:w="15" w:type="dxa"/>
              <w:bottom w:w="0" w:type="dxa"/>
              <w:right w:w="15" w:type="dxa"/>
            </w:tcMar>
            <w:vAlign w:val="center"/>
            <w:hideMark/>
          </w:tcPr>
          <w:p w14:paraId="1B1B8722" w14:textId="77777777" w:rsidR="00442114" w:rsidRPr="00D329EC" w:rsidRDefault="00442114" w:rsidP="00FC61BB">
            <w:pPr>
              <w:ind w:firstLineChars="200" w:firstLine="360"/>
              <w:rPr>
                <w:rFonts w:ascii="宋体" w:hAnsi="宋体"/>
                <w:szCs w:val="21"/>
              </w:rPr>
            </w:pPr>
          </w:p>
        </w:tc>
        <w:tc>
          <w:tcPr>
            <w:tcW w:w="3060" w:type="dxa"/>
            <w:shd w:val="clear" w:color="auto" w:fill="auto"/>
            <w:tcMar>
              <w:top w:w="15" w:type="dxa"/>
              <w:left w:w="15" w:type="dxa"/>
              <w:bottom w:w="0" w:type="dxa"/>
              <w:right w:w="15" w:type="dxa"/>
            </w:tcMar>
            <w:vAlign w:val="center"/>
            <w:hideMark/>
          </w:tcPr>
          <w:p w14:paraId="0A1BD4BC"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商品型基金</w:t>
            </w:r>
          </w:p>
        </w:tc>
      </w:tr>
      <w:tr w:rsidR="00442114" w:rsidRPr="005843EE" w14:paraId="7F666F71" w14:textId="77777777" w:rsidTr="00442114">
        <w:trPr>
          <w:gridAfter w:val="2"/>
          <w:wAfter w:w="4620" w:type="dxa"/>
          <w:trHeight w:val="461"/>
          <w:jc w:val="center"/>
        </w:trPr>
        <w:tc>
          <w:tcPr>
            <w:tcW w:w="0" w:type="auto"/>
            <w:vMerge/>
            <w:vAlign w:val="center"/>
            <w:hideMark/>
          </w:tcPr>
          <w:p w14:paraId="2FC32864" w14:textId="77777777" w:rsidR="00442114" w:rsidRPr="00D329EC" w:rsidRDefault="00442114" w:rsidP="00FC61BB">
            <w:pPr>
              <w:ind w:firstLineChars="200" w:firstLine="360"/>
              <w:rPr>
                <w:rFonts w:ascii="宋体" w:hAnsi="宋体"/>
                <w:szCs w:val="21"/>
              </w:rPr>
            </w:pPr>
          </w:p>
        </w:tc>
        <w:tc>
          <w:tcPr>
            <w:tcW w:w="2560" w:type="dxa"/>
            <w:shd w:val="clear" w:color="auto" w:fill="auto"/>
            <w:tcMar>
              <w:top w:w="15" w:type="dxa"/>
              <w:left w:w="15" w:type="dxa"/>
              <w:bottom w:w="0" w:type="dxa"/>
              <w:right w:w="15" w:type="dxa"/>
            </w:tcMar>
            <w:vAlign w:val="center"/>
            <w:hideMark/>
          </w:tcPr>
          <w:p w14:paraId="6CF14810" w14:textId="77777777" w:rsidR="00442114" w:rsidRPr="00D329EC" w:rsidRDefault="00442114" w:rsidP="00FC61BB">
            <w:pPr>
              <w:ind w:firstLineChars="200" w:firstLine="360"/>
              <w:rPr>
                <w:rFonts w:ascii="宋体" w:hAnsi="宋体"/>
                <w:szCs w:val="21"/>
              </w:rPr>
            </w:pPr>
            <w:r w:rsidRPr="00D329EC">
              <w:rPr>
                <w:rFonts w:ascii="宋体" w:hAnsi="宋体" w:hint="eastAsia"/>
                <w:szCs w:val="21"/>
              </w:rPr>
              <w:t>短期理财类</w:t>
            </w:r>
          </w:p>
        </w:tc>
      </w:tr>
    </w:tbl>
    <w:p w14:paraId="5CF91E91" w14:textId="77777777" w:rsidR="00DF0B24" w:rsidRDefault="00CE1FFB" w:rsidP="00DF0B24">
      <w:pPr>
        <w:pStyle w:val="a1"/>
        <w:numPr>
          <w:ilvl w:val="1"/>
          <w:numId w:val="2"/>
        </w:numPr>
        <w:spacing w:before="156" w:after="156" w:line="240" w:lineRule="auto"/>
        <w:outlineLvl w:val="4"/>
        <w:rPr>
          <w:rFonts w:asciiTheme="minorEastAsia" w:eastAsiaTheme="minorEastAsia" w:hAnsiTheme="minorEastAsia"/>
          <w:sz w:val="21"/>
          <w:szCs w:val="21"/>
        </w:rPr>
      </w:pPr>
      <w:r>
        <w:rPr>
          <w:rFonts w:asciiTheme="minorEastAsia" w:eastAsiaTheme="minorEastAsia" w:hAnsiTheme="minorEastAsia" w:hint="eastAsia"/>
          <w:sz w:val="21"/>
          <w:szCs w:val="21"/>
        </w:rPr>
        <w:t>主动管理</w:t>
      </w:r>
      <w:r w:rsidR="00DF0B24">
        <w:rPr>
          <w:rFonts w:asciiTheme="minorEastAsia" w:eastAsiaTheme="minorEastAsia" w:hAnsiTheme="minorEastAsia" w:hint="eastAsia"/>
          <w:sz w:val="21"/>
          <w:szCs w:val="21"/>
        </w:rPr>
        <w:t>权益类公募</w:t>
      </w:r>
      <w:r w:rsidR="00DF0B24">
        <w:rPr>
          <w:rFonts w:asciiTheme="minorEastAsia" w:eastAsiaTheme="minorEastAsia" w:hAnsiTheme="minorEastAsia"/>
          <w:sz w:val="21"/>
          <w:szCs w:val="21"/>
        </w:rPr>
        <w:t>基金</w:t>
      </w:r>
      <w:r w:rsidR="00DF0B24">
        <w:rPr>
          <w:rFonts w:asciiTheme="minorEastAsia" w:eastAsiaTheme="minorEastAsia" w:hAnsiTheme="minorEastAsia" w:hint="eastAsia"/>
          <w:sz w:val="21"/>
          <w:szCs w:val="21"/>
        </w:rPr>
        <w:t>分析</w:t>
      </w:r>
      <w:r w:rsidR="00DF0B24">
        <w:rPr>
          <w:rFonts w:asciiTheme="minorEastAsia" w:eastAsiaTheme="minorEastAsia" w:hAnsiTheme="minorEastAsia"/>
          <w:sz w:val="21"/>
          <w:szCs w:val="21"/>
        </w:rPr>
        <w:t>体系</w:t>
      </w:r>
    </w:p>
    <w:p w14:paraId="5C1698B6" w14:textId="77777777" w:rsidR="00DF0B24" w:rsidRPr="00DF0B24" w:rsidRDefault="00CE1FFB" w:rsidP="00DF0B24">
      <w:pPr>
        <w:pStyle w:val="a6"/>
        <w:ind w:leftChars="351" w:left="632"/>
        <w:rPr>
          <w:rFonts w:asciiTheme="minorEastAsia" w:eastAsiaTheme="minorEastAsia" w:hAnsiTheme="minorEastAsia"/>
          <w:sz w:val="21"/>
          <w:szCs w:val="21"/>
        </w:rPr>
      </w:pPr>
      <w:r>
        <w:rPr>
          <w:rFonts w:asciiTheme="minorEastAsia" w:eastAsiaTheme="minorEastAsia" w:hAnsiTheme="minorEastAsia" w:hint="eastAsia"/>
          <w:sz w:val="21"/>
          <w:szCs w:val="21"/>
        </w:rPr>
        <w:t>对于主动管理权益类产品，</w:t>
      </w:r>
      <w:r w:rsidR="00DF0B24" w:rsidRPr="00DF0B24">
        <w:rPr>
          <w:rFonts w:asciiTheme="minorEastAsia" w:eastAsiaTheme="minorEastAsia" w:hAnsiTheme="minorEastAsia" w:hint="eastAsia"/>
          <w:sz w:val="21"/>
          <w:szCs w:val="21"/>
        </w:rPr>
        <w:t>华宝</w:t>
      </w:r>
      <w:r w:rsidR="00DF0B24" w:rsidRPr="00DF0B24">
        <w:rPr>
          <w:rFonts w:asciiTheme="minorEastAsia" w:eastAsiaTheme="minorEastAsia" w:hAnsiTheme="minorEastAsia"/>
          <w:sz w:val="21"/>
          <w:szCs w:val="21"/>
        </w:rPr>
        <w:t>证券</w:t>
      </w:r>
      <w:r w:rsidR="00DF0B24" w:rsidRPr="00DF0B24">
        <w:rPr>
          <w:rFonts w:asciiTheme="minorEastAsia" w:eastAsiaTheme="minorEastAsia" w:hAnsiTheme="minorEastAsia" w:hint="eastAsia"/>
          <w:sz w:val="21"/>
          <w:szCs w:val="21"/>
        </w:rPr>
        <w:t>建立了</w:t>
      </w:r>
      <w:r w:rsidR="00DF0B24" w:rsidRPr="00DF0B24">
        <w:rPr>
          <w:rFonts w:asciiTheme="minorEastAsia" w:eastAsiaTheme="minorEastAsia" w:hAnsiTheme="minorEastAsia"/>
          <w:sz w:val="21"/>
          <w:szCs w:val="21"/>
        </w:rPr>
        <w:t>权益类基金的分析体系，</w:t>
      </w:r>
      <w:r w:rsidR="00DF0B24" w:rsidRPr="00DF0B24">
        <w:rPr>
          <w:rFonts w:asciiTheme="minorEastAsia" w:eastAsiaTheme="minorEastAsia" w:hAnsiTheme="minorEastAsia" w:hint="eastAsia"/>
          <w:sz w:val="21"/>
          <w:szCs w:val="21"/>
        </w:rPr>
        <w:t>包括</w:t>
      </w:r>
      <w:r w:rsidR="00DF0B24" w:rsidRPr="00DF0B24">
        <w:rPr>
          <w:rFonts w:asciiTheme="minorEastAsia" w:eastAsiaTheme="minorEastAsia" w:hAnsiTheme="minorEastAsia"/>
          <w:b/>
          <w:i/>
          <w:sz w:val="21"/>
          <w:szCs w:val="21"/>
          <w:u w:val="single"/>
        </w:rPr>
        <w:t>定性和定量两个维度</w:t>
      </w:r>
      <w:r w:rsidR="00DF0B24" w:rsidRPr="00DF0B24">
        <w:rPr>
          <w:rFonts w:asciiTheme="minorEastAsia" w:eastAsiaTheme="minorEastAsia" w:hAnsiTheme="minorEastAsia"/>
          <w:sz w:val="21"/>
          <w:szCs w:val="21"/>
        </w:rPr>
        <w:t>。</w:t>
      </w:r>
      <w:r w:rsidR="00DF0B24" w:rsidRPr="00DF0B24">
        <w:rPr>
          <w:rFonts w:asciiTheme="minorEastAsia" w:eastAsiaTheme="minorEastAsia" w:hAnsiTheme="minorEastAsia" w:hint="eastAsia"/>
          <w:sz w:val="21"/>
          <w:szCs w:val="21"/>
        </w:rPr>
        <w:t>在</w:t>
      </w:r>
      <w:r w:rsidR="00DF0B24" w:rsidRPr="00DF0B24">
        <w:rPr>
          <w:rFonts w:asciiTheme="minorEastAsia" w:eastAsiaTheme="minorEastAsia" w:hAnsiTheme="minorEastAsia" w:hint="eastAsia"/>
          <w:b/>
          <w:sz w:val="21"/>
          <w:szCs w:val="21"/>
        </w:rPr>
        <w:t>定量</w:t>
      </w:r>
      <w:r w:rsidR="00DF0B24" w:rsidRPr="00DF0B24">
        <w:rPr>
          <w:rFonts w:asciiTheme="minorEastAsia" w:eastAsiaTheme="minorEastAsia" w:hAnsiTheme="minorEastAsia"/>
          <w:b/>
          <w:sz w:val="21"/>
          <w:szCs w:val="21"/>
        </w:rPr>
        <w:t>分析</w:t>
      </w:r>
      <w:r w:rsidR="00DF0B24" w:rsidRPr="00DF0B24">
        <w:rPr>
          <w:rFonts w:asciiTheme="minorEastAsia" w:eastAsiaTheme="minorEastAsia" w:hAnsiTheme="minorEastAsia"/>
          <w:sz w:val="21"/>
          <w:szCs w:val="21"/>
        </w:rPr>
        <w:t>维度上看，</w:t>
      </w:r>
      <w:r w:rsidR="00DF0B24" w:rsidRPr="00DF0B24">
        <w:rPr>
          <w:rFonts w:asciiTheme="minorEastAsia" w:eastAsiaTheme="minorEastAsia" w:hAnsiTheme="minorEastAsia" w:hint="eastAsia"/>
          <w:sz w:val="21"/>
          <w:szCs w:val="21"/>
        </w:rPr>
        <w:t>一方面</w:t>
      </w:r>
      <w:r w:rsidR="00DF0B24" w:rsidRPr="00DF0B24">
        <w:rPr>
          <w:rFonts w:asciiTheme="minorEastAsia" w:eastAsiaTheme="minorEastAsia" w:hAnsiTheme="minorEastAsia"/>
          <w:sz w:val="21"/>
          <w:szCs w:val="21"/>
        </w:rPr>
        <w:t>，基于投资经理</w:t>
      </w:r>
      <w:r w:rsidR="00DF0B24" w:rsidRPr="00DF0B24">
        <w:rPr>
          <w:rFonts w:asciiTheme="minorEastAsia" w:eastAsiaTheme="minorEastAsia" w:hAnsiTheme="minorEastAsia" w:hint="eastAsia"/>
          <w:sz w:val="21"/>
          <w:szCs w:val="21"/>
        </w:rPr>
        <w:t>管理</w:t>
      </w:r>
      <w:r w:rsidR="00DF0B24" w:rsidRPr="00DF0B24">
        <w:rPr>
          <w:rFonts w:asciiTheme="minorEastAsia" w:eastAsiaTheme="minorEastAsia" w:hAnsiTheme="minorEastAsia"/>
          <w:sz w:val="21"/>
          <w:szCs w:val="21"/>
        </w:rPr>
        <w:t>的</w:t>
      </w:r>
      <w:r w:rsidR="00DF0B24" w:rsidRPr="00DF0B24">
        <w:rPr>
          <w:rFonts w:asciiTheme="minorEastAsia" w:eastAsiaTheme="minorEastAsia" w:hAnsiTheme="minorEastAsia" w:hint="eastAsia"/>
          <w:sz w:val="21"/>
          <w:szCs w:val="21"/>
        </w:rPr>
        <w:t>基金</w:t>
      </w:r>
      <w:r w:rsidR="00DF0B24" w:rsidRPr="00DF0B24">
        <w:rPr>
          <w:rFonts w:asciiTheme="minorEastAsia" w:eastAsiaTheme="minorEastAsia" w:hAnsiTheme="minorEastAsia"/>
          <w:sz w:val="21"/>
          <w:szCs w:val="21"/>
        </w:rPr>
        <w:t>产品的所有业绩，</w:t>
      </w:r>
      <w:r w:rsidR="00DF0B24" w:rsidRPr="00DF0B24">
        <w:rPr>
          <w:rFonts w:asciiTheme="minorEastAsia" w:eastAsiaTheme="minorEastAsia" w:hAnsiTheme="minorEastAsia" w:hint="eastAsia"/>
          <w:sz w:val="21"/>
          <w:szCs w:val="21"/>
        </w:rPr>
        <w:t>从</w:t>
      </w:r>
      <w:r w:rsidR="00DF0B24" w:rsidRPr="00DF0B24">
        <w:rPr>
          <w:rFonts w:asciiTheme="minorEastAsia" w:eastAsiaTheme="minorEastAsia" w:hAnsiTheme="minorEastAsia"/>
          <w:sz w:val="21"/>
          <w:szCs w:val="21"/>
        </w:rPr>
        <w:t>收益及风险控制能力进行综合评估，</w:t>
      </w:r>
      <w:r w:rsidR="00DF0B24" w:rsidRPr="00DF0B24">
        <w:rPr>
          <w:rFonts w:asciiTheme="minorEastAsia" w:eastAsiaTheme="minorEastAsia" w:hAnsiTheme="minorEastAsia" w:hint="eastAsia"/>
          <w:sz w:val="21"/>
          <w:szCs w:val="21"/>
        </w:rPr>
        <w:t>选择</w:t>
      </w:r>
      <w:r w:rsidR="00DF0B24" w:rsidRPr="00DF0B24">
        <w:rPr>
          <w:rFonts w:asciiTheme="minorEastAsia" w:eastAsiaTheme="minorEastAsia" w:hAnsiTheme="minorEastAsia"/>
          <w:sz w:val="21"/>
          <w:szCs w:val="21"/>
        </w:rPr>
        <w:t>包括</w:t>
      </w:r>
      <w:r w:rsidR="00DF0B24" w:rsidRPr="00DF0B24">
        <w:rPr>
          <w:rFonts w:asciiTheme="minorEastAsia" w:eastAsiaTheme="minorEastAsia" w:hAnsiTheme="minorEastAsia" w:hint="eastAsia"/>
          <w:sz w:val="21"/>
          <w:szCs w:val="21"/>
        </w:rPr>
        <w:t>国际</w:t>
      </w:r>
      <w:r w:rsidR="00DF0B24" w:rsidRPr="00DF0B24">
        <w:rPr>
          <w:rFonts w:asciiTheme="minorEastAsia" w:eastAsiaTheme="minorEastAsia" w:hAnsiTheme="minorEastAsia"/>
          <w:sz w:val="21"/>
          <w:szCs w:val="21"/>
        </w:rPr>
        <w:t>通用的指标</w:t>
      </w:r>
      <w:r w:rsidR="00DF0B24" w:rsidRPr="00DF0B24">
        <w:rPr>
          <w:rFonts w:asciiTheme="minorEastAsia" w:eastAsiaTheme="minorEastAsia" w:hAnsiTheme="minorEastAsia" w:hint="eastAsia"/>
          <w:sz w:val="21"/>
          <w:szCs w:val="21"/>
        </w:rPr>
        <w:t>，</w:t>
      </w:r>
      <w:r w:rsidR="00DF0B24" w:rsidRPr="00DF0B24">
        <w:rPr>
          <w:rFonts w:asciiTheme="minorEastAsia" w:eastAsiaTheme="minorEastAsia" w:hAnsiTheme="minorEastAsia"/>
          <w:sz w:val="21"/>
          <w:szCs w:val="21"/>
        </w:rPr>
        <w:t>并结合中国特定的市场化特征增加对于持续性的考察，另一方面，</w:t>
      </w:r>
      <w:r w:rsidR="00DF0B24" w:rsidRPr="00DF0B24">
        <w:rPr>
          <w:rFonts w:asciiTheme="minorEastAsia" w:eastAsiaTheme="minorEastAsia" w:hAnsiTheme="minorEastAsia" w:hint="eastAsia"/>
          <w:sz w:val="21"/>
          <w:szCs w:val="21"/>
        </w:rPr>
        <w:t>构建</w:t>
      </w:r>
      <w:r w:rsidR="00DF0B24" w:rsidRPr="00DF0B24">
        <w:rPr>
          <w:rFonts w:asciiTheme="minorEastAsia" w:eastAsiaTheme="minorEastAsia" w:hAnsiTheme="minorEastAsia" w:hint="eastAsia"/>
          <w:b/>
          <w:sz w:val="21"/>
          <w:szCs w:val="21"/>
        </w:rPr>
        <w:t>归因</w:t>
      </w:r>
      <w:r w:rsidR="00DF0B24" w:rsidRPr="00DF0B24">
        <w:rPr>
          <w:rFonts w:asciiTheme="minorEastAsia" w:eastAsiaTheme="minorEastAsia" w:hAnsiTheme="minorEastAsia"/>
          <w:b/>
          <w:sz w:val="21"/>
          <w:szCs w:val="21"/>
        </w:rPr>
        <w:t>体系和策略适应性体系</w:t>
      </w:r>
      <w:r w:rsidR="00DF0B24" w:rsidRPr="00DF0B24">
        <w:rPr>
          <w:rFonts w:asciiTheme="minorEastAsia" w:eastAsiaTheme="minorEastAsia" w:hAnsiTheme="minorEastAsia"/>
          <w:sz w:val="21"/>
          <w:szCs w:val="21"/>
        </w:rPr>
        <w:t>，对于基金经理收益创造的原因进行</w:t>
      </w:r>
      <w:r w:rsidR="00DF0B24" w:rsidRPr="00DF0B24">
        <w:rPr>
          <w:rFonts w:asciiTheme="minorEastAsia" w:eastAsiaTheme="minorEastAsia" w:hAnsiTheme="minorEastAsia" w:hint="eastAsia"/>
          <w:sz w:val="21"/>
          <w:szCs w:val="21"/>
        </w:rPr>
        <w:t>归因</w:t>
      </w:r>
      <w:r w:rsidR="00DF0B24" w:rsidRPr="00DF0B24">
        <w:rPr>
          <w:rFonts w:asciiTheme="minorEastAsia" w:eastAsiaTheme="minorEastAsia" w:hAnsiTheme="minorEastAsia"/>
          <w:sz w:val="21"/>
          <w:szCs w:val="21"/>
        </w:rPr>
        <w:t>分析。</w:t>
      </w:r>
      <w:r w:rsidR="00DF0B24" w:rsidRPr="00DF0B24">
        <w:rPr>
          <w:rFonts w:asciiTheme="minorEastAsia" w:eastAsiaTheme="minorEastAsia" w:hAnsiTheme="minorEastAsia" w:hint="eastAsia"/>
          <w:sz w:val="21"/>
          <w:szCs w:val="21"/>
        </w:rPr>
        <w:t>我们通过</w:t>
      </w:r>
      <w:r w:rsidR="00DF0B24" w:rsidRPr="00DF0B24">
        <w:rPr>
          <w:rFonts w:asciiTheme="minorEastAsia" w:eastAsiaTheme="minorEastAsia" w:hAnsiTheme="minorEastAsia"/>
          <w:sz w:val="21"/>
          <w:szCs w:val="21"/>
        </w:rPr>
        <w:t>程序化的方式，对基金经理和基金产品</w:t>
      </w:r>
      <w:r w:rsidR="00DF0B24" w:rsidRPr="00DF0B24">
        <w:rPr>
          <w:rFonts w:asciiTheme="minorEastAsia" w:eastAsiaTheme="minorEastAsia" w:hAnsiTheme="minorEastAsia" w:hint="eastAsia"/>
          <w:sz w:val="21"/>
          <w:szCs w:val="21"/>
        </w:rPr>
        <w:t>进行</w:t>
      </w:r>
      <w:r w:rsidR="00DF0B24" w:rsidRPr="00DF0B24">
        <w:rPr>
          <w:rFonts w:asciiTheme="minorEastAsia" w:eastAsiaTheme="minorEastAsia" w:hAnsiTheme="minorEastAsia"/>
          <w:sz w:val="21"/>
          <w:szCs w:val="21"/>
        </w:rPr>
        <w:t>更为细致的再标签化处理。</w:t>
      </w:r>
    </w:p>
    <w:p w14:paraId="69ED5781" w14:textId="77777777" w:rsidR="00DF0B24" w:rsidRDefault="00DF0B24" w:rsidP="00DF0B24">
      <w:pPr>
        <w:rPr>
          <w:rFonts w:asciiTheme="minorEastAsia" w:eastAsiaTheme="minorEastAsia" w:hAnsiTheme="minorEastAsia"/>
          <w:sz w:val="21"/>
          <w:szCs w:val="21"/>
        </w:rPr>
      </w:pPr>
      <w:bookmarkStart w:id="0" w:name="_Toc495065219"/>
      <w:bookmarkStart w:id="1" w:name="_Toc495065655"/>
      <w:bookmarkStart w:id="2" w:name="_Toc495135738"/>
      <w:r>
        <w:rPr>
          <w:noProof/>
        </w:rPr>
        <w:drawing>
          <wp:inline distT="0" distB="0" distL="0" distR="0" wp14:anchorId="618E7649" wp14:editId="315CC67B">
            <wp:extent cx="5284150" cy="2523744"/>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8052" cy="2539936"/>
                    </a:xfrm>
                    <a:prstGeom prst="rect">
                      <a:avLst/>
                    </a:prstGeom>
                  </pic:spPr>
                </pic:pic>
              </a:graphicData>
            </a:graphic>
          </wp:inline>
        </w:drawing>
      </w:r>
    </w:p>
    <w:p w14:paraId="5142E473" w14:textId="77777777" w:rsidR="00DF0B24" w:rsidRPr="00350130" w:rsidRDefault="00DF0B24" w:rsidP="00DF0B24">
      <w:pPr>
        <w:rPr>
          <w:rFonts w:asciiTheme="minorEastAsia" w:eastAsiaTheme="minorEastAsia" w:hAnsiTheme="minorEastAsia"/>
          <w:sz w:val="21"/>
          <w:szCs w:val="21"/>
        </w:rPr>
      </w:pPr>
    </w:p>
    <w:p w14:paraId="0E4301E6" w14:textId="77777777" w:rsidR="00DF0B24" w:rsidRDefault="00DF0B24" w:rsidP="00DF0B24">
      <w:pPr>
        <w:ind w:firstLineChars="200" w:firstLine="422"/>
        <w:rPr>
          <w:rFonts w:asciiTheme="minorEastAsia" w:eastAsiaTheme="minorEastAsia" w:hAnsiTheme="minorEastAsia"/>
          <w:sz w:val="21"/>
          <w:szCs w:val="21"/>
        </w:rPr>
      </w:pPr>
      <w:r>
        <w:rPr>
          <w:rFonts w:asciiTheme="minorEastAsia" w:eastAsiaTheme="minorEastAsia" w:hAnsiTheme="minorEastAsia" w:hint="eastAsia"/>
          <w:b/>
          <w:sz w:val="21"/>
          <w:szCs w:val="21"/>
        </w:rPr>
        <w:t>其中，归因</w:t>
      </w:r>
      <w:r>
        <w:rPr>
          <w:rFonts w:asciiTheme="minorEastAsia" w:eastAsiaTheme="minorEastAsia" w:hAnsiTheme="minorEastAsia"/>
          <w:b/>
          <w:sz w:val="21"/>
          <w:szCs w:val="21"/>
        </w:rPr>
        <w:t>分析</w:t>
      </w:r>
      <w:r>
        <w:rPr>
          <w:rFonts w:asciiTheme="minorEastAsia" w:eastAsiaTheme="minorEastAsia" w:hAnsiTheme="minorEastAsia" w:hint="eastAsia"/>
          <w:b/>
          <w:sz w:val="21"/>
          <w:szCs w:val="21"/>
        </w:rPr>
        <w:t>体系分为</w:t>
      </w:r>
      <w:r>
        <w:rPr>
          <w:rFonts w:asciiTheme="minorEastAsia" w:eastAsiaTheme="minorEastAsia" w:hAnsiTheme="minorEastAsia"/>
          <w:b/>
          <w:sz w:val="21"/>
          <w:szCs w:val="21"/>
        </w:rPr>
        <w:t>能力归因和风格归因，</w:t>
      </w:r>
      <w:r w:rsidRPr="003D2D5B">
        <w:rPr>
          <w:rFonts w:asciiTheme="minorEastAsia" w:eastAsiaTheme="minorEastAsia" w:hAnsiTheme="minorEastAsia"/>
          <w:sz w:val="21"/>
          <w:szCs w:val="21"/>
        </w:rPr>
        <w:t>前者</w:t>
      </w:r>
      <w:r w:rsidRPr="0023627D">
        <w:rPr>
          <w:rFonts w:asciiTheme="minorEastAsia" w:eastAsiaTheme="minorEastAsia" w:hAnsiTheme="minorEastAsia"/>
          <w:sz w:val="21"/>
          <w:szCs w:val="21"/>
        </w:rPr>
        <w:t>通过对基金持仓的分析，</w:t>
      </w:r>
      <w:r>
        <w:rPr>
          <w:rFonts w:asciiTheme="minorEastAsia" w:eastAsiaTheme="minorEastAsia" w:hAnsiTheme="minorEastAsia"/>
          <w:sz w:val="21"/>
          <w:szCs w:val="21"/>
        </w:rPr>
        <w:t>将投资经理的管理能力标签化，从宏观择时能力、行业选择</w:t>
      </w:r>
      <w:r>
        <w:rPr>
          <w:rFonts w:asciiTheme="minorEastAsia" w:eastAsiaTheme="minorEastAsia" w:hAnsiTheme="minorEastAsia" w:hint="eastAsia"/>
          <w:sz w:val="21"/>
          <w:szCs w:val="21"/>
        </w:rPr>
        <w:t>、</w:t>
      </w:r>
      <w:r>
        <w:rPr>
          <w:rFonts w:asciiTheme="minorEastAsia" w:eastAsiaTheme="minorEastAsia" w:hAnsiTheme="minorEastAsia"/>
          <w:sz w:val="21"/>
          <w:szCs w:val="21"/>
        </w:rPr>
        <w:t>个股策略</w:t>
      </w:r>
      <w:r w:rsidRPr="0023627D">
        <w:rPr>
          <w:rFonts w:asciiTheme="minorEastAsia" w:eastAsiaTheme="minorEastAsia" w:hAnsiTheme="minorEastAsia"/>
          <w:sz w:val="21"/>
          <w:szCs w:val="21"/>
        </w:rPr>
        <w:t>分别考量，并根据以上标签建立投资经理的分级评级。</w:t>
      </w:r>
      <w:bookmarkStart w:id="3" w:name="_Toc494888615"/>
    </w:p>
    <w:p w14:paraId="3BAC7A2B" w14:textId="77777777" w:rsidR="00DF0B24" w:rsidRDefault="00DF0B24" w:rsidP="00DF0B24">
      <w:pPr>
        <w:ind w:firstLineChars="200" w:firstLine="420"/>
        <w:rPr>
          <w:rFonts w:asciiTheme="minorEastAsia" w:eastAsiaTheme="minorEastAsia" w:hAnsiTheme="minorEastAsia"/>
          <w:sz w:val="21"/>
          <w:szCs w:val="21"/>
        </w:rPr>
      </w:pPr>
      <w:r>
        <w:rPr>
          <w:rFonts w:asciiTheme="minorEastAsia" w:eastAsiaTheme="minorEastAsia" w:hAnsiTheme="minorEastAsia" w:hint="eastAsia"/>
          <w:sz w:val="21"/>
          <w:szCs w:val="21"/>
        </w:rPr>
        <w:t>而</w:t>
      </w:r>
      <w:r>
        <w:rPr>
          <w:rFonts w:asciiTheme="minorEastAsia" w:eastAsiaTheme="minorEastAsia" w:hAnsiTheme="minorEastAsia"/>
          <w:sz w:val="21"/>
          <w:szCs w:val="21"/>
        </w:rPr>
        <w:t>在风格归因维度，</w:t>
      </w:r>
      <w:r w:rsidRPr="00676519">
        <w:rPr>
          <w:rFonts w:asciiTheme="minorEastAsia" w:eastAsiaTheme="minorEastAsia" w:hAnsiTheme="minorEastAsia" w:hint="eastAsia"/>
          <w:sz w:val="21"/>
          <w:szCs w:val="21"/>
        </w:rPr>
        <w:t>我们采用</w:t>
      </w:r>
      <w:r>
        <w:rPr>
          <w:rFonts w:asciiTheme="minorEastAsia" w:eastAsiaTheme="minorEastAsia" w:hAnsiTheme="minorEastAsia" w:hint="eastAsia"/>
          <w:sz w:val="21"/>
          <w:szCs w:val="21"/>
        </w:rPr>
        <w:t>基于S</w:t>
      </w:r>
      <w:r>
        <w:rPr>
          <w:rFonts w:asciiTheme="minorEastAsia" w:eastAsiaTheme="minorEastAsia" w:hAnsiTheme="minorEastAsia"/>
          <w:sz w:val="21"/>
          <w:szCs w:val="21"/>
        </w:rPr>
        <w:t>harpe模型的</w:t>
      </w:r>
      <w:r w:rsidRPr="00676519">
        <w:rPr>
          <w:rFonts w:asciiTheme="minorEastAsia" w:eastAsiaTheme="minorEastAsia" w:hAnsiTheme="minorEastAsia" w:hint="eastAsia"/>
          <w:sz w:val="21"/>
          <w:szCs w:val="21"/>
        </w:rPr>
        <w:t>净值回归+</w:t>
      </w:r>
      <w:r>
        <w:rPr>
          <w:rFonts w:asciiTheme="minorEastAsia" w:eastAsiaTheme="minorEastAsia" w:hAnsiTheme="minorEastAsia" w:hint="eastAsia"/>
          <w:sz w:val="21"/>
          <w:szCs w:val="21"/>
        </w:rPr>
        <w:t>基于BARRA模型</w:t>
      </w:r>
      <w:r>
        <w:rPr>
          <w:rFonts w:asciiTheme="minorEastAsia" w:eastAsiaTheme="minorEastAsia" w:hAnsiTheme="minorEastAsia"/>
          <w:sz w:val="21"/>
          <w:szCs w:val="21"/>
        </w:rPr>
        <w:t>的</w:t>
      </w:r>
      <w:r>
        <w:rPr>
          <w:rFonts w:asciiTheme="minorEastAsia" w:eastAsiaTheme="minorEastAsia" w:hAnsiTheme="minorEastAsia" w:hint="eastAsia"/>
          <w:sz w:val="21"/>
          <w:szCs w:val="21"/>
        </w:rPr>
        <w:t>持仓归因交叉验证的方法确定基金的风格，将</w:t>
      </w:r>
      <w:r>
        <w:rPr>
          <w:rFonts w:asciiTheme="minorEastAsia" w:eastAsiaTheme="minorEastAsia" w:hAnsiTheme="minorEastAsia"/>
          <w:sz w:val="21"/>
          <w:szCs w:val="21"/>
        </w:rPr>
        <w:t>基金产品和基金经理划归为成长风格、价值风格、均衡风格和</w:t>
      </w:r>
      <w:r>
        <w:rPr>
          <w:rFonts w:asciiTheme="minorEastAsia" w:eastAsiaTheme="minorEastAsia" w:hAnsiTheme="minorEastAsia" w:hint="eastAsia"/>
          <w:sz w:val="21"/>
          <w:szCs w:val="21"/>
        </w:rPr>
        <w:t>飘移</w:t>
      </w:r>
      <w:r w:rsidRPr="00F92003">
        <w:rPr>
          <w:rFonts w:asciiTheme="minorEastAsia" w:eastAsiaTheme="minorEastAsia" w:hAnsiTheme="minorEastAsia"/>
          <w:sz w:val="21"/>
          <w:szCs w:val="21"/>
        </w:rPr>
        <w:t>型风格基金</w:t>
      </w:r>
      <w:r>
        <w:rPr>
          <w:rFonts w:asciiTheme="minorEastAsia" w:eastAsiaTheme="minorEastAsia" w:hAnsiTheme="minorEastAsia" w:hint="eastAsia"/>
          <w:sz w:val="21"/>
          <w:szCs w:val="21"/>
        </w:rPr>
        <w:t>；</w:t>
      </w:r>
      <w:r>
        <w:rPr>
          <w:rFonts w:asciiTheme="minorEastAsia" w:eastAsiaTheme="minorEastAsia" w:hAnsiTheme="minorEastAsia"/>
          <w:sz w:val="21"/>
          <w:szCs w:val="21"/>
        </w:rPr>
        <w:t>大盘、小盘、</w:t>
      </w:r>
      <w:r>
        <w:rPr>
          <w:rFonts w:asciiTheme="minorEastAsia" w:eastAsiaTheme="minorEastAsia" w:hAnsiTheme="minorEastAsia" w:hint="eastAsia"/>
          <w:sz w:val="21"/>
          <w:szCs w:val="21"/>
        </w:rPr>
        <w:t>均衡</w:t>
      </w:r>
      <w:r>
        <w:rPr>
          <w:rFonts w:asciiTheme="minorEastAsia" w:eastAsiaTheme="minorEastAsia" w:hAnsiTheme="minorEastAsia"/>
          <w:sz w:val="21"/>
          <w:szCs w:val="21"/>
        </w:rPr>
        <w:t>和飘移风格基金</w:t>
      </w:r>
      <w:r w:rsidRPr="00F92003">
        <w:rPr>
          <w:rFonts w:asciiTheme="minorEastAsia" w:eastAsiaTheme="minorEastAsia" w:hAnsiTheme="minorEastAsia"/>
          <w:sz w:val="21"/>
          <w:szCs w:val="21"/>
        </w:rPr>
        <w:t>。其中均衡风格和</w:t>
      </w:r>
      <w:r>
        <w:rPr>
          <w:rFonts w:asciiTheme="minorEastAsia" w:eastAsiaTheme="minorEastAsia" w:hAnsiTheme="minorEastAsia" w:hint="eastAsia"/>
          <w:sz w:val="21"/>
          <w:szCs w:val="21"/>
        </w:rPr>
        <w:t>飘移</w:t>
      </w:r>
      <w:r w:rsidRPr="00F92003">
        <w:rPr>
          <w:rFonts w:asciiTheme="minorEastAsia" w:eastAsiaTheme="minorEastAsia" w:hAnsiTheme="minorEastAsia"/>
          <w:sz w:val="21"/>
          <w:szCs w:val="21"/>
        </w:rPr>
        <w:t>型风格基金的区别在于：前者并不会出现较为极致的风格，始终处于成长和价值风格之间，而</w:t>
      </w:r>
      <w:r>
        <w:rPr>
          <w:rFonts w:asciiTheme="minorEastAsia" w:eastAsiaTheme="minorEastAsia" w:hAnsiTheme="minorEastAsia" w:hint="eastAsia"/>
          <w:sz w:val="21"/>
          <w:szCs w:val="21"/>
        </w:rPr>
        <w:t>飘移</w:t>
      </w:r>
      <w:r w:rsidRPr="00F92003">
        <w:rPr>
          <w:rFonts w:asciiTheme="minorEastAsia" w:eastAsiaTheme="minorEastAsia" w:hAnsiTheme="minorEastAsia"/>
          <w:sz w:val="21"/>
          <w:szCs w:val="21"/>
        </w:rPr>
        <w:t>型风格则每个阶段都有较为极致的风格</w:t>
      </w:r>
      <w:r>
        <w:rPr>
          <w:rFonts w:asciiTheme="minorEastAsia" w:eastAsiaTheme="minorEastAsia" w:hAnsiTheme="minorEastAsia" w:hint="eastAsia"/>
          <w:sz w:val="21"/>
          <w:szCs w:val="21"/>
        </w:rPr>
        <w:t>。</w:t>
      </w:r>
    </w:p>
    <w:p w14:paraId="62D7A480" w14:textId="77777777" w:rsidR="00DF0B24" w:rsidRDefault="00DF0B24" w:rsidP="00DF0B24">
      <w:pPr>
        <w:ind w:firstLineChars="200" w:firstLine="422"/>
        <w:jc w:val="left"/>
        <w:rPr>
          <w:rFonts w:asciiTheme="minorEastAsia" w:eastAsiaTheme="minorEastAsia" w:hAnsiTheme="minorEastAsia"/>
          <w:sz w:val="21"/>
          <w:szCs w:val="21"/>
        </w:rPr>
      </w:pPr>
      <w:r w:rsidRPr="003D2D5B">
        <w:rPr>
          <w:rFonts w:asciiTheme="minorEastAsia" w:eastAsiaTheme="minorEastAsia" w:hAnsiTheme="minorEastAsia" w:hint="eastAsia"/>
          <w:b/>
          <w:sz w:val="21"/>
          <w:szCs w:val="21"/>
        </w:rPr>
        <w:t>在</w:t>
      </w:r>
      <w:r w:rsidRPr="003D2D5B">
        <w:rPr>
          <w:rFonts w:asciiTheme="minorEastAsia" w:eastAsiaTheme="minorEastAsia" w:hAnsiTheme="minorEastAsia"/>
          <w:b/>
          <w:sz w:val="21"/>
          <w:szCs w:val="21"/>
        </w:rPr>
        <w:t>定性维度上</w:t>
      </w:r>
      <w:r>
        <w:rPr>
          <w:rFonts w:asciiTheme="minorEastAsia" w:eastAsiaTheme="minorEastAsia" w:hAnsiTheme="minorEastAsia"/>
          <w:sz w:val="21"/>
          <w:szCs w:val="21"/>
        </w:rPr>
        <w:t>，</w:t>
      </w:r>
      <w:r>
        <w:rPr>
          <w:rFonts w:asciiTheme="minorEastAsia" w:eastAsiaTheme="minorEastAsia" w:hAnsiTheme="minorEastAsia" w:hint="eastAsia"/>
          <w:sz w:val="21"/>
          <w:szCs w:val="21"/>
        </w:rPr>
        <w:t>完善的调研体系是华宝证券研究创新部相比其他券商最为特色的地方，</w:t>
      </w:r>
      <w:r w:rsidRPr="0023627D">
        <w:rPr>
          <w:rFonts w:asciiTheme="minorEastAsia" w:eastAsiaTheme="minorEastAsia" w:hAnsiTheme="minorEastAsia"/>
          <w:sz w:val="21"/>
          <w:szCs w:val="21"/>
        </w:rPr>
        <w:t>包括：</w:t>
      </w:r>
      <w:r w:rsidRPr="0023627D">
        <w:rPr>
          <w:rFonts w:asciiTheme="minorEastAsia" w:eastAsiaTheme="minorEastAsia" w:hAnsiTheme="minorEastAsia" w:hint="eastAsia"/>
          <w:sz w:val="21"/>
          <w:szCs w:val="21"/>
        </w:rPr>
        <w:t>能力</w:t>
      </w:r>
      <w:r w:rsidRPr="0023627D">
        <w:rPr>
          <w:rFonts w:asciiTheme="minorEastAsia" w:eastAsiaTheme="minorEastAsia" w:hAnsiTheme="minorEastAsia"/>
          <w:sz w:val="21"/>
          <w:szCs w:val="21"/>
        </w:rPr>
        <w:t>禀赋</w:t>
      </w:r>
      <w:r w:rsidRPr="0023627D">
        <w:rPr>
          <w:rFonts w:asciiTheme="minorEastAsia" w:eastAsiaTheme="minorEastAsia" w:hAnsiTheme="minorEastAsia" w:hint="eastAsia"/>
          <w:sz w:val="21"/>
          <w:szCs w:val="21"/>
        </w:rPr>
        <w:t>（宏</w:t>
      </w:r>
      <w:r w:rsidRPr="0023627D">
        <w:rPr>
          <w:rFonts w:asciiTheme="minorEastAsia" w:eastAsiaTheme="minorEastAsia" w:hAnsiTheme="minorEastAsia"/>
          <w:sz w:val="21"/>
          <w:szCs w:val="21"/>
        </w:rPr>
        <w:t>观-中观-微观</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w:t>
      </w:r>
      <w:r w:rsidRPr="0023627D">
        <w:rPr>
          <w:rFonts w:asciiTheme="minorEastAsia" w:eastAsiaTheme="minorEastAsia" w:hAnsiTheme="minorEastAsia" w:hint="eastAsia"/>
          <w:sz w:val="21"/>
          <w:szCs w:val="21"/>
        </w:rPr>
        <w:t>操作</w:t>
      </w:r>
      <w:r w:rsidRPr="0023627D">
        <w:rPr>
          <w:rFonts w:asciiTheme="minorEastAsia" w:eastAsiaTheme="minorEastAsia" w:hAnsiTheme="minorEastAsia"/>
          <w:sz w:val="21"/>
          <w:szCs w:val="21"/>
        </w:rPr>
        <w:t>风格</w:t>
      </w:r>
      <w:r w:rsidRPr="0023627D">
        <w:rPr>
          <w:rFonts w:asciiTheme="minorEastAsia" w:eastAsiaTheme="minorEastAsia" w:hAnsiTheme="minorEastAsia" w:hint="eastAsia"/>
          <w:sz w:val="21"/>
          <w:szCs w:val="21"/>
        </w:rPr>
        <w:t>（左侧VS右侧</w:t>
      </w:r>
      <w:r w:rsidRPr="0023627D">
        <w:rPr>
          <w:rFonts w:asciiTheme="minorEastAsia" w:eastAsiaTheme="minorEastAsia" w:hAnsiTheme="minorEastAsia"/>
          <w:sz w:val="21"/>
          <w:szCs w:val="21"/>
        </w:rPr>
        <w:t>风格，激进</w:t>
      </w:r>
      <w:r w:rsidRPr="0023627D">
        <w:rPr>
          <w:rFonts w:asciiTheme="minorEastAsia" w:eastAsiaTheme="minorEastAsia" w:hAnsiTheme="minorEastAsia" w:hint="eastAsia"/>
          <w:sz w:val="21"/>
          <w:szCs w:val="21"/>
        </w:rPr>
        <w:t>风格，保守</w:t>
      </w:r>
      <w:r w:rsidRPr="0023627D">
        <w:rPr>
          <w:rFonts w:asciiTheme="minorEastAsia" w:eastAsiaTheme="minorEastAsia" w:hAnsiTheme="minorEastAsia"/>
          <w:sz w:val="21"/>
          <w:szCs w:val="21"/>
        </w:rPr>
        <w:t>风格</w:t>
      </w:r>
      <w:r w:rsidRPr="0023627D">
        <w:rPr>
          <w:rFonts w:asciiTheme="minorEastAsia" w:eastAsiaTheme="minorEastAsia" w:hAnsiTheme="minorEastAsia" w:hint="eastAsia"/>
          <w:sz w:val="21"/>
          <w:szCs w:val="21"/>
        </w:rPr>
        <w:t>），行业</w:t>
      </w:r>
      <w:r w:rsidRPr="0023627D">
        <w:rPr>
          <w:rFonts w:asciiTheme="minorEastAsia" w:eastAsiaTheme="minorEastAsia" w:hAnsiTheme="minorEastAsia"/>
          <w:sz w:val="21"/>
          <w:szCs w:val="21"/>
        </w:rPr>
        <w:t>把握能力</w:t>
      </w:r>
      <w:r w:rsidRPr="0023627D">
        <w:rPr>
          <w:rFonts w:asciiTheme="minorEastAsia" w:eastAsiaTheme="minorEastAsia" w:hAnsiTheme="minorEastAsia" w:hint="eastAsia"/>
          <w:sz w:val="21"/>
          <w:szCs w:val="21"/>
        </w:rPr>
        <w:t>（行业轮动</w:t>
      </w:r>
      <w:r w:rsidRPr="0023627D">
        <w:rPr>
          <w:rFonts w:asciiTheme="minorEastAsia" w:eastAsiaTheme="minorEastAsia" w:hAnsiTheme="minorEastAsia"/>
          <w:sz w:val="21"/>
          <w:szCs w:val="21"/>
        </w:rPr>
        <w:t>能力</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深度覆盖的行业</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，选股</w:t>
      </w:r>
      <w:r w:rsidRPr="0023627D">
        <w:rPr>
          <w:rFonts w:asciiTheme="minorEastAsia" w:eastAsiaTheme="minorEastAsia" w:hAnsiTheme="minorEastAsia" w:hint="eastAsia"/>
          <w:sz w:val="21"/>
          <w:szCs w:val="21"/>
        </w:rPr>
        <w:t>/券逻辑（基本面</w:t>
      </w:r>
      <w:r w:rsidRPr="0023627D">
        <w:rPr>
          <w:rFonts w:asciiTheme="minorEastAsia" w:eastAsiaTheme="minorEastAsia" w:hAnsiTheme="minorEastAsia"/>
          <w:sz w:val="21"/>
          <w:szCs w:val="21"/>
        </w:rPr>
        <w:t>，</w:t>
      </w:r>
      <w:r w:rsidRPr="0023627D">
        <w:rPr>
          <w:rFonts w:asciiTheme="minorEastAsia" w:eastAsiaTheme="minorEastAsia" w:hAnsiTheme="minorEastAsia" w:hint="eastAsia"/>
          <w:sz w:val="21"/>
          <w:szCs w:val="21"/>
        </w:rPr>
        <w:t>成长性</w:t>
      </w:r>
      <w:r w:rsidRPr="0023627D">
        <w:rPr>
          <w:rFonts w:asciiTheme="minorEastAsia" w:eastAsiaTheme="minorEastAsia" w:hAnsiTheme="minorEastAsia"/>
          <w:sz w:val="21"/>
          <w:szCs w:val="21"/>
        </w:rPr>
        <w:t>，事件驱动，信用</w:t>
      </w:r>
      <w:r>
        <w:rPr>
          <w:rFonts w:asciiTheme="minorEastAsia" w:eastAsiaTheme="minorEastAsia" w:hAnsiTheme="minorEastAsia" w:hint="eastAsia"/>
          <w:sz w:val="21"/>
          <w:szCs w:val="21"/>
        </w:rPr>
        <w:t>评估</w:t>
      </w:r>
      <w:r w:rsidRPr="0023627D">
        <w:rPr>
          <w:rFonts w:asciiTheme="minorEastAsia" w:eastAsiaTheme="minorEastAsia" w:hAnsiTheme="minorEastAsia" w:hint="eastAsia"/>
          <w:sz w:val="21"/>
          <w:szCs w:val="21"/>
        </w:rPr>
        <w:t>方法</w:t>
      </w:r>
      <w:r w:rsidRPr="0023627D">
        <w:rPr>
          <w:rFonts w:asciiTheme="minorEastAsia" w:eastAsiaTheme="minorEastAsia" w:hAnsiTheme="minorEastAsia"/>
          <w:sz w:val="21"/>
          <w:szCs w:val="21"/>
        </w:rPr>
        <w:t>和要点</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风险控制措施</w:t>
      </w:r>
      <w:r w:rsidRPr="0023627D">
        <w:rPr>
          <w:rFonts w:asciiTheme="minorEastAsia" w:eastAsiaTheme="minorEastAsia" w:hAnsiTheme="minorEastAsia" w:hint="eastAsia"/>
          <w:sz w:val="21"/>
          <w:szCs w:val="21"/>
        </w:rPr>
        <w:t>（仓位</w:t>
      </w:r>
      <w:r w:rsidRPr="0023627D">
        <w:rPr>
          <w:rFonts w:asciiTheme="minorEastAsia" w:eastAsiaTheme="minorEastAsia" w:hAnsiTheme="minorEastAsia"/>
          <w:sz w:val="21"/>
          <w:szCs w:val="21"/>
        </w:rPr>
        <w:t>控制</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久期</w:t>
      </w:r>
      <w:r w:rsidRPr="0023627D">
        <w:rPr>
          <w:rFonts w:asciiTheme="minorEastAsia" w:eastAsiaTheme="minorEastAsia" w:hAnsiTheme="minorEastAsia" w:hint="eastAsia"/>
          <w:sz w:val="21"/>
          <w:szCs w:val="21"/>
        </w:rPr>
        <w:t>管理</w:t>
      </w:r>
      <w:r w:rsidRPr="0023627D">
        <w:rPr>
          <w:rFonts w:asciiTheme="minorEastAsia" w:eastAsiaTheme="minorEastAsia" w:hAnsiTheme="minorEastAsia"/>
          <w:sz w:val="21"/>
          <w:szCs w:val="21"/>
        </w:rPr>
        <w:t>，杠杆操作，</w:t>
      </w:r>
      <w:r w:rsidRPr="0023627D">
        <w:rPr>
          <w:rFonts w:asciiTheme="minorEastAsia" w:eastAsiaTheme="minorEastAsia" w:hAnsiTheme="minorEastAsia" w:hint="eastAsia"/>
          <w:sz w:val="21"/>
          <w:szCs w:val="21"/>
        </w:rPr>
        <w:t>调整</w:t>
      </w:r>
      <w:r w:rsidRPr="0023627D">
        <w:rPr>
          <w:rFonts w:asciiTheme="minorEastAsia" w:eastAsiaTheme="minorEastAsia" w:hAnsiTheme="minorEastAsia"/>
          <w:sz w:val="21"/>
          <w:szCs w:val="21"/>
        </w:rPr>
        <w:t>评级等</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w:t>
      </w:r>
      <w:r w:rsidRPr="0023627D">
        <w:rPr>
          <w:rFonts w:asciiTheme="minorEastAsia" w:eastAsiaTheme="minorEastAsia" w:hAnsiTheme="minorEastAsia" w:hint="eastAsia"/>
          <w:sz w:val="21"/>
          <w:szCs w:val="21"/>
        </w:rPr>
        <w:t>组合</w:t>
      </w:r>
      <w:r w:rsidRPr="0023627D">
        <w:rPr>
          <w:rFonts w:asciiTheme="minorEastAsia" w:eastAsiaTheme="minorEastAsia" w:hAnsiTheme="minorEastAsia"/>
          <w:sz w:val="21"/>
          <w:szCs w:val="21"/>
        </w:rPr>
        <w:t>收益</w:t>
      </w:r>
      <w:r w:rsidRPr="0023627D">
        <w:rPr>
          <w:rFonts w:asciiTheme="minorEastAsia" w:eastAsiaTheme="minorEastAsia" w:hAnsiTheme="minorEastAsia" w:hint="eastAsia"/>
          <w:sz w:val="21"/>
          <w:szCs w:val="21"/>
        </w:rPr>
        <w:t>目标</w:t>
      </w:r>
      <w:r w:rsidRPr="0023627D">
        <w:rPr>
          <w:rFonts w:asciiTheme="minorEastAsia" w:eastAsiaTheme="minorEastAsia" w:hAnsiTheme="minorEastAsia"/>
          <w:sz w:val="21"/>
          <w:szCs w:val="21"/>
        </w:rPr>
        <w:t>（</w:t>
      </w:r>
      <w:r w:rsidRPr="0023627D">
        <w:rPr>
          <w:rFonts w:asciiTheme="minorEastAsia" w:eastAsiaTheme="minorEastAsia" w:hAnsiTheme="minorEastAsia" w:hint="eastAsia"/>
          <w:sz w:val="21"/>
          <w:szCs w:val="21"/>
        </w:rPr>
        <w:t>相对</w:t>
      </w:r>
      <w:r w:rsidRPr="0023627D">
        <w:rPr>
          <w:rFonts w:asciiTheme="minorEastAsia" w:eastAsiaTheme="minorEastAsia" w:hAnsiTheme="minorEastAsia"/>
          <w:sz w:val="21"/>
          <w:szCs w:val="21"/>
        </w:rPr>
        <w:t>收益约束，</w:t>
      </w:r>
      <w:r w:rsidRPr="0023627D">
        <w:rPr>
          <w:rFonts w:asciiTheme="minorEastAsia" w:eastAsiaTheme="minorEastAsia" w:hAnsiTheme="minorEastAsia" w:hint="eastAsia"/>
          <w:sz w:val="21"/>
          <w:szCs w:val="21"/>
        </w:rPr>
        <w:t>绝对</w:t>
      </w:r>
      <w:r w:rsidRPr="0023627D">
        <w:rPr>
          <w:rFonts w:asciiTheme="minorEastAsia" w:eastAsiaTheme="minorEastAsia" w:hAnsiTheme="minorEastAsia"/>
          <w:sz w:val="21"/>
          <w:szCs w:val="21"/>
        </w:rPr>
        <w:t>收益约束</w:t>
      </w:r>
      <w:r w:rsidRPr="0023627D">
        <w:rPr>
          <w:rFonts w:asciiTheme="minorEastAsia" w:eastAsiaTheme="minorEastAsia" w:hAnsiTheme="minorEastAsia" w:hint="eastAsia"/>
          <w:sz w:val="21"/>
          <w:szCs w:val="21"/>
        </w:rPr>
        <w:t>，</w:t>
      </w:r>
      <w:r w:rsidRPr="0023627D">
        <w:rPr>
          <w:rFonts w:asciiTheme="minorEastAsia" w:eastAsiaTheme="minorEastAsia" w:hAnsiTheme="minorEastAsia"/>
          <w:sz w:val="21"/>
          <w:szCs w:val="21"/>
        </w:rPr>
        <w:t>投资业绩</w:t>
      </w:r>
      <w:r w:rsidRPr="0023627D">
        <w:rPr>
          <w:rFonts w:asciiTheme="minorEastAsia" w:eastAsiaTheme="minorEastAsia" w:hAnsiTheme="minorEastAsia" w:hint="eastAsia"/>
          <w:sz w:val="21"/>
          <w:szCs w:val="21"/>
        </w:rPr>
        <w:t>考核</w:t>
      </w:r>
      <w:r w:rsidRPr="0023627D">
        <w:rPr>
          <w:rFonts w:asciiTheme="minorEastAsia" w:eastAsiaTheme="minorEastAsia" w:hAnsiTheme="minorEastAsia"/>
          <w:sz w:val="21"/>
          <w:szCs w:val="21"/>
        </w:rPr>
        <w:t>时间）</w:t>
      </w:r>
      <w:r w:rsidRPr="0023627D">
        <w:rPr>
          <w:rFonts w:asciiTheme="minorEastAsia" w:eastAsiaTheme="minorEastAsia" w:hAnsiTheme="minorEastAsia" w:hint="eastAsia"/>
          <w:sz w:val="21"/>
          <w:szCs w:val="21"/>
        </w:rPr>
        <w:t>等</w:t>
      </w:r>
      <w:r w:rsidRPr="0023627D">
        <w:rPr>
          <w:rFonts w:asciiTheme="minorEastAsia" w:eastAsiaTheme="minorEastAsia" w:hAnsiTheme="minorEastAsia"/>
          <w:sz w:val="21"/>
          <w:szCs w:val="21"/>
        </w:rPr>
        <w:t>方面内容。</w:t>
      </w:r>
    </w:p>
    <w:p w14:paraId="05CEBD63" w14:textId="77777777" w:rsidR="000F68A8" w:rsidRDefault="000F68A8" w:rsidP="000F68A8">
      <w:pPr>
        <w:ind w:firstLineChars="200" w:firstLine="422"/>
        <w:jc w:val="left"/>
        <w:rPr>
          <w:rFonts w:asciiTheme="minorEastAsia" w:eastAsiaTheme="minorEastAsia" w:hAnsiTheme="minorEastAsia"/>
          <w:sz w:val="21"/>
          <w:szCs w:val="21"/>
        </w:rPr>
      </w:pPr>
      <w:r w:rsidRPr="000F68A8">
        <w:rPr>
          <w:rFonts w:asciiTheme="minorEastAsia" w:eastAsiaTheme="minorEastAsia" w:hAnsiTheme="minorEastAsia" w:hint="eastAsia"/>
          <w:b/>
          <w:sz w:val="21"/>
          <w:szCs w:val="21"/>
        </w:rPr>
        <w:lastRenderedPageBreak/>
        <w:t>结合定量与定性的结果，</w:t>
      </w:r>
      <w:r w:rsidRPr="000F68A8">
        <w:rPr>
          <w:rFonts w:asciiTheme="minorEastAsia" w:eastAsiaTheme="minorEastAsia" w:hAnsiTheme="minorEastAsia" w:hint="eastAsia"/>
          <w:sz w:val="21"/>
          <w:szCs w:val="21"/>
        </w:rPr>
        <w:t>我们将</w:t>
      </w:r>
      <w:r>
        <w:rPr>
          <w:rFonts w:asciiTheme="minorEastAsia" w:eastAsiaTheme="minorEastAsia" w:hAnsiTheme="minorEastAsia" w:hint="eastAsia"/>
          <w:sz w:val="21"/>
          <w:szCs w:val="21"/>
        </w:rPr>
        <w:t>基金经理标签进行归类总结，从多个维度理解基金经理投资风格与业绩风险收益特征，为微观筛选标的提供有力的支撑。</w:t>
      </w:r>
    </w:p>
    <w:p w14:paraId="67442E3E" w14:textId="77777777" w:rsidR="000F68A8" w:rsidRDefault="000F68A8" w:rsidP="000F68A8">
      <w:pPr>
        <w:ind w:firstLineChars="200" w:firstLine="420"/>
        <w:jc w:val="left"/>
        <w:rPr>
          <w:rFonts w:asciiTheme="minorEastAsia" w:eastAsiaTheme="minorEastAsia" w:hAnsiTheme="minorEastAsia"/>
          <w:sz w:val="21"/>
          <w:szCs w:val="21"/>
        </w:rPr>
      </w:pPr>
    </w:p>
    <w:bookmarkEnd w:id="0"/>
    <w:bookmarkEnd w:id="1"/>
    <w:bookmarkEnd w:id="2"/>
    <w:bookmarkEnd w:id="3"/>
    <w:p w14:paraId="3DAEF1F7" w14:textId="77777777" w:rsidR="00FC5ADD" w:rsidRDefault="00FC5ADD" w:rsidP="00FC5ADD">
      <w:pPr>
        <w:pStyle w:val="a1"/>
        <w:numPr>
          <w:ilvl w:val="1"/>
          <w:numId w:val="2"/>
        </w:numPr>
        <w:spacing w:before="156" w:after="156" w:line="240" w:lineRule="auto"/>
        <w:outlineLvl w:val="4"/>
        <w:rPr>
          <w:rFonts w:asciiTheme="minorEastAsia" w:eastAsiaTheme="minorEastAsia" w:hAnsiTheme="minorEastAsia"/>
          <w:sz w:val="21"/>
          <w:szCs w:val="21"/>
        </w:rPr>
      </w:pPr>
      <w:r>
        <w:rPr>
          <w:rFonts w:asciiTheme="minorEastAsia" w:eastAsiaTheme="minorEastAsia" w:hAnsiTheme="minorEastAsia" w:hint="eastAsia"/>
          <w:sz w:val="21"/>
          <w:szCs w:val="21"/>
        </w:rPr>
        <w:t>债券</w:t>
      </w:r>
      <w:r>
        <w:rPr>
          <w:rFonts w:asciiTheme="minorEastAsia" w:eastAsiaTheme="minorEastAsia" w:hAnsiTheme="minorEastAsia"/>
          <w:sz w:val="21"/>
          <w:szCs w:val="21"/>
        </w:rPr>
        <w:t>类基金</w:t>
      </w:r>
      <w:r>
        <w:rPr>
          <w:rFonts w:asciiTheme="minorEastAsia" w:eastAsiaTheme="minorEastAsia" w:hAnsiTheme="minorEastAsia" w:hint="eastAsia"/>
          <w:sz w:val="21"/>
          <w:szCs w:val="21"/>
        </w:rPr>
        <w:t>公募</w:t>
      </w:r>
      <w:r>
        <w:rPr>
          <w:rFonts w:asciiTheme="minorEastAsia" w:eastAsiaTheme="minorEastAsia" w:hAnsiTheme="minorEastAsia"/>
          <w:sz w:val="21"/>
          <w:szCs w:val="21"/>
        </w:rPr>
        <w:t>基金</w:t>
      </w:r>
      <w:r>
        <w:rPr>
          <w:rFonts w:asciiTheme="minorEastAsia" w:eastAsiaTheme="minorEastAsia" w:hAnsiTheme="minorEastAsia" w:hint="eastAsia"/>
          <w:sz w:val="21"/>
          <w:szCs w:val="21"/>
        </w:rPr>
        <w:t>分析</w:t>
      </w:r>
      <w:r>
        <w:rPr>
          <w:rFonts w:asciiTheme="minorEastAsia" w:eastAsiaTheme="minorEastAsia" w:hAnsiTheme="minorEastAsia"/>
          <w:sz w:val="21"/>
          <w:szCs w:val="21"/>
        </w:rPr>
        <w:t>体系</w:t>
      </w:r>
    </w:p>
    <w:p w14:paraId="7B856AB7" w14:textId="77777777" w:rsidR="00FC5ADD" w:rsidRPr="0023627D" w:rsidRDefault="00FC5ADD" w:rsidP="00FC5ADD">
      <w:pPr>
        <w:ind w:firstLineChars="200" w:firstLine="420"/>
        <w:rPr>
          <w:rFonts w:asciiTheme="minorEastAsia" w:eastAsiaTheme="minorEastAsia" w:hAnsiTheme="minorEastAsia"/>
          <w:sz w:val="21"/>
          <w:szCs w:val="21"/>
        </w:rPr>
      </w:pPr>
      <w:r>
        <w:rPr>
          <w:rFonts w:asciiTheme="minorEastAsia" w:eastAsiaTheme="minorEastAsia" w:hAnsiTheme="minorEastAsia" w:hint="eastAsia"/>
          <w:sz w:val="21"/>
          <w:szCs w:val="21"/>
        </w:rPr>
        <w:t>债券基金的评价体系同样分类定性和定量的部分。定量体系以基金的多维度分类为基础，着重于绩效评估与业绩归因两部分，同时初步形成基金的风格特征；通过定性的持仓分析以及调研，对风格做进一步的确认，根据基金经理的能力圈以及投资策略选择适合当前市场环境的产品。</w:t>
      </w:r>
    </w:p>
    <w:p w14:paraId="485BF474" w14:textId="77777777" w:rsidR="00FC5ADD" w:rsidRDefault="00FC5ADD" w:rsidP="00FC5ADD">
      <w:pPr>
        <w:jc w:val="left"/>
        <w:rPr>
          <w:rFonts w:asciiTheme="minorEastAsia" w:eastAsiaTheme="minorEastAsia" w:hAnsiTheme="minorEastAsia"/>
          <w:sz w:val="21"/>
          <w:szCs w:val="21"/>
        </w:rPr>
      </w:pPr>
      <w:r>
        <w:rPr>
          <w:noProof/>
        </w:rPr>
        <w:drawing>
          <wp:inline distT="0" distB="0" distL="0" distR="0" wp14:anchorId="52E643F1" wp14:editId="66C94C71">
            <wp:extent cx="5274310" cy="146203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1462034"/>
                    </a:xfrm>
                    <a:prstGeom prst="rect">
                      <a:avLst/>
                    </a:prstGeom>
                  </pic:spPr>
                </pic:pic>
              </a:graphicData>
            </a:graphic>
          </wp:inline>
        </w:drawing>
      </w:r>
    </w:p>
    <w:p w14:paraId="0ABDD74B" w14:textId="77777777" w:rsidR="00FC5ADD" w:rsidRDefault="00FC5ADD" w:rsidP="00FC5ADD">
      <w:pPr>
        <w:ind w:firstLineChars="200" w:firstLine="420"/>
        <w:jc w:val="left"/>
        <w:rPr>
          <w:rFonts w:asciiTheme="minorEastAsia" w:eastAsiaTheme="minorEastAsia" w:hAnsiTheme="minorEastAsia"/>
          <w:sz w:val="21"/>
          <w:szCs w:val="21"/>
        </w:rPr>
      </w:pPr>
      <w:r>
        <w:rPr>
          <w:rFonts w:asciiTheme="minorEastAsia" w:eastAsiaTheme="minorEastAsia" w:hAnsiTheme="minorEastAsia" w:hint="eastAsia"/>
          <w:sz w:val="21"/>
          <w:szCs w:val="21"/>
        </w:rPr>
        <w:t>基金分类我们通过产品合同和基金持仓两个维度分别生成不同的分类：</w:t>
      </w:r>
    </w:p>
    <w:p w14:paraId="2FF900DC" w14:textId="77777777" w:rsidR="00FC5ADD" w:rsidRDefault="00FC5ADD" w:rsidP="00442114">
      <w:pPr>
        <w:jc w:val="left"/>
        <w:rPr>
          <w:rFonts w:asciiTheme="minorEastAsia" w:eastAsiaTheme="minorEastAsia" w:hAnsiTheme="minorEastAsia"/>
          <w:sz w:val="21"/>
          <w:szCs w:val="21"/>
        </w:rPr>
      </w:pPr>
      <w:r>
        <w:rPr>
          <w:noProof/>
        </w:rPr>
        <w:drawing>
          <wp:inline distT="0" distB="0" distL="0" distR="0" wp14:anchorId="5386675D" wp14:editId="66382C3B">
            <wp:extent cx="5587127" cy="325208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97941" cy="3258377"/>
                    </a:xfrm>
                    <a:prstGeom prst="rect">
                      <a:avLst/>
                    </a:prstGeom>
                  </pic:spPr>
                </pic:pic>
              </a:graphicData>
            </a:graphic>
          </wp:inline>
        </w:drawing>
      </w:r>
    </w:p>
    <w:p w14:paraId="7EA2BCA1" w14:textId="77777777" w:rsidR="00FC5ADD" w:rsidRDefault="00FC5ADD" w:rsidP="00FC5ADD">
      <w:pPr>
        <w:ind w:firstLineChars="200" w:firstLine="420"/>
        <w:jc w:val="left"/>
        <w:rPr>
          <w:rFonts w:asciiTheme="minorEastAsia" w:eastAsiaTheme="minorEastAsia" w:hAnsiTheme="minorEastAsia"/>
          <w:sz w:val="21"/>
          <w:szCs w:val="21"/>
        </w:rPr>
      </w:pPr>
      <w:r>
        <w:rPr>
          <w:rFonts w:asciiTheme="minorEastAsia" w:eastAsiaTheme="minorEastAsia" w:hAnsiTheme="minorEastAsia" w:hint="eastAsia"/>
          <w:sz w:val="21"/>
          <w:szCs w:val="21"/>
        </w:rPr>
        <w:t>绩效评估我们以基金经理为评价主体，对传统的技术指标进行精选及修正，并且重视业绩的可持续性。</w:t>
      </w:r>
    </w:p>
    <w:p w14:paraId="442B5BFB" w14:textId="77777777" w:rsidR="00FC5ADD" w:rsidRPr="00516B2F" w:rsidRDefault="00FC5ADD" w:rsidP="00FC5ADD">
      <w:pPr>
        <w:ind w:firstLineChars="200" w:firstLine="360"/>
        <w:jc w:val="left"/>
        <w:rPr>
          <w:rFonts w:asciiTheme="minorEastAsia" w:eastAsiaTheme="minorEastAsia" w:hAnsiTheme="minorEastAsia"/>
          <w:sz w:val="21"/>
          <w:szCs w:val="21"/>
        </w:rPr>
      </w:pPr>
      <w:r>
        <w:rPr>
          <w:noProof/>
        </w:rPr>
        <w:lastRenderedPageBreak/>
        <w:drawing>
          <wp:inline distT="0" distB="0" distL="0" distR="0" wp14:anchorId="1405BE49" wp14:editId="3B61AABF">
            <wp:extent cx="5274310" cy="26847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684770"/>
                    </a:xfrm>
                    <a:prstGeom prst="rect">
                      <a:avLst/>
                    </a:prstGeom>
                  </pic:spPr>
                </pic:pic>
              </a:graphicData>
            </a:graphic>
          </wp:inline>
        </w:drawing>
      </w:r>
    </w:p>
    <w:p w14:paraId="4E7490D0" w14:textId="77777777" w:rsidR="00FC5ADD" w:rsidRDefault="00FC5ADD" w:rsidP="00FC5ADD">
      <w:pPr>
        <w:ind w:firstLineChars="200" w:firstLine="420"/>
        <w:jc w:val="left"/>
        <w:rPr>
          <w:rFonts w:asciiTheme="minorEastAsia" w:eastAsiaTheme="minorEastAsia" w:hAnsiTheme="minorEastAsia"/>
          <w:sz w:val="21"/>
          <w:szCs w:val="21"/>
        </w:rPr>
      </w:pPr>
      <w:r>
        <w:rPr>
          <w:rFonts w:asciiTheme="minorEastAsia" w:eastAsiaTheme="minorEastAsia" w:hAnsiTheme="minorEastAsia" w:hint="eastAsia"/>
          <w:sz w:val="21"/>
          <w:szCs w:val="21"/>
        </w:rPr>
        <w:t>业绩归因我们跳出传统的分解方法，把收益分解为票息、债券资本利得、股票收益以及费用，并根据持仓进一步挖掘驱动因素。</w:t>
      </w:r>
    </w:p>
    <w:p w14:paraId="68E4533A" w14:textId="77777777" w:rsidR="00FC5ADD" w:rsidRDefault="00FC5ADD" w:rsidP="00FC5ADD">
      <w:pPr>
        <w:ind w:firstLineChars="200" w:firstLine="360"/>
        <w:jc w:val="left"/>
        <w:rPr>
          <w:rFonts w:asciiTheme="minorEastAsia" w:eastAsiaTheme="minorEastAsia" w:hAnsiTheme="minorEastAsia"/>
          <w:sz w:val="21"/>
          <w:szCs w:val="21"/>
        </w:rPr>
      </w:pPr>
      <w:r>
        <w:rPr>
          <w:noProof/>
        </w:rPr>
        <w:drawing>
          <wp:inline distT="0" distB="0" distL="0" distR="0" wp14:anchorId="2CE02C04" wp14:editId="2F056BFF">
            <wp:extent cx="5274310" cy="203097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2030976"/>
                    </a:xfrm>
                    <a:prstGeom prst="rect">
                      <a:avLst/>
                    </a:prstGeom>
                  </pic:spPr>
                </pic:pic>
              </a:graphicData>
            </a:graphic>
          </wp:inline>
        </w:drawing>
      </w:r>
    </w:p>
    <w:p w14:paraId="1A59C5D8" w14:textId="77777777" w:rsidR="00FC5ADD" w:rsidRDefault="00FC5ADD" w:rsidP="00FC5ADD">
      <w:pPr>
        <w:ind w:firstLineChars="200" w:firstLine="420"/>
        <w:jc w:val="left"/>
        <w:rPr>
          <w:rFonts w:asciiTheme="minorEastAsia" w:eastAsiaTheme="minorEastAsia" w:hAnsiTheme="minorEastAsia"/>
          <w:sz w:val="21"/>
          <w:szCs w:val="21"/>
        </w:rPr>
      </w:pPr>
      <w:r>
        <w:rPr>
          <w:rFonts w:asciiTheme="minorEastAsia" w:eastAsiaTheme="minorEastAsia" w:hAnsiTheme="minorEastAsia" w:hint="eastAsia"/>
          <w:sz w:val="21"/>
          <w:szCs w:val="21"/>
        </w:rPr>
        <w:t>最后，根据定性和定量的分析结果，形成基金经理的标签库</w:t>
      </w:r>
      <w:r w:rsidR="00442114">
        <w:rPr>
          <w:rFonts w:asciiTheme="minorEastAsia" w:eastAsiaTheme="minorEastAsia" w:hAnsiTheme="minorEastAsia" w:hint="eastAsia"/>
          <w:sz w:val="21"/>
          <w:szCs w:val="21"/>
        </w:rPr>
        <w:t>。</w:t>
      </w:r>
    </w:p>
    <w:p w14:paraId="0107A6EB" w14:textId="77777777" w:rsidR="00FC5ADD" w:rsidRDefault="00FC5ADD" w:rsidP="00FC5ADD">
      <w:pPr>
        <w:rPr>
          <w:rFonts w:asciiTheme="minorEastAsia" w:eastAsiaTheme="minorEastAsia" w:hAnsiTheme="minorEastAsia"/>
          <w:sz w:val="21"/>
          <w:szCs w:val="21"/>
        </w:rPr>
      </w:pPr>
    </w:p>
    <w:p w14:paraId="1D9B48BC" w14:textId="77777777" w:rsidR="006E4293" w:rsidRDefault="00D06465" w:rsidP="00FC5ADD">
      <w:pPr>
        <w:pStyle w:val="a1"/>
        <w:numPr>
          <w:ilvl w:val="1"/>
          <w:numId w:val="2"/>
        </w:numPr>
        <w:spacing w:before="156" w:after="156" w:line="240" w:lineRule="auto"/>
        <w:outlineLvl w:val="4"/>
        <w:rPr>
          <w:rFonts w:asciiTheme="minorEastAsia" w:eastAsiaTheme="minorEastAsia" w:hAnsiTheme="minorEastAsia"/>
          <w:sz w:val="21"/>
          <w:szCs w:val="21"/>
        </w:rPr>
      </w:pPr>
      <w:r>
        <w:rPr>
          <w:rFonts w:asciiTheme="minorEastAsia" w:eastAsiaTheme="minorEastAsia" w:hAnsiTheme="minorEastAsia" w:hint="eastAsia"/>
          <w:sz w:val="21"/>
          <w:szCs w:val="21"/>
        </w:rPr>
        <w:t>行业主题、指数增强、沪港深、QDII类</w:t>
      </w:r>
      <w:r w:rsidR="006E4293">
        <w:rPr>
          <w:rFonts w:asciiTheme="minorEastAsia" w:eastAsiaTheme="minorEastAsia" w:hAnsiTheme="minorEastAsia" w:hint="eastAsia"/>
          <w:sz w:val="21"/>
          <w:szCs w:val="21"/>
        </w:rPr>
        <w:t>公募</w:t>
      </w:r>
      <w:r w:rsidR="006E4293">
        <w:rPr>
          <w:rFonts w:asciiTheme="minorEastAsia" w:eastAsiaTheme="minorEastAsia" w:hAnsiTheme="minorEastAsia"/>
          <w:sz w:val="21"/>
          <w:szCs w:val="21"/>
        </w:rPr>
        <w:t>基金</w:t>
      </w:r>
      <w:r w:rsidR="009F37D1">
        <w:rPr>
          <w:rFonts w:asciiTheme="minorEastAsia" w:eastAsiaTheme="minorEastAsia" w:hAnsiTheme="minorEastAsia" w:hint="eastAsia"/>
          <w:sz w:val="21"/>
          <w:szCs w:val="21"/>
        </w:rPr>
        <w:t>筛选标准与</w:t>
      </w:r>
      <w:r w:rsidR="006E4293">
        <w:rPr>
          <w:rFonts w:asciiTheme="minorEastAsia" w:eastAsiaTheme="minorEastAsia" w:hAnsiTheme="minorEastAsia" w:hint="eastAsia"/>
          <w:sz w:val="21"/>
          <w:szCs w:val="21"/>
        </w:rPr>
        <w:t>分析</w:t>
      </w:r>
      <w:r w:rsidR="006E4293">
        <w:rPr>
          <w:rFonts w:asciiTheme="minorEastAsia" w:eastAsiaTheme="minorEastAsia" w:hAnsiTheme="minorEastAsia"/>
          <w:sz w:val="21"/>
          <w:szCs w:val="21"/>
        </w:rPr>
        <w:t>体系</w:t>
      </w:r>
    </w:p>
    <w:p w14:paraId="69421316" w14:textId="77777777" w:rsidR="003D231A" w:rsidRPr="003D231A" w:rsidRDefault="006E4293" w:rsidP="00442114">
      <w:pPr>
        <w:ind w:firstLineChars="250" w:firstLine="525"/>
        <w:rPr>
          <w:rFonts w:asciiTheme="minorEastAsia" w:eastAsiaTheme="minorEastAsia" w:hAnsiTheme="minorEastAsia"/>
          <w:sz w:val="21"/>
          <w:szCs w:val="21"/>
        </w:rPr>
      </w:pPr>
      <w:r w:rsidRPr="006E4293">
        <w:rPr>
          <w:rFonts w:asciiTheme="minorEastAsia" w:eastAsiaTheme="minorEastAsia" w:hAnsiTheme="minorEastAsia" w:hint="eastAsia"/>
          <w:sz w:val="21"/>
          <w:szCs w:val="21"/>
        </w:rPr>
        <w:t>对于于</w:t>
      </w:r>
      <w:r w:rsidR="003D231A">
        <w:rPr>
          <w:rFonts w:asciiTheme="minorEastAsia" w:eastAsiaTheme="minorEastAsia" w:hAnsiTheme="minorEastAsia" w:hint="eastAsia"/>
          <w:sz w:val="21"/>
          <w:szCs w:val="21"/>
        </w:rPr>
        <w:t>行业主题、QDII</w:t>
      </w:r>
      <w:r w:rsidR="00D06465">
        <w:rPr>
          <w:rFonts w:asciiTheme="minorEastAsia" w:eastAsiaTheme="minorEastAsia" w:hAnsiTheme="minorEastAsia" w:hint="eastAsia"/>
          <w:sz w:val="21"/>
          <w:szCs w:val="21"/>
        </w:rPr>
        <w:t>、沪港深及</w:t>
      </w:r>
      <w:r w:rsidR="003D231A">
        <w:rPr>
          <w:rFonts w:asciiTheme="minorEastAsia" w:eastAsiaTheme="minorEastAsia" w:hAnsiTheme="minorEastAsia" w:hint="eastAsia"/>
          <w:sz w:val="21"/>
          <w:szCs w:val="21"/>
        </w:rPr>
        <w:t>指数增强</w:t>
      </w:r>
      <w:r w:rsidR="00D06465">
        <w:rPr>
          <w:rFonts w:asciiTheme="minorEastAsia" w:eastAsiaTheme="minorEastAsia" w:hAnsiTheme="minorEastAsia" w:hint="eastAsia"/>
          <w:sz w:val="21"/>
          <w:szCs w:val="21"/>
        </w:rPr>
        <w:t>公募基金，我们</w:t>
      </w:r>
      <w:r w:rsidR="00442114">
        <w:rPr>
          <w:rFonts w:asciiTheme="minorEastAsia" w:eastAsiaTheme="minorEastAsia" w:hAnsiTheme="minorEastAsia" w:hint="eastAsia"/>
          <w:sz w:val="21"/>
          <w:szCs w:val="21"/>
        </w:rPr>
        <w:t>单独</w:t>
      </w:r>
      <w:r w:rsidR="00D06465">
        <w:rPr>
          <w:rFonts w:asciiTheme="minorEastAsia" w:eastAsiaTheme="minorEastAsia" w:hAnsiTheme="minorEastAsia" w:hint="eastAsia"/>
          <w:sz w:val="21"/>
          <w:szCs w:val="21"/>
        </w:rPr>
        <w:t>建立</w:t>
      </w:r>
      <w:r w:rsidR="00442114">
        <w:rPr>
          <w:rFonts w:asciiTheme="minorEastAsia" w:eastAsiaTheme="minorEastAsia" w:hAnsiTheme="minorEastAsia" w:hint="eastAsia"/>
          <w:sz w:val="21"/>
          <w:szCs w:val="21"/>
        </w:rPr>
        <w:t>基金分析与筛选标准，以</w:t>
      </w:r>
      <w:r w:rsidR="00442114">
        <w:rPr>
          <w:rFonts w:asciiTheme="minorEastAsia" w:eastAsiaTheme="minorEastAsia" w:hAnsiTheme="minorEastAsia"/>
          <w:sz w:val="21"/>
          <w:szCs w:val="21"/>
        </w:rPr>
        <w:t>指数增强类为例</w:t>
      </w:r>
      <w:r w:rsidR="00442114">
        <w:rPr>
          <w:rFonts w:asciiTheme="minorEastAsia" w:eastAsiaTheme="minorEastAsia" w:hAnsiTheme="minorEastAsia" w:hint="eastAsia"/>
          <w:sz w:val="21"/>
          <w:szCs w:val="21"/>
        </w:rPr>
        <w:t>，</w:t>
      </w:r>
      <w:r w:rsidR="000B488C">
        <w:rPr>
          <w:rFonts w:asciiTheme="minorEastAsia" w:eastAsiaTheme="minorEastAsia" w:hAnsiTheme="minorEastAsia" w:hint="eastAsia"/>
          <w:sz w:val="21"/>
          <w:szCs w:val="21"/>
        </w:rPr>
        <w:t>我们同样需要从定量和定性维度</w:t>
      </w:r>
      <w:r w:rsidR="003D231A" w:rsidRPr="003D231A">
        <w:rPr>
          <w:rFonts w:asciiTheme="minorEastAsia" w:eastAsiaTheme="minorEastAsia" w:hAnsiTheme="minorEastAsia" w:hint="eastAsia"/>
          <w:sz w:val="21"/>
          <w:szCs w:val="21"/>
        </w:rPr>
        <w:t>进行考量。</w:t>
      </w:r>
    </w:p>
    <w:p w14:paraId="26E32094" w14:textId="77777777" w:rsidR="000B488C" w:rsidRPr="000B488C" w:rsidRDefault="000B488C" w:rsidP="000B488C">
      <w:pPr>
        <w:ind w:firstLineChars="250" w:firstLine="525"/>
        <w:rPr>
          <w:rFonts w:asciiTheme="minorEastAsia" w:eastAsiaTheme="minorEastAsia" w:hAnsiTheme="minorEastAsia"/>
          <w:sz w:val="21"/>
          <w:szCs w:val="21"/>
        </w:rPr>
      </w:pPr>
      <w:r w:rsidRPr="000B488C">
        <w:rPr>
          <w:rFonts w:asciiTheme="minorEastAsia" w:eastAsiaTheme="minorEastAsia" w:hAnsiTheme="minorEastAsia" w:hint="eastAsia"/>
          <w:sz w:val="21"/>
          <w:szCs w:val="21"/>
          <w:u w:val="single"/>
        </w:rPr>
        <w:t>定量维度：</w:t>
      </w:r>
      <w:r w:rsidRPr="000B488C">
        <w:rPr>
          <w:rFonts w:asciiTheme="minorEastAsia" w:eastAsiaTheme="minorEastAsia" w:hAnsiTheme="minorEastAsia" w:hint="eastAsia"/>
          <w:sz w:val="21"/>
          <w:szCs w:val="21"/>
        </w:rPr>
        <w:t>1、初步筛选样本：剔除仍在建仓期的基金及规模在1亿以下的基金；</w:t>
      </w:r>
      <w:r>
        <w:rPr>
          <w:rFonts w:asciiTheme="minorEastAsia" w:eastAsiaTheme="minorEastAsia" w:hAnsiTheme="minorEastAsia" w:hint="eastAsia"/>
          <w:sz w:val="21"/>
          <w:szCs w:val="21"/>
        </w:rPr>
        <w:t>2、从投资标的上，</w:t>
      </w:r>
      <w:r w:rsidRPr="009F37D1">
        <w:rPr>
          <w:rFonts w:asciiTheme="minorEastAsia" w:eastAsiaTheme="minorEastAsia" w:hAnsiTheme="minorEastAsia" w:hint="eastAsia"/>
          <w:sz w:val="21"/>
          <w:szCs w:val="21"/>
        </w:rPr>
        <w:t>选择布局基于主流宽基指数沪深300和中证500的增强基金，获取超越A</w:t>
      </w:r>
      <w:r>
        <w:rPr>
          <w:rFonts w:asciiTheme="minorEastAsia" w:eastAsiaTheme="minorEastAsia" w:hAnsiTheme="minorEastAsia" w:hint="eastAsia"/>
          <w:sz w:val="21"/>
          <w:szCs w:val="21"/>
        </w:rPr>
        <w:t>股市场的收益；另外，长期来看，红利指数能够跑赢大盘；3、从基金经理方面，</w:t>
      </w:r>
      <w:r w:rsidRPr="009F37D1">
        <w:rPr>
          <w:rFonts w:asciiTheme="minorEastAsia" w:eastAsiaTheme="minorEastAsia" w:hAnsiTheme="minorEastAsia" w:hint="eastAsia"/>
          <w:sz w:val="21"/>
          <w:szCs w:val="21"/>
        </w:rPr>
        <w:t>选择任职期较长、管理的增强基金相对标的指数具有持续超额收益且信息比率稳定在同类前50%</w:t>
      </w:r>
      <w:r>
        <w:rPr>
          <w:rFonts w:asciiTheme="minorEastAsia" w:eastAsiaTheme="minorEastAsia" w:hAnsiTheme="minorEastAsia" w:hint="eastAsia"/>
          <w:sz w:val="21"/>
          <w:szCs w:val="21"/>
        </w:rPr>
        <w:t>的基金经理；4、从投资策略方面，</w:t>
      </w:r>
      <w:r w:rsidRPr="000B488C">
        <w:rPr>
          <w:rFonts w:asciiTheme="minorEastAsia" w:eastAsiaTheme="minorEastAsia" w:hAnsiTheme="minorEastAsia" w:hint="eastAsia"/>
          <w:sz w:val="21"/>
          <w:szCs w:val="21"/>
        </w:rPr>
        <w:t>结合因子的表现情况，观测量化策略的特点，风险暴露情况（如是否行业中性，市值中性）以及适应的市场环境，选择适合当前环境的量化模型。</w:t>
      </w:r>
    </w:p>
    <w:p w14:paraId="72658702" w14:textId="77777777" w:rsidR="000B488C" w:rsidRDefault="000B488C" w:rsidP="000B488C">
      <w:pPr>
        <w:ind w:firstLineChars="250" w:firstLine="525"/>
        <w:rPr>
          <w:rFonts w:asciiTheme="minorEastAsia" w:eastAsiaTheme="minorEastAsia" w:hAnsiTheme="minorEastAsia"/>
          <w:sz w:val="21"/>
          <w:szCs w:val="21"/>
        </w:rPr>
      </w:pPr>
      <w:r w:rsidRPr="000B488C">
        <w:rPr>
          <w:rFonts w:asciiTheme="minorEastAsia" w:eastAsiaTheme="minorEastAsia" w:hAnsiTheme="minorEastAsia" w:hint="eastAsia"/>
          <w:sz w:val="21"/>
          <w:szCs w:val="21"/>
          <w:u w:val="single"/>
        </w:rPr>
        <w:t>定性维度：</w:t>
      </w:r>
      <w:r w:rsidRPr="000B488C">
        <w:rPr>
          <w:rFonts w:asciiTheme="minorEastAsia" w:eastAsiaTheme="minorEastAsia" w:hAnsiTheme="minorEastAsia" w:hint="eastAsia"/>
          <w:sz w:val="21"/>
          <w:szCs w:val="21"/>
        </w:rPr>
        <w:t>通过调研了解基金经理增强目标,增强方式，样本外选股的因子偏好，模型的调整频率和适用性，通过多维度对比分析选择优秀的基金经理</w:t>
      </w:r>
      <w:r w:rsidR="00442114">
        <w:rPr>
          <w:rFonts w:asciiTheme="minorEastAsia" w:eastAsiaTheme="minorEastAsia" w:hAnsiTheme="minorEastAsia" w:hint="eastAsia"/>
          <w:sz w:val="21"/>
          <w:szCs w:val="21"/>
        </w:rPr>
        <w:t>。</w:t>
      </w:r>
    </w:p>
    <w:p w14:paraId="3BF94F3D" w14:textId="77777777" w:rsidR="003340A7" w:rsidRPr="000B488C" w:rsidRDefault="003340A7" w:rsidP="000B488C">
      <w:pPr>
        <w:ind w:firstLineChars="250" w:firstLine="525"/>
        <w:rPr>
          <w:rFonts w:asciiTheme="minorEastAsia" w:eastAsiaTheme="minorEastAsia" w:hAnsiTheme="minorEastAsia"/>
          <w:sz w:val="21"/>
          <w:szCs w:val="21"/>
        </w:rPr>
      </w:pPr>
    </w:p>
    <w:sectPr w:rsidR="003340A7" w:rsidRPr="000B48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30A5E6" w14:textId="77777777" w:rsidR="001A1393" w:rsidRDefault="001A1393" w:rsidP="00DF0B24">
      <w:r>
        <w:separator/>
      </w:r>
    </w:p>
  </w:endnote>
  <w:endnote w:type="continuationSeparator" w:id="0">
    <w:p w14:paraId="38CAF492" w14:textId="77777777" w:rsidR="001A1393" w:rsidRDefault="001A1393" w:rsidP="00DF0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2133AC" w14:textId="77777777" w:rsidR="001A1393" w:rsidRDefault="001A1393" w:rsidP="00DF0B24">
      <w:r>
        <w:separator/>
      </w:r>
    </w:p>
  </w:footnote>
  <w:footnote w:type="continuationSeparator" w:id="0">
    <w:p w14:paraId="1F0A6155" w14:textId="77777777" w:rsidR="001A1393" w:rsidRDefault="001A1393" w:rsidP="00DF0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C6E49"/>
    <w:multiLevelType w:val="hybridMultilevel"/>
    <w:tmpl w:val="4E86F1B2"/>
    <w:lvl w:ilvl="0" w:tplc="0409000F">
      <w:start w:val="1"/>
      <w:numFmt w:val="decimal"/>
      <w:lvlText w:val="%1."/>
      <w:lvlJc w:val="left"/>
      <w:pPr>
        <w:ind w:left="1051" w:hanging="420"/>
      </w:pPr>
    </w:lvl>
    <w:lvl w:ilvl="1" w:tplc="04090019" w:tentative="1">
      <w:start w:val="1"/>
      <w:numFmt w:val="lowerLetter"/>
      <w:lvlText w:val="%2)"/>
      <w:lvlJc w:val="left"/>
      <w:pPr>
        <w:ind w:left="1471" w:hanging="420"/>
      </w:pPr>
    </w:lvl>
    <w:lvl w:ilvl="2" w:tplc="0409001B" w:tentative="1">
      <w:start w:val="1"/>
      <w:numFmt w:val="lowerRoman"/>
      <w:lvlText w:val="%3."/>
      <w:lvlJc w:val="right"/>
      <w:pPr>
        <w:ind w:left="1891" w:hanging="420"/>
      </w:pPr>
    </w:lvl>
    <w:lvl w:ilvl="3" w:tplc="0409000F" w:tentative="1">
      <w:start w:val="1"/>
      <w:numFmt w:val="decimal"/>
      <w:lvlText w:val="%4."/>
      <w:lvlJc w:val="left"/>
      <w:pPr>
        <w:ind w:left="2311" w:hanging="420"/>
      </w:pPr>
    </w:lvl>
    <w:lvl w:ilvl="4" w:tplc="04090019" w:tentative="1">
      <w:start w:val="1"/>
      <w:numFmt w:val="lowerLetter"/>
      <w:lvlText w:val="%5)"/>
      <w:lvlJc w:val="left"/>
      <w:pPr>
        <w:ind w:left="2731" w:hanging="420"/>
      </w:pPr>
    </w:lvl>
    <w:lvl w:ilvl="5" w:tplc="0409001B" w:tentative="1">
      <w:start w:val="1"/>
      <w:numFmt w:val="lowerRoman"/>
      <w:lvlText w:val="%6."/>
      <w:lvlJc w:val="right"/>
      <w:pPr>
        <w:ind w:left="3151" w:hanging="420"/>
      </w:pPr>
    </w:lvl>
    <w:lvl w:ilvl="6" w:tplc="0409000F" w:tentative="1">
      <w:start w:val="1"/>
      <w:numFmt w:val="decimal"/>
      <w:lvlText w:val="%7."/>
      <w:lvlJc w:val="left"/>
      <w:pPr>
        <w:ind w:left="3571" w:hanging="420"/>
      </w:pPr>
    </w:lvl>
    <w:lvl w:ilvl="7" w:tplc="04090019" w:tentative="1">
      <w:start w:val="1"/>
      <w:numFmt w:val="lowerLetter"/>
      <w:lvlText w:val="%8)"/>
      <w:lvlJc w:val="left"/>
      <w:pPr>
        <w:ind w:left="3991" w:hanging="420"/>
      </w:pPr>
    </w:lvl>
    <w:lvl w:ilvl="8" w:tplc="0409001B" w:tentative="1">
      <w:start w:val="1"/>
      <w:numFmt w:val="lowerRoman"/>
      <w:lvlText w:val="%9."/>
      <w:lvlJc w:val="right"/>
      <w:pPr>
        <w:ind w:left="4411" w:hanging="420"/>
      </w:pPr>
    </w:lvl>
  </w:abstractNum>
  <w:abstractNum w:abstractNumId="1" w15:restartNumberingAfterBreak="0">
    <w:nsid w:val="067B4244"/>
    <w:multiLevelType w:val="hybridMultilevel"/>
    <w:tmpl w:val="E9BA4540"/>
    <w:lvl w:ilvl="0" w:tplc="0409000F">
      <w:start w:val="1"/>
      <w:numFmt w:val="decimal"/>
      <w:lvlText w:val="%1."/>
      <w:lvlJc w:val="left"/>
      <w:pPr>
        <w:ind w:left="631" w:hanging="420"/>
      </w:pPr>
    </w:lvl>
    <w:lvl w:ilvl="1" w:tplc="0409000F">
      <w:start w:val="1"/>
      <w:numFmt w:val="decimal"/>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2" w15:restartNumberingAfterBreak="0">
    <w:nsid w:val="0841577E"/>
    <w:multiLevelType w:val="hybridMultilevel"/>
    <w:tmpl w:val="7AB2916E"/>
    <w:lvl w:ilvl="0" w:tplc="0409000F">
      <w:start w:val="1"/>
      <w:numFmt w:val="decimal"/>
      <w:lvlText w:val="%1."/>
      <w:lvlJc w:val="left"/>
      <w:pPr>
        <w:ind w:left="1051" w:hanging="420"/>
      </w:pPr>
    </w:lvl>
    <w:lvl w:ilvl="1" w:tplc="04090019" w:tentative="1">
      <w:start w:val="1"/>
      <w:numFmt w:val="lowerLetter"/>
      <w:lvlText w:val="%2)"/>
      <w:lvlJc w:val="left"/>
      <w:pPr>
        <w:ind w:left="1471" w:hanging="420"/>
      </w:pPr>
    </w:lvl>
    <w:lvl w:ilvl="2" w:tplc="0409001B" w:tentative="1">
      <w:start w:val="1"/>
      <w:numFmt w:val="lowerRoman"/>
      <w:lvlText w:val="%3."/>
      <w:lvlJc w:val="right"/>
      <w:pPr>
        <w:ind w:left="1891" w:hanging="420"/>
      </w:pPr>
    </w:lvl>
    <w:lvl w:ilvl="3" w:tplc="0409000F" w:tentative="1">
      <w:start w:val="1"/>
      <w:numFmt w:val="decimal"/>
      <w:lvlText w:val="%4."/>
      <w:lvlJc w:val="left"/>
      <w:pPr>
        <w:ind w:left="2311" w:hanging="420"/>
      </w:pPr>
    </w:lvl>
    <w:lvl w:ilvl="4" w:tplc="04090019" w:tentative="1">
      <w:start w:val="1"/>
      <w:numFmt w:val="lowerLetter"/>
      <w:lvlText w:val="%5)"/>
      <w:lvlJc w:val="left"/>
      <w:pPr>
        <w:ind w:left="2731" w:hanging="420"/>
      </w:pPr>
    </w:lvl>
    <w:lvl w:ilvl="5" w:tplc="0409001B" w:tentative="1">
      <w:start w:val="1"/>
      <w:numFmt w:val="lowerRoman"/>
      <w:lvlText w:val="%6."/>
      <w:lvlJc w:val="right"/>
      <w:pPr>
        <w:ind w:left="3151" w:hanging="420"/>
      </w:pPr>
    </w:lvl>
    <w:lvl w:ilvl="6" w:tplc="0409000F" w:tentative="1">
      <w:start w:val="1"/>
      <w:numFmt w:val="decimal"/>
      <w:lvlText w:val="%7."/>
      <w:lvlJc w:val="left"/>
      <w:pPr>
        <w:ind w:left="3571" w:hanging="420"/>
      </w:pPr>
    </w:lvl>
    <w:lvl w:ilvl="7" w:tplc="04090019" w:tentative="1">
      <w:start w:val="1"/>
      <w:numFmt w:val="lowerLetter"/>
      <w:lvlText w:val="%8)"/>
      <w:lvlJc w:val="left"/>
      <w:pPr>
        <w:ind w:left="3991" w:hanging="420"/>
      </w:pPr>
    </w:lvl>
    <w:lvl w:ilvl="8" w:tplc="0409001B" w:tentative="1">
      <w:start w:val="1"/>
      <w:numFmt w:val="lowerRoman"/>
      <w:lvlText w:val="%9."/>
      <w:lvlJc w:val="right"/>
      <w:pPr>
        <w:ind w:left="4411" w:hanging="420"/>
      </w:pPr>
    </w:lvl>
  </w:abstractNum>
  <w:abstractNum w:abstractNumId="3" w15:restartNumberingAfterBreak="0">
    <w:nsid w:val="10AD7F2E"/>
    <w:multiLevelType w:val="hybridMultilevel"/>
    <w:tmpl w:val="B5724FC2"/>
    <w:lvl w:ilvl="0" w:tplc="0409000B">
      <w:start w:val="1"/>
      <w:numFmt w:val="bullet"/>
      <w:lvlText w:val=""/>
      <w:lvlJc w:val="left"/>
      <w:pPr>
        <w:ind w:left="947" w:hanging="420"/>
      </w:pPr>
      <w:rPr>
        <w:rFonts w:ascii="Wingdings" w:hAnsi="Wingdings" w:hint="default"/>
      </w:rPr>
    </w:lvl>
    <w:lvl w:ilvl="1" w:tplc="04090003" w:tentative="1">
      <w:start w:val="1"/>
      <w:numFmt w:val="bullet"/>
      <w:lvlText w:val=""/>
      <w:lvlJc w:val="left"/>
      <w:pPr>
        <w:ind w:left="1367" w:hanging="420"/>
      </w:pPr>
      <w:rPr>
        <w:rFonts w:ascii="Wingdings" w:hAnsi="Wingdings" w:hint="default"/>
      </w:rPr>
    </w:lvl>
    <w:lvl w:ilvl="2" w:tplc="04090005" w:tentative="1">
      <w:start w:val="1"/>
      <w:numFmt w:val="bullet"/>
      <w:lvlText w:val=""/>
      <w:lvlJc w:val="left"/>
      <w:pPr>
        <w:ind w:left="1787" w:hanging="420"/>
      </w:pPr>
      <w:rPr>
        <w:rFonts w:ascii="Wingdings" w:hAnsi="Wingdings" w:hint="default"/>
      </w:rPr>
    </w:lvl>
    <w:lvl w:ilvl="3" w:tplc="04090001" w:tentative="1">
      <w:start w:val="1"/>
      <w:numFmt w:val="bullet"/>
      <w:lvlText w:val=""/>
      <w:lvlJc w:val="left"/>
      <w:pPr>
        <w:ind w:left="2207" w:hanging="420"/>
      </w:pPr>
      <w:rPr>
        <w:rFonts w:ascii="Wingdings" w:hAnsi="Wingdings" w:hint="default"/>
      </w:rPr>
    </w:lvl>
    <w:lvl w:ilvl="4" w:tplc="04090003" w:tentative="1">
      <w:start w:val="1"/>
      <w:numFmt w:val="bullet"/>
      <w:lvlText w:val=""/>
      <w:lvlJc w:val="left"/>
      <w:pPr>
        <w:ind w:left="2627" w:hanging="420"/>
      </w:pPr>
      <w:rPr>
        <w:rFonts w:ascii="Wingdings" w:hAnsi="Wingdings" w:hint="default"/>
      </w:rPr>
    </w:lvl>
    <w:lvl w:ilvl="5" w:tplc="04090005" w:tentative="1">
      <w:start w:val="1"/>
      <w:numFmt w:val="bullet"/>
      <w:lvlText w:val=""/>
      <w:lvlJc w:val="left"/>
      <w:pPr>
        <w:ind w:left="3047" w:hanging="420"/>
      </w:pPr>
      <w:rPr>
        <w:rFonts w:ascii="Wingdings" w:hAnsi="Wingdings" w:hint="default"/>
      </w:rPr>
    </w:lvl>
    <w:lvl w:ilvl="6" w:tplc="04090001" w:tentative="1">
      <w:start w:val="1"/>
      <w:numFmt w:val="bullet"/>
      <w:lvlText w:val=""/>
      <w:lvlJc w:val="left"/>
      <w:pPr>
        <w:ind w:left="3467" w:hanging="420"/>
      </w:pPr>
      <w:rPr>
        <w:rFonts w:ascii="Wingdings" w:hAnsi="Wingdings" w:hint="default"/>
      </w:rPr>
    </w:lvl>
    <w:lvl w:ilvl="7" w:tplc="04090003" w:tentative="1">
      <w:start w:val="1"/>
      <w:numFmt w:val="bullet"/>
      <w:lvlText w:val=""/>
      <w:lvlJc w:val="left"/>
      <w:pPr>
        <w:ind w:left="3887" w:hanging="420"/>
      </w:pPr>
      <w:rPr>
        <w:rFonts w:ascii="Wingdings" w:hAnsi="Wingdings" w:hint="default"/>
      </w:rPr>
    </w:lvl>
    <w:lvl w:ilvl="8" w:tplc="04090005" w:tentative="1">
      <w:start w:val="1"/>
      <w:numFmt w:val="bullet"/>
      <w:lvlText w:val=""/>
      <w:lvlJc w:val="left"/>
      <w:pPr>
        <w:ind w:left="4307" w:hanging="420"/>
      </w:pPr>
      <w:rPr>
        <w:rFonts w:ascii="Wingdings" w:hAnsi="Wingdings" w:hint="default"/>
      </w:rPr>
    </w:lvl>
  </w:abstractNum>
  <w:abstractNum w:abstractNumId="4" w15:restartNumberingAfterBreak="0">
    <w:nsid w:val="10C46A15"/>
    <w:multiLevelType w:val="hybridMultilevel"/>
    <w:tmpl w:val="CB88AD60"/>
    <w:lvl w:ilvl="0" w:tplc="0409000F">
      <w:start w:val="1"/>
      <w:numFmt w:val="decimal"/>
      <w:lvlText w:val="%1."/>
      <w:lvlJc w:val="left"/>
      <w:pPr>
        <w:ind w:left="1290" w:hanging="420"/>
      </w:pPr>
    </w:lvl>
    <w:lvl w:ilvl="1" w:tplc="04090019" w:tentative="1">
      <w:start w:val="1"/>
      <w:numFmt w:val="lowerLetter"/>
      <w:lvlText w:val="%2)"/>
      <w:lvlJc w:val="left"/>
      <w:pPr>
        <w:ind w:left="1710" w:hanging="420"/>
      </w:pPr>
    </w:lvl>
    <w:lvl w:ilvl="2" w:tplc="0409001B" w:tentative="1">
      <w:start w:val="1"/>
      <w:numFmt w:val="lowerRoman"/>
      <w:lvlText w:val="%3."/>
      <w:lvlJc w:val="right"/>
      <w:pPr>
        <w:ind w:left="2130" w:hanging="420"/>
      </w:pPr>
    </w:lvl>
    <w:lvl w:ilvl="3" w:tplc="0409000F" w:tentative="1">
      <w:start w:val="1"/>
      <w:numFmt w:val="decimal"/>
      <w:lvlText w:val="%4."/>
      <w:lvlJc w:val="left"/>
      <w:pPr>
        <w:ind w:left="2550" w:hanging="420"/>
      </w:pPr>
    </w:lvl>
    <w:lvl w:ilvl="4" w:tplc="04090019" w:tentative="1">
      <w:start w:val="1"/>
      <w:numFmt w:val="lowerLetter"/>
      <w:lvlText w:val="%5)"/>
      <w:lvlJc w:val="left"/>
      <w:pPr>
        <w:ind w:left="2970" w:hanging="420"/>
      </w:pPr>
    </w:lvl>
    <w:lvl w:ilvl="5" w:tplc="0409001B" w:tentative="1">
      <w:start w:val="1"/>
      <w:numFmt w:val="lowerRoman"/>
      <w:lvlText w:val="%6."/>
      <w:lvlJc w:val="right"/>
      <w:pPr>
        <w:ind w:left="3390" w:hanging="420"/>
      </w:pPr>
    </w:lvl>
    <w:lvl w:ilvl="6" w:tplc="0409000F" w:tentative="1">
      <w:start w:val="1"/>
      <w:numFmt w:val="decimal"/>
      <w:lvlText w:val="%7."/>
      <w:lvlJc w:val="left"/>
      <w:pPr>
        <w:ind w:left="3810" w:hanging="420"/>
      </w:pPr>
    </w:lvl>
    <w:lvl w:ilvl="7" w:tplc="04090019" w:tentative="1">
      <w:start w:val="1"/>
      <w:numFmt w:val="lowerLetter"/>
      <w:lvlText w:val="%8)"/>
      <w:lvlJc w:val="left"/>
      <w:pPr>
        <w:ind w:left="4230" w:hanging="420"/>
      </w:pPr>
    </w:lvl>
    <w:lvl w:ilvl="8" w:tplc="0409001B" w:tentative="1">
      <w:start w:val="1"/>
      <w:numFmt w:val="lowerRoman"/>
      <w:lvlText w:val="%9."/>
      <w:lvlJc w:val="right"/>
      <w:pPr>
        <w:ind w:left="4650" w:hanging="420"/>
      </w:pPr>
    </w:lvl>
  </w:abstractNum>
  <w:abstractNum w:abstractNumId="5" w15:restartNumberingAfterBreak="0">
    <w:nsid w:val="11971105"/>
    <w:multiLevelType w:val="multilevel"/>
    <w:tmpl w:val="49664D50"/>
    <w:lvl w:ilvl="0">
      <w:start w:val="1"/>
      <w:numFmt w:val="decimal"/>
      <w:pStyle w:val="a"/>
      <w:suff w:val="space"/>
      <w:lvlText w:val="%1."/>
      <w:lvlJc w:val="left"/>
      <w:pPr>
        <w:ind w:left="2160" w:firstLine="0"/>
      </w:pPr>
      <w:rPr>
        <w:rFonts w:ascii="Arial" w:eastAsia="楷体_GB2312" w:hAnsi="Arial" w:hint="default"/>
        <w:b/>
        <w:i w:val="0"/>
        <w:color w:val="auto"/>
        <w:sz w:val="30"/>
      </w:rPr>
    </w:lvl>
    <w:lvl w:ilvl="1">
      <w:start w:val="1"/>
      <w:numFmt w:val="decimal"/>
      <w:pStyle w:val="a0"/>
      <w:suff w:val="space"/>
      <w:lvlText w:val="%1.%2."/>
      <w:lvlJc w:val="left"/>
      <w:pPr>
        <w:ind w:left="2160" w:firstLine="0"/>
      </w:pPr>
      <w:rPr>
        <w:rFonts w:ascii="Arial" w:eastAsia="楷体_GB2312" w:hAnsi="Arial" w:hint="default"/>
        <w:b/>
        <w:i w:val="0"/>
        <w:color w:val="auto"/>
        <w:sz w:val="28"/>
      </w:rPr>
    </w:lvl>
    <w:lvl w:ilvl="2">
      <w:start w:val="1"/>
      <w:numFmt w:val="decimal"/>
      <w:pStyle w:val="a1"/>
      <w:suff w:val="space"/>
      <w:lvlText w:val="%1.%2.%3."/>
      <w:lvlJc w:val="left"/>
      <w:pPr>
        <w:ind w:left="2160" w:firstLine="0"/>
      </w:pPr>
      <w:rPr>
        <w:rFonts w:ascii="Arial" w:eastAsia="楷体_GB2312" w:hAnsi="Arial" w:hint="default"/>
        <w:b/>
        <w:i w:val="0"/>
        <w:color w:val="auto"/>
        <w:sz w:val="24"/>
      </w:rPr>
    </w:lvl>
    <w:lvl w:ilvl="3">
      <w:start w:val="1"/>
      <w:numFmt w:val="decimal"/>
      <w:suff w:val="space"/>
      <w:lvlText w:val="%1.%2.%3.%4."/>
      <w:lvlJc w:val="left"/>
      <w:pPr>
        <w:ind w:left="2160" w:firstLine="0"/>
      </w:pPr>
      <w:rPr>
        <w:rFonts w:ascii="等线" w:eastAsia="华文楷体" w:hAnsi="等线" w:hint="default"/>
        <w:color w:val="4D4D4F"/>
        <w:sz w:val="21"/>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DED26C8"/>
    <w:multiLevelType w:val="hybridMultilevel"/>
    <w:tmpl w:val="1F963EF2"/>
    <w:lvl w:ilvl="0" w:tplc="0409000F">
      <w:start w:val="1"/>
      <w:numFmt w:val="decimal"/>
      <w:lvlText w:val="%1."/>
      <w:lvlJc w:val="left"/>
      <w:pPr>
        <w:ind w:left="1051" w:hanging="420"/>
      </w:pPr>
    </w:lvl>
    <w:lvl w:ilvl="1" w:tplc="04090019" w:tentative="1">
      <w:start w:val="1"/>
      <w:numFmt w:val="lowerLetter"/>
      <w:lvlText w:val="%2)"/>
      <w:lvlJc w:val="left"/>
      <w:pPr>
        <w:ind w:left="1471" w:hanging="420"/>
      </w:pPr>
    </w:lvl>
    <w:lvl w:ilvl="2" w:tplc="0409001B" w:tentative="1">
      <w:start w:val="1"/>
      <w:numFmt w:val="lowerRoman"/>
      <w:lvlText w:val="%3."/>
      <w:lvlJc w:val="right"/>
      <w:pPr>
        <w:ind w:left="1891" w:hanging="420"/>
      </w:pPr>
    </w:lvl>
    <w:lvl w:ilvl="3" w:tplc="0409000F" w:tentative="1">
      <w:start w:val="1"/>
      <w:numFmt w:val="decimal"/>
      <w:lvlText w:val="%4."/>
      <w:lvlJc w:val="left"/>
      <w:pPr>
        <w:ind w:left="2311" w:hanging="420"/>
      </w:pPr>
    </w:lvl>
    <w:lvl w:ilvl="4" w:tplc="04090019" w:tentative="1">
      <w:start w:val="1"/>
      <w:numFmt w:val="lowerLetter"/>
      <w:lvlText w:val="%5)"/>
      <w:lvlJc w:val="left"/>
      <w:pPr>
        <w:ind w:left="2731" w:hanging="420"/>
      </w:pPr>
    </w:lvl>
    <w:lvl w:ilvl="5" w:tplc="0409001B" w:tentative="1">
      <w:start w:val="1"/>
      <w:numFmt w:val="lowerRoman"/>
      <w:lvlText w:val="%6."/>
      <w:lvlJc w:val="right"/>
      <w:pPr>
        <w:ind w:left="3151" w:hanging="420"/>
      </w:pPr>
    </w:lvl>
    <w:lvl w:ilvl="6" w:tplc="0409000F" w:tentative="1">
      <w:start w:val="1"/>
      <w:numFmt w:val="decimal"/>
      <w:lvlText w:val="%7."/>
      <w:lvlJc w:val="left"/>
      <w:pPr>
        <w:ind w:left="3571" w:hanging="420"/>
      </w:pPr>
    </w:lvl>
    <w:lvl w:ilvl="7" w:tplc="04090019" w:tentative="1">
      <w:start w:val="1"/>
      <w:numFmt w:val="lowerLetter"/>
      <w:lvlText w:val="%8)"/>
      <w:lvlJc w:val="left"/>
      <w:pPr>
        <w:ind w:left="3991" w:hanging="420"/>
      </w:pPr>
    </w:lvl>
    <w:lvl w:ilvl="8" w:tplc="0409001B" w:tentative="1">
      <w:start w:val="1"/>
      <w:numFmt w:val="lowerRoman"/>
      <w:lvlText w:val="%9."/>
      <w:lvlJc w:val="right"/>
      <w:pPr>
        <w:ind w:left="4411" w:hanging="420"/>
      </w:pPr>
    </w:lvl>
  </w:abstractNum>
  <w:abstractNum w:abstractNumId="7" w15:restartNumberingAfterBreak="0">
    <w:nsid w:val="2F7B3C4F"/>
    <w:multiLevelType w:val="hybridMultilevel"/>
    <w:tmpl w:val="11A2AF6C"/>
    <w:lvl w:ilvl="0" w:tplc="04090013">
      <w:start w:val="1"/>
      <w:numFmt w:val="chineseCountingThousand"/>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21524C1"/>
    <w:multiLevelType w:val="hybridMultilevel"/>
    <w:tmpl w:val="3C7E2F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1"/>
  </w:num>
  <w:num w:numId="3">
    <w:abstractNumId w:val="7"/>
  </w:num>
  <w:num w:numId="4">
    <w:abstractNumId w:val="4"/>
  </w:num>
  <w:num w:numId="5">
    <w:abstractNumId w:val="8"/>
  </w:num>
  <w:num w:numId="6">
    <w:abstractNumId w:val="2"/>
  </w:num>
  <w:num w:numId="7">
    <w:abstractNumId w:val="0"/>
  </w:num>
  <w:num w:numId="8">
    <w:abstractNumId w:val="6"/>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BB0"/>
    <w:rsid w:val="0002783C"/>
    <w:rsid w:val="000B488C"/>
    <w:rsid w:val="000F68A8"/>
    <w:rsid w:val="001426DB"/>
    <w:rsid w:val="001A1393"/>
    <w:rsid w:val="001C0B36"/>
    <w:rsid w:val="001C1ABD"/>
    <w:rsid w:val="001E3B1D"/>
    <w:rsid w:val="0023368B"/>
    <w:rsid w:val="003340A7"/>
    <w:rsid w:val="003D231A"/>
    <w:rsid w:val="00410D83"/>
    <w:rsid w:val="00442114"/>
    <w:rsid w:val="0044238B"/>
    <w:rsid w:val="006E4293"/>
    <w:rsid w:val="0085582D"/>
    <w:rsid w:val="009F37D1"/>
    <w:rsid w:val="00B564FC"/>
    <w:rsid w:val="00C5060A"/>
    <w:rsid w:val="00CE1FFB"/>
    <w:rsid w:val="00D06465"/>
    <w:rsid w:val="00D27842"/>
    <w:rsid w:val="00DD7249"/>
    <w:rsid w:val="00DF0B24"/>
    <w:rsid w:val="00E245ED"/>
    <w:rsid w:val="00F25F92"/>
    <w:rsid w:val="00FA5BB0"/>
    <w:rsid w:val="00FC5ADD"/>
    <w:rsid w:val="00FF4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37A7B"/>
  <w15:docId w15:val="{0AC7A2A6-A4A9-44EB-9DF8-33D6C80D0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F0B24"/>
    <w:pPr>
      <w:widowControl w:val="0"/>
      <w:jc w:val="both"/>
    </w:pPr>
    <w:rPr>
      <w:rFonts w:ascii="Arial" w:eastAsia="宋体" w:hAnsi="Arial" w:cs="Times New Roman"/>
      <w:sz w:val="1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34"/>
    <w:qFormat/>
    <w:rsid w:val="00DF0B24"/>
    <w:pPr>
      <w:ind w:firstLineChars="200" w:firstLine="420"/>
    </w:pPr>
  </w:style>
  <w:style w:type="paragraph" w:customStyle="1" w:styleId="a">
    <w:name w:val="【正文】一级标题"/>
    <w:qFormat/>
    <w:rsid w:val="00DF0B24"/>
    <w:pPr>
      <w:widowControl w:val="0"/>
      <w:numPr>
        <w:numId w:val="1"/>
      </w:numPr>
      <w:spacing w:beforeLines="50" w:before="50" w:afterLines="50" w:after="50" w:line="360" w:lineRule="auto"/>
      <w:outlineLvl w:val="0"/>
    </w:pPr>
    <w:rPr>
      <w:rFonts w:ascii="Arial" w:eastAsia="楷体_GB2312" w:hAnsi="Arial" w:cs="Times New Roman"/>
      <w:b/>
      <w:sz w:val="30"/>
    </w:rPr>
  </w:style>
  <w:style w:type="paragraph" w:customStyle="1" w:styleId="a0">
    <w:name w:val="【正文】二级标题"/>
    <w:qFormat/>
    <w:rsid w:val="00DF0B24"/>
    <w:pPr>
      <w:widowControl w:val="0"/>
      <w:numPr>
        <w:ilvl w:val="1"/>
        <w:numId w:val="1"/>
      </w:numPr>
      <w:spacing w:beforeLines="50" w:before="50" w:afterLines="50" w:after="50" w:line="360" w:lineRule="auto"/>
      <w:ind w:leftChars="1200" w:left="1200"/>
      <w:outlineLvl w:val="1"/>
    </w:pPr>
    <w:rPr>
      <w:rFonts w:ascii="Arial" w:eastAsia="楷体_GB2312" w:hAnsi="Arial" w:cs="Times New Roman"/>
      <w:b/>
      <w:sz w:val="28"/>
    </w:rPr>
  </w:style>
  <w:style w:type="paragraph" w:customStyle="1" w:styleId="a1">
    <w:name w:val="【正文】三级标题"/>
    <w:qFormat/>
    <w:rsid w:val="00DF0B24"/>
    <w:pPr>
      <w:widowControl w:val="0"/>
      <w:numPr>
        <w:ilvl w:val="2"/>
        <w:numId w:val="1"/>
      </w:numPr>
      <w:spacing w:beforeLines="50" w:before="50" w:afterLines="50" w:after="50" w:line="360" w:lineRule="auto"/>
      <w:outlineLvl w:val="2"/>
    </w:pPr>
    <w:rPr>
      <w:rFonts w:ascii="Arial" w:eastAsia="楷体_GB2312" w:hAnsi="Arial" w:cs="Times New Roman"/>
      <w:b/>
      <w:sz w:val="24"/>
    </w:rPr>
  </w:style>
  <w:style w:type="paragraph" w:styleId="a7">
    <w:name w:val="Balloon Text"/>
    <w:basedOn w:val="a2"/>
    <w:link w:val="a8"/>
    <w:uiPriority w:val="99"/>
    <w:semiHidden/>
    <w:unhideWhenUsed/>
    <w:rsid w:val="00DF0B24"/>
    <w:rPr>
      <w:szCs w:val="18"/>
    </w:rPr>
  </w:style>
  <w:style w:type="character" w:customStyle="1" w:styleId="a8">
    <w:name w:val="批注框文本 字符"/>
    <w:basedOn w:val="a3"/>
    <w:link w:val="a7"/>
    <w:uiPriority w:val="99"/>
    <w:semiHidden/>
    <w:rsid w:val="00DF0B24"/>
    <w:rPr>
      <w:rFonts w:ascii="Arial" w:eastAsia="宋体" w:hAnsi="Arial" w:cs="Times New Roman"/>
      <w:sz w:val="18"/>
      <w:szCs w:val="18"/>
    </w:rPr>
  </w:style>
  <w:style w:type="paragraph" w:styleId="a9">
    <w:name w:val="header"/>
    <w:basedOn w:val="a2"/>
    <w:link w:val="aa"/>
    <w:uiPriority w:val="99"/>
    <w:unhideWhenUsed/>
    <w:rsid w:val="00DF0B24"/>
    <w:pPr>
      <w:pBdr>
        <w:bottom w:val="single" w:sz="6" w:space="1" w:color="auto"/>
      </w:pBdr>
      <w:tabs>
        <w:tab w:val="center" w:pos="4153"/>
        <w:tab w:val="right" w:pos="8306"/>
      </w:tabs>
      <w:snapToGrid w:val="0"/>
      <w:jc w:val="center"/>
    </w:pPr>
    <w:rPr>
      <w:szCs w:val="18"/>
    </w:rPr>
  </w:style>
  <w:style w:type="character" w:customStyle="1" w:styleId="aa">
    <w:name w:val="页眉 字符"/>
    <w:basedOn w:val="a3"/>
    <w:link w:val="a9"/>
    <w:uiPriority w:val="99"/>
    <w:rsid w:val="00DF0B24"/>
    <w:rPr>
      <w:rFonts w:ascii="Arial" w:eastAsia="宋体" w:hAnsi="Arial" w:cs="Times New Roman"/>
      <w:sz w:val="18"/>
      <w:szCs w:val="18"/>
    </w:rPr>
  </w:style>
  <w:style w:type="paragraph" w:styleId="ab">
    <w:name w:val="footer"/>
    <w:basedOn w:val="a2"/>
    <w:link w:val="ac"/>
    <w:uiPriority w:val="99"/>
    <w:unhideWhenUsed/>
    <w:rsid w:val="00DF0B24"/>
    <w:pPr>
      <w:tabs>
        <w:tab w:val="center" w:pos="4153"/>
        <w:tab w:val="right" w:pos="8306"/>
      </w:tabs>
      <w:snapToGrid w:val="0"/>
      <w:jc w:val="left"/>
    </w:pPr>
    <w:rPr>
      <w:szCs w:val="18"/>
    </w:rPr>
  </w:style>
  <w:style w:type="character" w:customStyle="1" w:styleId="ac">
    <w:name w:val="页脚 字符"/>
    <w:basedOn w:val="a3"/>
    <w:link w:val="ab"/>
    <w:uiPriority w:val="99"/>
    <w:rsid w:val="00DF0B24"/>
    <w:rPr>
      <w:rFonts w:ascii="Arial" w:eastAsia="宋体" w:hAnsi="Arial"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C803A-80D7-4ECB-BA2C-CF0AD45F4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345</Words>
  <Characters>1972</Characters>
  <Application>Microsoft Office Word</Application>
  <DocSecurity>0</DocSecurity>
  <Lines>16</Lines>
  <Paragraphs>4</Paragraphs>
  <ScaleCrop>false</ScaleCrop>
  <Company>微软中国</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汪 杰</cp:lastModifiedBy>
  <cp:revision>5</cp:revision>
  <dcterms:created xsi:type="dcterms:W3CDTF">2018-10-08T05:39:00Z</dcterms:created>
  <dcterms:modified xsi:type="dcterms:W3CDTF">2020-12-11T06:09:00Z</dcterms:modified>
</cp:coreProperties>
</file>