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b/>
          <w:bCs/>
          <w:color w:val="1F3864"/>
          <w:sz w:val="52"/>
          <w:szCs w:val="52"/>
        </w:rPr>
        <w:t xml:space="preserve">Biometric Data Collection on iOS and Android</w:t>
      </w:r>
    </w:p>
    <w:p>
      <w:pPr>
        <w:spacing w:before="200"/>
        <w:jc w:val="center"/>
      </w:pPr>
      <w:r>
        <w:rPr>
          <w:color w:val="2E74B5"/>
          <w:sz w:val="30"/>
          <w:szCs w:val="30"/>
        </w:rPr>
        <w:t xml:space="preserve">Data Types, Platform Limitations, and Legal Status of Storage</w:t>
      </w:r>
    </w:p>
    <w:p>
      <w:pPr>
        <w:spacing w:before="400"/>
        <w:jc w:val="center"/>
      </w:pPr>
      <w:r>
        <w:rPr>
          <w:sz w:val="24"/>
          <w:szCs w:val="24"/>
        </w:rPr>
        <w:t xml:space="preserve">Prepared for the BQ Connected Medication Dispenser Project</w:t>
      </w:r>
    </w:p>
    <w:p>
      <w:pPr>
        <w:spacing w:before="120"/>
        <w:jc w:val="center"/>
      </w:pPr>
      <w:r>
        <w:rPr>
          <w:color w:val="595959"/>
          <w:sz w:val="22"/>
          <w:szCs w:val="22"/>
        </w:rPr>
        <w:t xml:space="preserve">August 2026 — Internal reference document</w:t>
      </w:r>
    </w:p>
    <w:p>
      <w:pPr>
        <w:spacing w:before="900"/>
        <w:jc w:val="center"/>
      </w:pPr>
      <w:r>
        <w:rPr>
          <w:i/>
          <w:iCs/>
          <w:color w:val="7F7F7F"/>
          <w:sz w:val="20"/>
          <w:szCs w:val="20"/>
        </w:rPr>
        <w:t xml:space="preserve">This document is a technical and regulatory overview, not legal advice. Consult qualified privacy counsel before storing biometric or health data in production.</w:t>
      </w:r>
    </w:p>
    <w:p>
      <w:r>
        <w:br w:type="page"/>
      </w:r>
    </w:p>
    <w:p>
      <w:pPr>
        <w:pStyle w:val="Heading1"/>
        <w:spacing w:after="160" w:before="360"/>
      </w:pPr>
      <w:r>
        <w:rPr>
          <w:color w:val="1F3864"/>
        </w:rPr>
        <w:t xml:space="preserve">1. Scope and Definitions</w:t>
      </w:r>
    </w:p>
    <w:p>
      <w:pPr>
        <w:spacing w:after="140" w:line="276"/>
      </w:pPr>
      <w:r>
        <w:t xml:space="preserve">“Biometric data” covers three distinct classes of data a mobile app can encounter, and the technical and legal rules differ sharply between them. This document uses the following classification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F3864" w:val="clear"/>
            <w:tcMar>
              <w:top w:type="dxa" w:w="80"/>
              <w:left w:type="dxa" w:w="100"/>
              <w:bottom w:type="dxa" w:w="80"/>
              <w:right w:type="dxa" w:w="100"/>
            </w:tcMar>
          </w:tcPr>
          <w:p>
            <w:pPr>
              <w:spacing w:after="40" w:line="252"/>
            </w:pPr>
            <w:r>
              <w:rPr>
                <w:b/>
                <w:bCs/>
                <w:color w:val="FFFFFF"/>
                <w:sz w:val="20"/>
                <w:szCs w:val="20"/>
              </w:rPr>
              <w:t xml:space="preserve">Class</w:t>
            </w:r>
          </w:p>
        </w:tc>
        <w:tc>
          <w:tcPr>
            <w:tcW w:type="dxa" w:w="4160"/>
            <w:shd w:fill="1F3864" w:val="clear"/>
            <w:tcMar>
              <w:top w:type="dxa" w:w="80"/>
              <w:left w:type="dxa" w:w="100"/>
              <w:bottom w:type="dxa" w:w="80"/>
              <w:right w:type="dxa" w:w="100"/>
            </w:tcMar>
          </w:tcPr>
          <w:p>
            <w:pPr>
              <w:spacing w:after="40" w:line="252"/>
            </w:pPr>
            <w:r>
              <w:rPr>
                <w:b/>
                <w:bCs/>
                <w:color w:val="FFFFFF"/>
                <w:sz w:val="20"/>
                <w:szCs w:val="20"/>
              </w:rPr>
              <w:t xml:space="preserve">What it is</w:t>
            </w:r>
          </w:p>
        </w:tc>
        <w:tc>
          <w:tcPr>
            <w:tcW w:type="dxa" w:w="3000"/>
            <w:shd w:fill="1F3864" w:val="clear"/>
            <w:tcMar>
              <w:top w:type="dxa" w:w="80"/>
              <w:left w:type="dxa" w:w="100"/>
              <w:bottom w:type="dxa" w:w="80"/>
              <w:right w:type="dxa" w:w="100"/>
            </w:tcMar>
          </w:tcPr>
          <w:p>
            <w:pPr>
              <w:spacing w:after="40" w:line="252"/>
            </w:pPr>
            <w:r>
              <w:rPr>
                <w:b/>
                <w:bCs/>
                <w:color w:val="FFFFFF"/>
                <w:sz w:val="20"/>
                <w:szCs w:val="20"/>
              </w:rPr>
              <w:t xml:space="preserve">Examples</w:t>
            </w:r>
          </w:p>
        </w:tc>
      </w:tr>
      <w:tr>
        <w:trPr>
          <w:tblHeader w:val="false"/>
        </w:trPr>
        <w:tc>
          <w:tcPr>
            <w:tcW w:type="dxa" w:w="2200"/>
            <w:tcMar>
              <w:top w:type="dxa" w:w="80"/>
              <w:left w:type="dxa" w:w="100"/>
              <w:bottom w:type="dxa" w:w="80"/>
              <w:right w:type="dxa" w:w="100"/>
            </w:tcMar>
          </w:tcPr>
          <w:p>
            <w:pPr>
              <w:spacing w:after="40" w:line="252"/>
            </w:pPr>
            <w:r>
              <w:rPr>
                <w:b w:val="false"/>
                <w:bCs w:val="false"/>
                <w:sz w:val="19"/>
                <w:szCs w:val="19"/>
              </w:rPr>
              <w:t xml:space="preserve">Identity biometrics</w:t>
            </w:r>
          </w:p>
        </w:tc>
        <w:tc>
          <w:tcPr>
            <w:tcW w:type="dxa" w:w="4160"/>
            <w:tcMar>
              <w:top w:type="dxa" w:w="80"/>
              <w:left w:type="dxa" w:w="100"/>
              <w:bottom w:type="dxa" w:w="80"/>
              <w:right w:type="dxa" w:w="100"/>
            </w:tcMar>
          </w:tcPr>
          <w:p>
            <w:pPr>
              <w:spacing w:after="40" w:line="252"/>
            </w:pPr>
            <w:r>
              <w:rPr>
                <w:b w:val="false"/>
                <w:bCs w:val="false"/>
                <w:sz w:val="19"/>
                <w:szCs w:val="19"/>
              </w:rPr>
              <w:t xml:space="preserve">Measurements used to uniquely identify or authenticate a person</w:t>
            </w:r>
          </w:p>
        </w:tc>
        <w:tc>
          <w:tcPr>
            <w:tcW w:type="dxa" w:w="3000"/>
            <w:tcMar>
              <w:top w:type="dxa" w:w="80"/>
              <w:left w:type="dxa" w:w="100"/>
              <w:bottom w:type="dxa" w:w="80"/>
              <w:right w:type="dxa" w:w="100"/>
            </w:tcMar>
          </w:tcPr>
          <w:p>
            <w:pPr>
              <w:spacing w:after="40" w:line="252"/>
            </w:pPr>
            <w:r>
              <w:rPr>
                <w:b w:val="false"/>
                <w:bCs w:val="false"/>
                <w:sz w:val="19"/>
                <w:szCs w:val="19"/>
              </w:rPr>
              <w:t xml:space="preserve">Face ID / fingerprint templates, faceprints, voiceprints, iris scans</w:t>
            </w:r>
          </w:p>
        </w:tc>
      </w:tr>
      <w:tr>
        <w:trPr>
          <w:tblHeader w:val="false"/>
        </w:trPr>
        <w:tc>
          <w:tcPr>
            <w:tcW w:type="dxa" w:w="2200"/>
            <w:shd w:fill="F2F2F2" w:val="clear"/>
            <w:tcMar>
              <w:top w:type="dxa" w:w="80"/>
              <w:left w:type="dxa" w:w="100"/>
              <w:bottom w:type="dxa" w:w="80"/>
              <w:right w:type="dxa" w:w="100"/>
            </w:tcMar>
          </w:tcPr>
          <w:p>
            <w:pPr>
              <w:spacing w:after="40" w:line="252"/>
            </w:pPr>
            <w:r>
              <w:rPr>
                <w:b w:val="false"/>
                <w:bCs w:val="false"/>
                <w:sz w:val="19"/>
                <w:szCs w:val="19"/>
              </w:rPr>
              <w:t xml:space="preserve">Health / vital-sign biometrics</w:t>
            </w:r>
          </w:p>
        </w:tc>
        <w:tc>
          <w:tcPr>
            <w:tcW w:type="dxa" w:w="4160"/>
            <w:shd w:fill="F2F2F2" w:val="clear"/>
            <w:tcMar>
              <w:top w:type="dxa" w:w="80"/>
              <w:left w:type="dxa" w:w="100"/>
              <w:bottom w:type="dxa" w:w="80"/>
              <w:right w:type="dxa" w:w="100"/>
            </w:tcMar>
          </w:tcPr>
          <w:p>
            <w:pPr>
              <w:spacing w:after="40" w:line="252"/>
            </w:pPr>
            <w:r>
              <w:rPr>
                <w:b w:val="false"/>
                <w:bCs w:val="false"/>
                <w:sz w:val="19"/>
                <w:szCs w:val="19"/>
              </w:rPr>
              <w:t xml:space="preserve">Physiological measurements about the body, usually from a watch, sensor, or connected medical device</w:t>
            </w:r>
          </w:p>
        </w:tc>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Heart rate, HRV, ECG, SpO2, blood pressure, blood glucose, temperature, sleep stages</w:t>
            </w:r>
          </w:p>
        </w:tc>
      </w:tr>
      <w:tr>
        <w:trPr>
          <w:tblHeader w:val="false"/>
        </w:trPr>
        <w:tc>
          <w:tcPr>
            <w:tcW w:type="dxa" w:w="2200"/>
            <w:tcMar>
              <w:top w:type="dxa" w:w="80"/>
              <w:left w:type="dxa" w:w="100"/>
              <w:bottom w:type="dxa" w:w="80"/>
              <w:right w:type="dxa" w:w="100"/>
            </w:tcMar>
          </w:tcPr>
          <w:p>
            <w:pPr>
              <w:spacing w:after="40" w:line="252"/>
            </w:pPr>
            <w:r>
              <w:rPr>
                <w:b w:val="false"/>
                <w:bCs w:val="false"/>
                <w:sz w:val="19"/>
                <w:szCs w:val="19"/>
              </w:rPr>
              <w:t xml:space="preserve">Behavioral / sensor-derived</w:t>
            </w:r>
          </w:p>
        </w:tc>
        <w:tc>
          <w:tcPr>
            <w:tcW w:type="dxa" w:w="4160"/>
            <w:tcMar>
              <w:top w:type="dxa" w:w="80"/>
              <w:left w:type="dxa" w:w="100"/>
              <w:bottom w:type="dxa" w:w="80"/>
              <w:right w:type="dxa" w:w="100"/>
            </w:tcMar>
          </w:tcPr>
          <w:p>
            <w:pPr>
              <w:spacing w:after="40" w:line="252"/>
            </w:pPr>
            <w:r>
              <w:rPr>
                <w:b w:val="false"/>
                <w:bCs w:val="false"/>
                <w:sz w:val="19"/>
                <w:szCs w:val="19"/>
              </w:rPr>
              <w:t xml:space="preserve">Patterns derived from device sensors that can characterize or identify a person</w:t>
            </w:r>
          </w:p>
        </w:tc>
        <w:tc>
          <w:tcPr>
            <w:tcW w:type="dxa" w:w="3000"/>
            <w:tcMar>
              <w:top w:type="dxa" w:w="80"/>
              <w:left w:type="dxa" w:w="100"/>
              <w:bottom w:type="dxa" w:w="80"/>
              <w:right w:type="dxa" w:w="100"/>
            </w:tcMar>
          </w:tcPr>
          <w:p>
            <w:pPr>
              <w:spacing w:after="40" w:line="252"/>
            </w:pPr>
            <w:r>
              <w:rPr>
                <w:b w:val="false"/>
                <w:bCs w:val="false"/>
                <w:sz w:val="19"/>
                <w:szCs w:val="19"/>
              </w:rPr>
              <w:t xml:space="preserve">Gait and motion patterns, voice recordings, typing dynamics, camera-based measurements (e.g. rPPG heart rate)</w:t>
            </w:r>
          </w:p>
        </w:tc>
      </w:tr>
    </w:tbl>
    <w:p>
      <w:pPr>
        <w:spacing w:after="140" w:line="276"/>
      </w:pPr>
      <w:r>
        <w:t xml:space="default"/>
      </w:r>
    </w:p>
    <w:p>
      <w:pPr>
        <w:spacing w:after="140" w:line="276"/>
      </w:pPr>
      <w:r>
        <w:rPr>
          <w:b/>
          <w:bCs/>
        </w:rPr>
        <w:t xml:space="preserve">Why the distinction matters: </w:t>
      </w:r>
      <w:r>
        <w:t xml:space="preserve">identity biometrics are the most heavily regulated class and are also the class that neither iOS nor Android will ever hand to an app in raw form. Health and vital-sign data is accessible through platform APIs (HealthKit / Health Connect) but is gated by per-type user permission and strict store policies. Sensor-derived data is technically the easiest to collect and the easiest to under-estimate legally — a voice recording or a gait profile can qualify as regulated biometric data once it is used to identify someone.</w:t>
      </w:r>
    </w:p>
    <w:p>
      <w:pPr>
        <w:spacing w:after="140" w:line="276"/>
      </w:pPr>
      <w:r>
        <w:rPr>
          <w:b/>
          <w:bCs/>
        </w:rPr>
        <w:t xml:space="preserve">Relevance to BQ: </w:t>
      </w:r>
      <w:r>
        <w:t xml:space="preserve">the technician and patient companion apps for the BQ dispenser will plausibly touch all three classes: fingerprint/face unlock of the app, vitals collected around medication adherence (e.g. from a wearable or the device itself over BLE), and possibly voice or camera features. Each class carries a different obligation set, summarized in Section 6.</w:t>
      </w:r>
    </w:p>
    <w:p>
      <w:pPr>
        <w:pStyle w:val="Heading1"/>
        <w:spacing w:after="160" w:before="360"/>
      </w:pPr>
      <w:r>
        <w:rPr>
          <w:color w:val="1F3864"/>
        </w:rPr>
        <w:t xml:space="preserve">2. iOS — What Can Be Collected</w:t>
      </w:r>
    </w:p>
    <w:p>
      <w:pPr>
        <w:pStyle w:val="Heading2"/>
        <w:spacing w:after="120" w:before="280"/>
      </w:pPr>
      <w:r>
        <w:rPr>
          <w:color w:val="2E74B5"/>
        </w:rPr>
        <w:t xml:space="preserve">2.1 Identity biometrics: Face ID, Touch ID, Optic ID</w:t>
      </w:r>
    </w:p>
    <w:p>
      <w:pPr>
        <w:spacing w:after="140" w:line="276"/>
      </w:pPr>
      <w:r>
        <w:t xml:space="preserve">Apps never receive fingerprint images, face geometry, or any biometric template. Enrollment data is encrypted and confined to the Secure Enclave; it never leaves the device and is not included in backups. Third-party apps interact only through the LocalAuthentication framework (or Keychain access-control flags) and receive a boolean success/failure result.</w:t>
      </w:r>
    </w:p>
    <w:p>
      <w:pPr>
        <w:pStyle w:val="ListParagraph"/>
        <w:numPr>
          <w:ilvl w:val="0"/>
          <w:numId w:val="2"/>
        </w:numPr>
        <w:spacing w:after="80" w:line="276"/>
      </w:pPr>
      <w:r>
        <w:rPr>
          <w:b/>
          <w:bCs/>
        </w:rPr>
        <w:t xml:space="preserve">What an app CAN get: </w:t>
      </w:r>
      <w:r>
        <w:t xml:space="preserve">a yes/no authentication result; whether biometrics are enrolled and which type (Face ID / Touch ID / Optic ID); a notification that the enrollment set has changed (evaluatedPolicyDomainState) — useful for invalidating stored credentials.</w:t>
      </w:r>
    </w:p>
    <w:p>
      <w:pPr>
        <w:pStyle w:val="ListParagraph"/>
        <w:numPr>
          <w:ilvl w:val="0"/>
          <w:numId w:val="2"/>
        </w:numPr>
        <w:spacing w:after="80" w:line="276"/>
      </w:pPr>
      <w:r>
        <w:rPr>
          <w:b/>
          <w:bCs/>
        </w:rPr>
        <w:t xml:space="preserve">What an app CANNOT get: </w:t>
      </w:r>
      <w:r>
        <w:t xml:space="preserve">raw sensor data, templates, face images from the Face ID sensor, match scores, or the identity of which enrolled finger/face matched.</w:t>
      </w:r>
    </w:p>
    <w:p>
      <w:pPr>
        <w:pStyle w:val="ListParagraph"/>
        <w:numPr>
          <w:ilvl w:val="0"/>
          <w:numId w:val="2"/>
        </w:numPr>
        <w:spacing w:after="80" w:line="276"/>
      </w:pPr>
      <w:r>
        <w:rPr>
          <w:b/>
          <w:bCs/>
        </w:rPr>
        <w:t xml:space="preserve">TrueDepth / ARKit caveat: </w:t>
      </w:r>
      <w:r>
        <w:t xml:space="preserve">an app can access a live face mesh (ARKit face tracking) with camera permission, but Apple contractually prohibits using ARKit face data to identify users, build user profiles, or for advertising; misuse is grounds for rejection and developer-agreement violation.</w:t>
      </w:r>
    </w:p>
    <w:p>
      <w:pPr>
        <w:spacing w:after="140" w:line="276"/>
      </w:pPr>
      <w:r>
        <w:rPr>
          <w:b/>
          <w:bCs/>
        </w:rPr>
        <w:t xml:space="preserve">Practical consequence: </w:t>
      </w:r>
      <w:r>
        <w:t xml:space="preserve">“storing Face ID data” is not a thing an iOS app can do. What you can store is the outcome of an authentication event, or a cryptographic key that is only released after biometric authentication (Keychain with .biometryCurrentSet). This is also the recommended design for the BQ apps: gate secrets behind biometrics rather than collecting biometrics.</w:t>
      </w:r>
    </w:p>
    <w:p>
      <w:pPr>
        <w:pStyle w:val="Heading2"/>
        <w:spacing w:after="120" w:before="280"/>
      </w:pPr>
      <w:r>
        <w:rPr>
          <w:color w:val="2E74B5"/>
        </w:rPr>
        <w:t xml:space="preserve">2.2 Health and vital-sign data: HealthKit</w:t>
      </w:r>
    </w:p>
    <w:p>
      <w:pPr>
        <w:spacing w:after="140" w:line="276"/>
      </w:pPr>
      <w:r>
        <w:t xml:space="preserve">HealthKit is the sole sanctioned channel for reading health data on iOS. It exposes well over 100 quantity/category types. The ones most relevant to a medication-adherence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1F3864" w:val="clear"/>
            <w:tcMar>
              <w:top w:type="dxa" w:w="80"/>
              <w:left w:type="dxa" w:w="100"/>
              <w:bottom w:type="dxa" w:w="80"/>
              <w:right w:type="dxa" w:w="100"/>
            </w:tcMar>
          </w:tcPr>
          <w:p>
            <w:pPr>
              <w:spacing w:after="40" w:line="252"/>
            </w:pPr>
            <w:r>
              <w:rPr>
                <w:b/>
                <w:bCs/>
                <w:color w:val="FFFFFF"/>
                <w:sz w:val="20"/>
                <w:szCs w:val="20"/>
              </w:rPr>
              <w:t xml:space="preserve">Data type</w:t>
            </w:r>
          </w:p>
        </w:tc>
        <w:tc>
          <w:tcPr>
            <w:tcW w:type="dxa" w:w="3800"/>
            <w:shd w:fill="1F3864" w:val="clear"/>
            <w:tcMar>
              <w:top w:type="dxa" w:w="80"/>
              <w:left w:type="dxa" w:w="100"/>
              <w:bottom w:type="dxa" w:w="80"/>
              <w:right w:type="dxa" w:w="100"/>
            </w:tcMar>
          </w:tcPr>
          <w:p>
            <w:pPr>
              <w:spacing w:after="40" w:line="252"/>
            </w:pPr>
            <w:r>
              <w:rPr>
                <w:b/>
                <w:bCs/>
                <w:color w:val="FFFFFF"/>
                <w:sz w:val="20"/>
                <w:szCs w:val="20"/>
              </w:rPr>
              <w:t xml:space="preserve">Source</w:t>
            </w:r>
          </w:p>
        </w:tc>
        <w:tc>
          <w:tcPr>
            <w:tcW w:type="dxa" w:w="2560"/>
            <w:shd w:fill="1F3864" w:val="clear"/>
            <w:tcMar>
              <w:top w:type="dxa" w:w="80"/>
              <w:left w:type="dxa" w:w="100"/>
              <w:bottom w:type="dxa" w:w="80"/>
              <w:right w:type="dxa" w:w="100"/>
            </w:tcMar>
          </w:tcPr>
          <w:p>
            <w:pPr>
              <w:spacing w:after="40" w:line="252"/>
            </w:pPr>
            <w:r>
              <w:rPr>
                <w:b/>
                <w:bCs/>
                <w:color w:val="FFFFFF"/>
                <w:sz w:val="20"/>
                <w:szCs w:val="20"/>
              </w:rPr>
              <w:t xml:space="preserve">Notes</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Heart rate (continuous, resting, walking avg.)</w:t>
            </w:r>
          </w:p>
        </w:tc>
        <w:tc>
          <w:tcPr>
            <w:tcW w:type="dxa" w:w="3800"/>
            <w:tcMar>
              <w:top w:type="dxa" w:w="80"/>
              <w:left w:type="dxa" w:w="100"/>
              <w:bottom w:type="dxa" w:w="80"/>
              <w:right w:type="dxa" w:w="100"/>
            </w:tcMar>
          </w:tcPr>
          <w:p>
            <w:pPr>
              <w:spacing w:after="40" w:line="252"/>
            </w:pPr>
            <w:r>
              <w:rPr>
                <w:b w:val="false"/>
                <w:bCs w:val="false"/>
                <w:sz w:val="19"/>
                <w:szCs w:val="19"/>
              </w:rPr>
              <w:t xml:space="preserve">Apple Watch, 3rd-party BLE monitors</w:t>
            </w:r>
          </w:p>
        </w:tc>
        <w:tc>
          <w:tcPr>
            <w:tcW w:type="dxa" w:w="2560"/>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Heart rate variability (SDNN)</w:t>
            </w:r>
          </w:p>
        </w:tc>
        <w:tc>
          <w:tcPr>
            <w:tcW w:type="dxa" w:w="3800"/>
            <w:shd w:fill="F2F2F2" w:val="clear"/>
            <w:tcMar>
              <w:top w:type="dxa" w:w="80"/>
              <w:left w:type="dxa" w:w="100"/>
              <w:bottom w:type="dxa" w:w="80"/>
              <w:right w:type="dxa" w:w="100"/>
            </w:tcMar>
          </w:tcPr>
          <w:p>
            <w:pPr>
              <w:spacing w:after="40" w:line="252"/>
            </w:pPr>
            <w:r>
              <w:rPr>
                <w:b w:val="false"/>
                <w:bCs w:val="false"/>
                <w:sz w:val="19"/>
                <w:szCs w:val="19"/>
              </w:rPr>
              <w:t xml:space="preserve">Apple Watch</w:t>
            </w:r>
          </w:p>
        </w:tc>
        <w:tc>
          <w:tcPr>
            <w:tcW w:type="dxa" w:w="2560"/>
            <w:shd w:fill="F2F2F2" w:val="clear"/>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ECG waveform + classification</w:t>
            </w:r>
          </w:p>
        </w:tc>
        <w:tc>
          <w:tcPr>
            <w:tcW w:type="dxa" w:w="3800"/>
            <w:tcMar>
              <w:top w:type="dxa" w:w="80"/>
              <w:left w:type="dxa" w:w="100"/>
              <w:bottom w:type="dxa" w:w="80"/>
              <w:right w:type="dxa" w:w="100"/>
            </w:tcMar>
          </w:tcPr>
          <w:p>
            <w:pPr>
              <w:spacing w:after="40" w:line="252"/>
            </w:pPr>
            <w:r>
              <w:rPr>
                <w:b w:val="false"/>
                <w:bCs w:val="false"/>
                <w:sz w:val="19"/>
                <w:szCs w:val="19"/>
              </w:rPr>
              <w:t xml:space="preserve">Apple Watch Series 4+</w:t>
            </w:r>
          </w:p>
        </w:tc>
        <w:tc>
          <w:tcPr>
            <w:tcW w:type="dxa" w:w="2560"/>
            <w:tcMar>
              <w:top w:type="dxa" w:w="80"/>
              <w:left w:type="dxa" w:w="100"/>
              <w:bottom w:type="dxa" w:w="80"/>
              <w:right w:type="dxa" w:w="100"/>
            </w:tcMar>
          </w:tcPr>
          <w:p>
            <w:pPr>
              <w:spacing w:after="40" w:line="252"/>
            </w:pPr>
            <w:r>
              <w:rPr>
                <w:b w:val="false"/>
                <w:bCs w:val="false"/>
                <w:sz w:val="19"/>
                <w:szCs w:val="19"/>
              </w:rPr>
              <w:t xml:space="preserve">READ-ONLY — apps cannot write ECG samples</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Blood oxygen (SpO2)</w:t>
            </w:r>
          </w:p>
        </w:tc>
        <w:tc>
          <w:tcPr>
            <w:tcW w:type="dxa" w:w="3800"/>
            <w:shd w:fill="F2F2F2" w:val="clear"/>
            <w:tcMar>
              <w:top w:type="dxa" w:w="80"/>
              <w:left w:type="dxa" w:w="100"/>
              <w:bottom w:type="dxa" w:w="80"/>
              <w:right w:type="dxa" w:w="100"/>
            </w:tcMar>
          </w:tcPr>
          <w:p>
            <w:pPr>
              <w:spacing w:after="40" w:line="252"/>
            </w:pPr>
            <w:r>
              <w:rPr>
                <w:b w:val="false"/>
                <w:bCs w:val="false"/>
                <w:sz w:val="19"/>
                <w:szCs w:val="19"/>
              </w:rPr>
              <w:t xml:space="preserve">Apple Watch Series 6+, pulse oximeters</w:t>
            </w:r>
          </w:p>
        </w:tc>
        <w:tc>
          <w:tcPr>
            <w:tcW w:type="dxa" w:w="2560"/>
            <w:shd w:fill="F2F2F2" w:val="clear"/>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Respiratory rate</w:t>
            </w:r>
          </w:p>
        </w:tc>
        <w:tc>
          <w:tcPr>
            <w:tcW w:type="dxa" w:w="3800"/>
            <w:tcMar>
              <w:top w:type="dxa" w:w="80"/>
              <w:left w:type="dxa" w:w="100"/>
              <w:bottom w:type="dxa" w:w="80"/>
              <w:right w:type="dxa" w:w="100"/>
            </w:tcMar>
          </w:tcPr>
          <w:p>
            <w:pPr>
              <w:spacing w:after="40" w:line="252"/>
            </w:pPr>
            <w:r>
              <w:rPr>
                <w:b w:val="false"/>
                <w:bCs w:val="false"/>
                <w:sz w:val="19"/>
                <w:szCs w:val="19"/>
              </w:rPr>
              <w:t xml:space="preserve">Apple Watch (during sleep)</w:t>
            </w:r>
          </w:p>
        </w:tc>
        <w:tc>
          <w:tcPr>
            <w:tcW w:type="dxa" w:w="2560"/>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Blood pressure</w:t>
            </w:r>
          </w:p>
        </w:tc>
        <w:tc>
          <w:tcPr>
            <w:tcW w:type="dxa" w:w="3800"/>
            <w:shd w:fill="F2F2F2" w:val="clear"/>
            <w:tcMar>
              <w:top w:type="dxa" w:w="80"/>
              <w:left w:type="dxa" w:w="100"/>
              <w:bottom w:type="dxa" w:w="80"/>
              <w:right w:type="dxa" w:w="100"/>
            </w:tcMar>
          </w:tcPr>
          <w:p>
            <w:pPr>
              <w:spacing w:after="40" w:line="252"/>
            </w:pPr>
            <w:r>
              <w:rPr>
                <w:b w:val="false"/>
                <w:bCs w:val="false"/>
                <w:sz w:val="19"/>
                <w:szCs w:val="19"/>
              </w:rPr>
              <w:t xml:space="preserve">Connected cuffs or manual entry</w:t>
            </w:r>
          </w:p>
        </w:tc>
        <w:tc>
          <w:tcPr>
            <w:tcW w:type="dxa" w:w="2560"/>
            <w:shd w:fill="F2F2F2" w:val="clear"/>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Blood glucose</w:t>
            </w:r>
          </w:p>
        </w:tc>
        <w:tc>
          <w:tcPr>
            <w:tcW w:type="dxa" w:w="3800"/>
            <w:tcMar>
              <w:top w:type="dxa" w:w="80"/>
              <w:left w:type="dxa" w:w="100"/>
              <w:bottom w:type="dxa" w:w="80"/>
              <w:right w:type="dxa" w:w="100"/>
            </w:tcMar>
          </w:tcPr>
          <w:p>
            <w:pPr>
              <w:spacing w:after="40" w:line="252"/>
            </w:pPr>
            <w:r>
              <w:rPr>
                <w:b w:val="false"/>
                <w:bCs w:val="false"/>
                <w:sz w:val="19"/>
                <w:szCs w:val="19"/>
              </w:rPr>
              <w:t xml:space="preserve">CGMs or manual entry</w:t>
            </w:r>
          </w:p>
        </w:tc>
        <w:tc>
          <w:tcPr>
            <w:tcW w:type="dxa" w:w="2560"/>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Body / wrist temperature</w:t>
            </w:r>
          </w:p>
        </w:tc>
        <w:tc>
          <w:tcPr>
            <w:tcW w:type="dxa" w:w="3800"/>
            <w:shd w:fill="F2F2F2" w:val="clear"/>
            <w:tcMar>
              <w:top w:type="dxa" w:w="80"/>
              <w:left w:type="dxa" w:w="100"/>
              <w:bottom w:type="dxa" w:w="80"/>
              <w:right w:type="dxa" w:w="100"/>
            </w:tcMar>
          </w:tcPr>
          <w:p>
            <w:pPr>
              <w:spacing w:after="40" w:line="252"/>
            </w:pPr>
            <w:r>
              <w:rPr>
                <w:b w:val="false"/>
                <w:bCs w:val="false"/>
                <w:sz w:val="19"/>
                <w:szCs w:val="19"/>
              </w:rPr>
              <w:t xml:space="preserve">Apple Watch Series 8+, thermometers</w:t>
            </w:r>
          </w:p>
        </w:tc>
        <w:tc>
          <w:tcPr>
            <w:tcW w:type="dxa" w:w="2560"/>
            <w:shd w:fill="F2F2F2" w:val="clear"/>
            <w:tcMar>
              <w:top w:type="dxa" w:w="80"/>
              <w:left w:type="dxa" w:w="100"/>
              <w:bottom w:type="dxa" w:w="80"/>
              <w:right w:type="dxa" w:w="100"/>
            </w:tcMar>
          </w:tcPr>
          <w:p>
            <w:pPr>
              <w:spacing w:after="40" w:line="252"/>
            </w:pPr>
            <w:r>
              <w:rPr>
                <w:b w:val="false"/>
                <w:bCs w:val="false"/>
                <w:sz w:val="19"/>
                <w:szCs w:val="19"/>
              </w:rPr>
              <w:t xml:space="preserve">Wrist temp is read-only</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Sleep analysis incl. stages (REM/core/deep)</w:t>
            </w:r>
          </w:p>
        </w:tc>
        <w:tc>
          <w:tcPr>
            <w:tcW w:type="dxa" w:w="3800"/>
            <w:tcMar>
              <w:top w:type="dxa" w:w="80"/>
              <w:left w:type="dxa" w:w="100"/>
              <w:bottom w:type="dxa" w:w="80"/>
              <w:right w:type="dxa" w:w="100"/>
            </w:tcMar>
          </w:tcPr>
          <w:p>
            <w:pPr>
              <w:spacing w:after="40" w:line="252"/>
            </w:pPr>
            <w:r>
              <w:rPr>
                <w:b w:val="false"/>
                <w:bCs w:val="false"/>
                <w:sz w:val="19"/>
                <w:szCs w:val="19"/>
              </w:rPr>
              <w:t xml:space="preserve">Apple Watch (watchOS 9+), 3rd-party</w:t>
            </w:r>
          </w:p>
        </w:tc>
        <w:tc>
          <w:tcPr>
            <w:tcW w:type="dxa" w:w="2560"/>
            <w:tcMar>
              <w:top w:type="dxa" w:w="80"/>
              <w:left w:type="dxa" w:w="100"/>
              <w:bottom w:type="dxa" w:w="80"/>
              <w:right w:type="dxa" w:w="100"/>
            </w:tcMar>
          </w:tcPr>
          <w:p>
            <w:pPr>
              <w:spacing w:after="40" w:line="252"/>
            </w:pPr>
            <w:r>
              <w:rPr>
                <w:b w:val="false"/>
                <w:bCs w:val="false"/>
                <w:sz w:val="19"/>
                <w:szCs w:val="19"/>
              </w:rPr>
              <w:t xml:space="preserve">Read/write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VO2 max, walking steadiness, gait metrics</w:t>
            </w:r>
          </w:p>
        </w:tc>
        <w:tc>
          <w:tcPr>
            <w:tcW w:type="dxa" w:w="3800"/>
            <w:shd w:fill="F2F2F2" w:val="clear"/>
            <w:tcMar>
              <w:top w:type="dxa" w:w="80"/>
              <w:left w:type="dxa" w:w="100"/>
              <w:bottom w:type="dxa" w:w="80"/>
              <w:right w:type="dxa" w:w="100"/>
            </w:tcMar>
          </w:tcPr>
          <w:p>
            <w:pPr>
              <w:spacing w:after="40" w:line="252"/>
            </w:pPr>
            <w:r>
              <w:rPr>
                <w:b w:val="false"/>
                <w:bCs w:val="false"/>
                <w:sz w:val="19"/>
                <w:szCs w:val="19"/>
              </w:rPr>
              <w:t xml:space="preserve">Watch/iPhone motion co-processor</w:t>
            </w:r>
          </w:p>
        </w:tc>
        <w:tc>
          <w:tcPr>
            <w:tcW w:type="dxa" w:w="2560"/>
            <w:shd w:fill="F2F2F2" w:val="clear"/>
            <w:tcMar>
              <w:top w:type="dxa" w:w="80"/>
              <w:left w:type="dxa" w:w="100"/>
              <w:bottom w:type="dxa" w:w="80"/>
              <w:right w:type="dxa" w:w="100"/>
            </w:tcMar>
          </w:tcPr>
          <w:p>
            <w:pPr>
              <w:spacing w:after="40" w:line="252"/>
            </w:pPr>
            <w:r>
              <w:rPr>
                <w:b w:val="false"/>
                <w:bCs w:val="false"/>
                <w:sz w:val="19"/>
                <w:szCs w:val="19"/>
              </w:rPr>
              <w:t xml:space="preserve">Mostly read-only</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Steps, distance, energy, workouts</w:t>
            </w:r>
          </w:p>
        </w:tc>
        <w:tc>
          <w:tcPr>
            <w:tcW w:type="dxa" w:w="3800"/>
            <w:tcMar>
              <w:top w:type="dxa" w:w="80"/>
              <w:left w:type="dxa" w:w="100"/>
              <w:bottom w:type="dxa" w:w="80"/>
              <w:right w:type="dxa" w:w="100"/>
            </w:tcMar>
          </w:tcPr>
          <w:p>
            <w:pPr>
              <w:spacing w:after="40" w:line="252"/>
            </w:pPr>
            <w:r>
              <w:rPr>
                <w:b w:val="false"/>
                <w:bCs w:val="false"/>
                <w:sz w:val="19"/>
                <w:szCs w:val="19"/>
              </w:rPr>
              <w:t xml:space="preserve">iPhone + Watch</w:t>
            </w:r>
          </w:p>
        </w:tc>
        <w:tc>
          <w:tcPr>
            <w:tcW w:type="dxa" w:w="2560"/>
            <w:tcMar>
              <w:top w:type="dxa" w:w="80"/>
              <w:left w:type="dxa" w:w="100"/>
              <w:bottom w:type="dxa" w:w="80"/>
              <w:right w:type="dxa" w:w="100"/>
            </w:tcMar>
          </w:tcPr>
          <w:p>
            <w:pPr>
              <w:spacing w:after="40" w:line="252"/>
            </w:pPr>
            <w:r>
              <w:rPr>
                <w:b w:val="false"/>
                <w:bCs w:val="false"/>
                <w:sz w:val="19"/>
                <w:szCs w:val="19"/>
              </w:rPr>
              <w:t xml:space="preserve">Read/write</w:t>
            </w:r>
          </w:p>
        </w:tc>
      </w:tr>
    </w:tbl>
    <w:p>
      <w:pPr>
        <w:spacing w:after="140" w:line="276"/>
      </w:pPr>
      <w:r>
        <w:t xml:space="default"/>
      </w:r>
    </w:p>
    <w:p>
      <w:pPr>
        <w:spacing w:after="140" w:line="276"/>
      </w:pPr>
      <w:r>
        <w:t xml:space="preserve">Key limitations:</w:t>
      </w:r>
    </w:p>
    <w:p>
      <w:pPr>
        <w:pStyle w:val="ListParagraph"/>
        <w:numPr>
          <w:ilvl w:val="0"/>
          <w:numId w:val="2"/>
        </w:numPr>
        <w:spacing w:after="80" w:line="276"/>
      </w:pPr>
      <w:r>
        <w:t xml:space="preserve">Per-type permissions: the user grants read access one data type at a time and can revoke any of them at any point. An app is never told that read permission was denied or revoked — queries simply return empty results (a deliberate privacy feature that BQ sync logic must tolerate).</w:t>
      </w:r>
    </w:p>
    <w:p>
      <w:pPr>
        <w:pStyle w:val="ListParagraph"/>
        <w:numPr>
          <w:ilvl w:val="0"/>
          <w:numId w:val="2"/>
        </w:numPr>
        <w:spacing w:after="80" w:line="276"/>
      </w:pPr>
      <w:r>
        <w:t xml:space="preserve">No server-side API: Apple offers no cloud endpoint for Health data. Reading requires your iOS app running on the phone; export to your backend is your app’s responsibility — and your legal responsibility begins at that moment.</w:t>
      </w:r>
    </w:p>
    <w:p>
      <w:pPr>
        <w:pStyle w:val="ListParagraph"/>
        <w:numPr>
          <w:ilvl w:val="0"/>
          <w:numId w:val="2"/>
        </w:numPr>
        <w:spacing w:after="80" w:line="276"/>
      </w:pPr>
      <w:r>
        <w:t xml:space="preserve">Background delivery is throttled (immediate/hourly/daily observer queries) and requires the app to be installed and permitted; iPad is not supported for most HealthKit scenarios (iOS 17+ added limited support).</w:t>
      </w:r>
    </w:p>
    <w:p>
      <w:pPr>
        <w:pStyle w:val="ListParagraph"/>
        <w:numPr>
          <w:ilvl w:val="0"/>
          <w:numId w:val="2"/>
        </w:numPr>
        <w:spacing w:after="80" w:line="276"/>
      </w:pPr>
      <w:r>
        <w:t xml:space="preserve">Apple App Store Guideline 5.1.3: apps may not use HealthKit data for advertising, marketing, or data-mining; may not sell it to data brokers; may not store health data in iCloud; must publish a privacy policy; and health data collected must be tied to delivering a health service the user asked for. Violations are a common rejection cause for health apps.</w:t>
      </w:r>
    </w:p>
    <w:p>
      <w:pPr>
        <w:pStyle w:val="Heading2"/>
        <w:spacing w:after="120" w:before="280"/>
      </w:pPr>
      <w:r>
        <w:rPr>
          <w:color w:val="2E74B5"/>
        </w:rPr>
        <w:t xml:space="preserve">2.3 Behavioral and sensor-derived data</w:t>
      </w:r>
    </w:p>
    <w:p>
      <w:pPr>
        <w:pStyle w:val="ListParagraph"/>
        <w:numPr>
          <w:ilvl w:val="0"/>
          <w:numId w:val="2"/>
        </w:numPr>
        <w:spacing w:after="80" w:line="276"/>
      </w:pPr>
      <w:r>
        <w:rPr>
          <w:b/>
          <w:bCs/>
        </w:rPr>
        <w:t xml:space="preserve">Camera: </w:t>
      </w:r>
      <w:r>
        <w:t xml:space="preserve">with permission, an app can capture face images or video and compute anything from them (including remote photoplethysmography — heart rate from skin color changes). The moment such processing identifies a person or measures health, it falls under biometric/health regulation even though the OS treats it as “just camera”.</w:t>
      </w:r>
    </w:p>
    <w:p>
      <w:pPr>
        <w:pStyle w:val="ListParagraph"/>
        <w:numPr>
          <w:ilvl w:val="0"/>
          <w:numId w:val="2"/>
        </w:numPr>
        <w:spacing w:after="80" w:line="276"/>
      </w:pPr>
      <w:r>
        <w:rPr>
          <w:b/>
          <w:bCs/>
        </w:rPr>
        <w:t xml:space="preserve">Microphone: </w:t>
      </w:r>
      <w:r>
        <w:t xml:space="preserve">voice recording requires permission; deriving a voiceprint for identification turns it into regulated identity biometrics in most jurisdictions.</w:t>
      </w:r>
    </w:p>
    <w:p>
      <w:pPr>
        <w:pStyle w:val="ListParagraph"/>
        <w:numPr>
          <w:ilvl w:val="0"/>
          <w:numId w:val="2"/>
        </w:numPr>
        <w:spacing w:after="80" w:line="276"/>
      </w:pPr>
      <w:r>
        <w:rPr>
          <w:b/>
          <w:bCs/>
        </w:rPr>
        <w:t xml:space="preserve">Motion sensors: </w:t>
      </w:r>
      <w:r>
        <w:t xml:space="preserve">accelerometer/gyroscope via Core Motion require no runtime permission dialog (motion-and-fitness permission covers pedometer/activity data). Gait and tremor analysis is feasible and is health data once used that way.</w:t>
      </w:r>
    </w:p>
    <w:p>
      <w:r>
        <w:br w:type="page"/>
      </w:r>
    </w:p>
    <w:p>
      <w:pPr>
        <w:pStyle w:val="Heading1"/>
        <w:spacing w:after="160" w:before="360"/>
      </w:pPr>
      <w:r>
        <w:rPr>
          <w:color w:val="1F3864"/>
        </w:rPr>
        <w:t xml:space="preserve">3. Android — What Can Be Collected</w:t>
      </w:r>
    </w:p>
    <w:p>
      <w:pPr>
        <w:pStyle w:val="Heading2"/>
        <w:spacing w:after="120" w:before="280"/>
      </w:pPr>
      <w:r>
        <w:rPr>
          <w:color w:val="2E74B5"/>
        </w:rPr>
        <w:t xml:space="preserve">3.1 Identity biometrics: BiometricPrompt</w:t>
      </w:r>
    </w:p>
    <w:p>
      <w:pPr>
        <w:spacing w:after="140" w:line="276"/>
      </w:pPr>
      <w:r>
        <w:t xml:space="preserve">Android mirrors Apple’s architecture: fingerprint, face, and iris data are processed in secure hardware (TEE / StrongBox) and are never exposed to apps. Apps call BiometricPrompt and receive an authentication result, optionally bound to a hardware-backed CryptoObject key.</w:t>
      </w:r>
    </w:p>
    <w:p>
      <w:pPr>
        <w:pStyle w:val="ListParagraph"/>
        <w:numPr>
          <w:ilvl w:val="0"/>
          <w:numId w:val="2"/>
        </w:numPr>
        <w:spacing w:after="80" w:line="276"/>
      </w:pPr>
      <w:r>
        <w:t xml:space="preserve">Android classifies biometric sensors as Class 3 (strong), Class 2 (weak), or Class 1 (convenience). Only Class 3 can unlock Keystore keys. On many mid-range devices, camera-based face unlock is Class 2 — sufficient for screen unlock but not for cryptographic key release. The BQ apps should require BIOMETRIC_STRONG when protecting credentials.</w:t>
      </w:r>
    </w:p>
    <w:p>
      <w:pPr>
        <w:pStyle w:val="ListParagraph"/>
        <w:numPr>
          <w:ilvl w:val="0"/>
          <w:numId w:val="2"/>
        </w:numPr>
        <w:spacing w:after="80" w:line="276"/>
      </w:pPr>
      <w:r>
        <w:t xml:space="preserve">Raw fingerprint/face images and templates never leave the secure hardware, are not extractable by apps, and enrollment cannot be read — an app can only ask “can this device authenticate?” and “did the user just pass?”.</w:t>
      </w:r>
    </w:p>
    <w:p>
      <w:pPr>
        <w:pStyle w:val="ListParagraph"/>
        <w:numPr>
          <w:ilvl w:val="0"/>
          <w:numId w:val="2"/>
        </w:numPr>
        <w:spacing w:after="80" w:line="276"/>
      </w:pPr>
      <w:r>
        <w:t xml:space="preserve">As with iOS, a face image captured through the ordinary Camera API is NOT protected by this architecture — an app that photographs a face and computes an embedding has created regulated biometric data of its own.</w:t>
      </w:r>
    </w:p>
    <w:p>
      <w:pPr>
        <w:pStyle w:val="Heading2"/>
        <w:spacing w:after="120" w:before="280"/>
      </w:pPr>
      <w:r>
        <w:rPr>
          <w:color w:val="2E74B5"/>
        </w:rPr>
        <w:t xml:space="preserve">3.2 Health and vital-sign data: Health Connect</w:t>
      </w:r>
    </w:p>
    <w:p>
      <w:pPr>
        <w:spacing w:after="140" w:line="276"/>
      </w:pPr>
      <w:r>
        <w:t xml:space="preserve">Health Connect is now the standard health data layer on Android (bundled since Android 14; Google Fit APIs are being retired — support ends in 2026). It stores data on-device and mediates access between apps (Samsung Health, Fitbit, Garmin, etc. write into it). Supported vitals/biometric types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tcPr>
          <w:p>
            <w:pPr>
              <w:spacing w:after="40" w:line="252"/>
            </w:pPr>
            <w:r>
              <w:rPr>
                <w:b/>
                <w:bCs/>
                <w:color w:val="FFFFFF"/>
                <w:sz w:val="20"/>
                <w:szCs w:val="20"/>
              </w:rPr>
              <w:t xml:space="preserve">Category</w:t>
            </w:r>
          </w:p>
        </w:tc>
        <w:tc>
          <w:tcPr>
            <w:tcW w:type="dxa" w:w="6360"/>
            <w:shd w:fill="1F3864" w:val="clear"/>
            <w:tcMar>
              <w:top w:type="dxa" w:w="80"/>
              <w:left w:type="dxa" w:w="100"/>
              <w:bottom w:type="dxa" w:w="80"/>
              <w:right w:type="dxa" w:w="100"/>
            </w:tcMar>
          </w:tcPr>
          <w:p>
            <w:pPr>
              <w:spacing w:after="40" w:line="252"/>
            </w:pPr>
            <w:r>
              <w:rPr>
                <w:b/>
                <w:bCs/>
                <w:color w:val="FFFFFF"/>
                <w:sz w:val="20"/>
                <w:szCs w:val="20"/>
              </w:rPr>
              <w:t xml:space="preserve">Types</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Cardiovascular</w:t>
            </w:r>
          </w:p>
        </w:tc>
        <w:tc>
          <w:tcPr>
            <w:tcW w:type="dxa" w:w="6360"/>
            <w:tcMar>
              <w:top w:type="dxa" w:w="80"/>
              <w:left w:type="dxa" w:w="100"/>
              <w:bottom w:type="dxa" w:w="80"/>
              <w:right w:type="dxa" w:w="100"/>
            </w:tcMar>
          </w:tcPr>
          <w:p>
            <w:pPr>
              <w:spacing w:after="40" w:line="252"/>
            </w:pPr>
            <w:r>
              <w:rPr>
                <w:b w:val="false"/>
                <w:bCs w:val="false"/>
                <w:sz w:val="19"/>
                <w:szCs w:val="19"/>
              </w:rPr>
              <w:t xml:space="preserve">Heart rate (series), resting heart rate, heart rate variability (RMSSD), blood pressure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Respiratory / oxygen</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Oxygen saturation (SpO2), respiratory rate</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Temperature</w:t>
            </w:r>
          </w:p>
        </w:tc>
        <w:tc>
          <w:tcPr>
            <w:tcW w:type="dxa" w:w="6360"/>
            <w:tcMar>
              <w:top w:type="dxa" w:w="80"/>
              <w:left w:type="dxa" w:w="100"/>
              <w:bottom w:type="dxa" w:w="80"/>
              <w:right w:type="dxa" w:w="100"/>
            </w:tcMar>
          </w:tcPr>
          <w:p>
            <w:pPr>
              <w:spacing w:after="40" w:line="252"/>
            </w:pPr>
            <w:r>
              <w:rPr>
                <w:b w:val="false"/>
                <w:bCs w:val="false"/>
                <w:sz w:val="19"/>
                <w:szCs w:val="19"/>
              </w:rPr>
              <w:t xml:space="preserve">Body temperature, basal body temperature, skin temperature (series)</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Metabolic</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Blood glucose, basal metabolic rate, VO2 max</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Body composition</w:t>
            </w:r>
          </w:p>
        </w:tc>
        <w:tc>
          <w:tcPr>
            <w:tcW w:type="dxa" w:w="6360"/>
            <w:tcMar>
              <w:top w:type="dxa" w:w="80"/>
              <w:left w:type="dxa" w:w="100"/>
              <w:bottom w:type="dxa" w:w="80"/>
              <w:right w:type="dxa" w:w="100"/>
            </w:tcMar>
          </w:tcPr>
          <w:p>
            <w:pPr>
              <w:spacing w:after="40" w:line="252"/>
            </w:pPr>
            <w:r>
              <w:rPr>
                <w:b w:val="false"/>
                <w:bCs w:val="false"/>
                <w:sz w:val="19"/>
                <w:szCs w:val="19"/>
              </w:rPr>
              <w:t xml:space="preserve">Weight, height, body fat, lean body mass, bone mass, body water mass</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Sleep</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Sleep sessions with stages</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Activity</w:t>
            </w:r>
          </w:p>
        </w:tc>
        <w:tc>
          <w:tcPr>
            <w:tcW w:type="dxa" w:w="6360"/>
            <w:tcMar>
              <w:top w:type="dxa" w:w="80"/>
              <w:left w:type="dxa" w:w="100"/>
              <w:bottom w:type="dxa" w:w="80"/>
              <w:right w:type="dxa" w:w="100"/>
            </w:tcMar>
          </w:tcPr>
          <w:p>
            <w:pPr>
              <w:spacing w:after="40" w:line="252"/>
            </w:pPr>
            <w:r>
              <w:rPr>
                <w:b w:val="false"/>
                <w:bCs w:val="false"/>
                <w:sz w:val="19"/>
                <w:szCs w:val="19"/>
              </w:rPr>
              <w:t xml:space="preserve">Steps, distance, exercise sessions, calories, power, speed, cadence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Cycle tracking / wellness</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Menstruation, ovulation, mindfulness sessions</w:t>
            </w:r>
          </w:p>
        </w:tc>
      </w:tr>
    </w:tbl>
    <w:p>
      <w:pPr>
        <w:spacing w:after="140" w:line="276"/>
      </w:pPr>
      <w:r>
        <w:t xml:space="default"/>
      </w:r>
    </w:p>
    <w:p>
      <w:pPr>
        <w:spacing w:after="140" w:line="276"/>
      </w:pPr>
      <w:r>
        <w:t xml:space="preserve">Key limitations:</w:t>
      </w:r>
    </w:p>
    <w:p>
      <w:pPr>
        <w:pStyle w:val="ListParagraph"/>
        <w:numPr>
          <w:ilvl w:val="0"/>
          <w:numId w:val="2"/>
        </w:numPr>
        <w:spacing w:after="80" w:line="276"/>
      </w:pPr>
      <w:r>
        <w:t xml:space="preserve">Granular runtime permissions per data type, shown in a system permission sheet; users can revoke per type or wipe all data. Reads of historical data are limited to 30 days before the first permission grant unless the user approves extended history access.</w:t>
      </w:r>
    </w:p>
    <w:p>
      <w:pPr>
        <w:pStyle w:val="ListParagraph"/>
        <w:numPr>
          <w:ilvl w:val="0"/>
          <w:numId w:val="2"/>
        </w:numPr>
        <w:spacing w:after="80" w:line="276"/>
      </w:pPr>
      <w:r>
        <w:t xml:space="preserve">Background reads require a separate permission (READ_HEALTH_DATA_IN_BACKGROUND, Android 15+); otherwise the app must be in the foreground to read.</w:t>
      </w:r>
    </w:p>
    <w:p>
      <w:pPr>
        <w:pStyle w:val="ListParagraph"/>
        <w:numPr>
          <w:ilvl w:val="0"/>
          <w:numId w:val="2"/>
        </w:numPr>
        <w:spacing w:after="80" w:line="276"/>
      </w:pPr>
      <w:r>
        <w:t xml:space="preserve">Play Store gatekeeping: apps requesting Health Connect permissions must submit a declaration form to Google, fit an approved use case (fitness, medical care, health research, etc.), publish a privacy policy, and comply with the Health Content &amp; Services / Health Apps policy — advertising use and sale of health data are prohibited (“limited use” requirements similar to Apple’s).</w:t>
      </w:r>
    </w:p>
    <w:p>
      <w:pPr>
        <w:pStyle w:val="ListParagraph"/>
        <w:numPr>
          <w:ilvl w:val="0"/>
          <w:numId w:val="2"/>
        </w:numPr>
        <w:spacing w:after="80" w:line="276"/>
      </w:pPr>
      <w:r>
        <w:t xml:space="preserve">Legacy BODY_SENSORS permission (direct heart-rate sensor access) is deprecated as of Android 16 in favor of the granular Health Connect-style permissions (e.g. READ_HEART_RATE).</w:t>
      </w:r>
    </w:p>
    <w:p>
      <w:pPr>
        <w:pStyle w:val="Heading2"/>
        <w:spacing w:after="120" w:before="280"/>
      </w:pPr>
      <w:r>
        <w:rPr>
          <w:color w:val="2E74B5"/>
        </w:rPr>
        <w:t xml:space="preserve">3.3 Behavioral and sensor-derived data</w:t>
      </w:r>
    </w:p>
    <w:p>
      <w:pPr>
        <w:pStyle w:val="ListParagraph"/>
        <w:numPr>
          <w:ilvl w:val="0"/>
          <w:numId w:val="2"/>
        </w:numPr>
        <w:spacing w:after="80" w:line="276"/>
      </w:pPr>
      <w:r>
        <w:rPr>
          <w:b/>
          <w:bCs/>
        </w:rPr>
        <w:t xml:space="preserve">Camera / microphone: </w:t>
      </w:r>
      <w:r>
        <w:t xml:space="preserve">same as iOS — permission-gated, and anything derived (face embeddings, voiceprints, rPPG vitals) becomes regulated data created by your app.</w:t>
      </w:r>
    </w:p>
    <w:p>
      <w:pPr>
        <w:pStyle w:val="ListParagraph"/>
        <w:numPr>
          <w:ilvl w:val="0"/>
          <w:numId w:val="2"/>
        </w:numPr>
        <w:spacing w:after="80" w:line="276"/>
      </w:pPr>
      <w:r>
        <w:rPr>
          <w:b/>
          <w:bCs/>
        </w:rPr>
        <w:t xml:space="preserve">Motion sensors: </w:t>
      </w:r>
      <w:r>
        <w:t xml:space="preserve">accelerometer/gyroscope are readable without any permission below 200 Hz sampling; ACTIVITY_RECOGNITION permission is needed for step counting / activity detection. Research shows motion data alone can fingerprint gait — treat high-frequency IMU logging as potentially biometric.</w:t>
      </w:r>
    </w:p>
    <w:p>
      <w:pPr>
        <w:pStyle w:val="Heading1"/>
        <w:spacing w:after="160" w:before="360"/>
      </w:pPr>
      <w:r>
        <w:rPr>
          <w:color w:val="1F3864"/>
        </w:rPr>
        <w:t xml:space="preserve">4. iOS vs Android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F3864" w:val="clear"/>
            <w:tcMar>
              <w:top w:type="dxa" w:w="80"/>
              <w:left w:type="dxa" w:w="100"/>
              <w:bottom w:type="dxa" w:w="80"/>
              <w:right w:type="dxa" w:w="100"/>
            </w:tcMar>
          </w:tcPr>
          <w:p>
            <w:pPr>
              <w:spacing w:after="40" w:line="252"/>
            </w:pPr>
            <w:r>
              <w:rPr>
                <w:b/>
                <w:bCs/>
                <w:color w:val="FFFFFF"/>
                <w:sz w:val="20"/>
                <w:szCs w:val="20"/>
              </w:rPr>
              <w:t xml:space="preserve">Capability</w:t>
            </w:r>
          </w:p>
        </w:tc>
        <w:tc>
          <w:tcPr>
            <w:tcW w:type="dxa" w:w="3280"/>
            <w:shd w:fill="1F3864" w:val="clear"/>
            <w:tcMar>
              <w:top w:type="dxa" w:w="80"/>
              <w:left w:type="dxa" w:w="100"/>
              <w:bottom w:type="dxa" w:w="80"/>
              <w:right w:type="dxa" w:w="100"/>
            </w:tcMar>
          </w:tcPr>
          <w:p>
            <w:pPr>
              <w:spacing w:after="40" w:line="252"/>
            </w:pPr>
            <w:r>
              <w:rPr>
                <w:b/>
                <w:bCs/>
                <w:color w:val="FFFFFF"/>
                <w:sz w:val="20"/>
                <w:szCs w:val="20"/>
              </w:rPr>
              <w:t xml:space="preserve">iOS</w:t>
            </w:r>
          </w:p>
        </w:tc>
        <w:tc>
          <w:tcPr>
            <w:tcW w:type="dxa" w:w="3280"/>
            <w:shd w:fill="1F3864" w:val="clear"/>
            <w:tcMar>
              <w:top w:type="dxa" w:w="80"/>
              <w:left w:type="dxa" w:w="100"/>
              <w:bottom w:type="dxa" w:w="80"/>
              <w:right w:type="dxa" w:w="100"/>
            </w:tcMar>
          </w:tcPr>
          <w:p>
            <w:pPr>
              <w:spacing w:after="40" w:line="252"/>
            </w:pPr>
            <w:r>
              <w:rPr>
                <w:b/>
                <w:bCs/>
                <w:color w:val="FFFFFF"/>
                <w:sz w:val="20"/>
                <w:szCs w:val="20"/>
              </w:rPr>
              <w:t xml:space="preserve">Android</w:t>
            </w:r>
          </w:p>
        </w:tc>
      </w:tr>
      <w:tr>
        <w:trPr>
          <w:tblHeader w:val="false"/>
        </w:trPr>
        <w:tc>
          <w:tcPr>
            <w:tcW w:type="dxa" w:w="2800"/>
            <w:tcMar>
              <w:top w:type="dxa" w:w="80"/>
              <w:left w:type="dxa" w:w="100"/>
              <w:bottom w:type="dxa" w:w="80"/>
              <w:right w:type="dxa" w:w="100"/>
            </w:tcMar>
          </w:tcPr>
          <w:p>
            <w:pPr>
              <w:spacing w:after="40" w:line="252"/>
            </w:pPr>
            <w:r>
              <w:rPr>
                <w:b w:val="false"/>
                <w:bCs w:val="false"/>
                <w:sz w:val="19"/>
                <w:szCs w:val="19"/>
              </w:rPr>
              <w:t xml:space="preserve">Raw fingerprint / face template access</w:t>
            </w:r>
          </w:p>
        </w:tc>
        <w:tc>
          <w:tcPr>
            <w:tcW w:type="dxa" w:w="3280"/>
            <w:tcMar>
              <w:top w:type="dxa" w:w="80"/>
              <w:left w:type="dxa" w:w="100"/>
              <w:bottom w:type="dxa" w:w="80"/>
              <w:right w:type="dxa" w:w="100"/>
            </w:tcMar>
          </w:tcPr>
          <w:p>
            <w:pPr>
              <w:spacing w:after="40" w:line="252"/>
            </w:pPr>
            <w:r>
              <w:rPr>
                <w:b w:val="false"/>
                <w:bCs w:val="false"/>
                <w:sz w:val="19"/>
                <w:szCs w:val="19"/>
              </w:rPr>
              <w:t xml:space="preserve">Never (Secure Enclave)</w:t>
            </w:r>
          </w:p>
        </w:tc>
        <w:tc>
          <w:tcPr>
            <w:tcW w:type="dxa" w:w="3280"/>
            <w:tcMar>
              <w:top w:type="dxa" w:w="80"/>
              <w:left w:type="dxa" w:w="100"/>
              <w:bottom w:type="dxa" w:w="80"/>
              <w:right w:type="dxa" w:w="100"/>
            </w:tcMar>
          </w:tcPr>
          <w:p>
            <w:pPr>
              <w:spacing w:after="40" w:line="252"/>
            </w:pPr>
            <w:r>
              <w:rPr>
                <w:b w:val="false"/>
                <w:bCs w:val="false"/>
                <w:sz w:val="19"/>
                <w:szCs w:val="19"/>
              </w:rPr>
              <w:t xml:space="preserve">Never (TEE / StrongBox)</w:t>
            </w:r>
          </w:p>
        </w:tc>
      </w:tr>
      <w:tr>
        <w:trPr>
          <w:tblHeader w:val="false"/>
        </w:trPr>
        <w:tc>
          <w:tcPr>
            <w:tcW w:type="dxa" w:w="2800"/>
            <w:shd w:fill="F2F2F2" w:val="clear"/>
            <w:tcMar>
              <w:top w:type="dxa" w:w="80"/>
              <w:left w:type="dxa" w:w="100"/>
              <w:bottom w:type="dxa" w:w="80"/>
              <w:right w:type="dxa" w:w="100"/>
            </w:tcMar>
          </w:tcPr>
          <w:p>
            <w:pPr>
              <w:spacing w:after="40" w:line="252"/>
            </w:pPr>
            <w:r>
              <w:rPr>
                <w:b w:val="false"/>
                <w:bCs w:val="false"/>
                <w:sz w:val="19"/>
                <w:szCs w:val="19"/>
              </w:rPr>
              <w:t xml:space="preserve">Auth result available to app</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Yes — LocalAuthentication / Keychain</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Yes — BiometricPrompt / Keystore</w:t>
            </w:r>
          </w:p>
        </w:tc>
      </w:tr>
      <w:tr>
        <w:trPr>
          <w:tblHeader w:val="false"/>
        </w:trPr>
        <w:tc>
          <w:tcPr>
            <w:tcW w:type="dxa" w:w="2800"/>
            <w:tcMar>
              <w:top w:type="dxa" w:w="80"/>
              <w:left w:type="dxa" w:w="100"/>
              <w:bottom w:type="dxa" w:w="80"/>
              <w:right w:type="dxa" w:w="100"/>
            </w:tcMar>
          </w:tcPr>
          <w:p>
            <w:pPr>
              <w:spacing w:after="40" w:line="252"/>
            </w:pPr>
            <w:r>
              <w:rPr>
                <w:b w:val="false"/>
                <w:bCs w:val="false"/>
                <w:sz w:val="19"/>
                <w:szCs w:val="19"/>
              </w:rPr>
              <w:t xml:space="preserve">Detect biometric re-enrollment</w:t>
            </w:r>
          </w:p>
        </w:tc>
        <w:tc>
          <w:tcPr>
            <w:tcW w:type="dxa" w:w="3280"/>
            <w:tcMar>
              <w:top w:type="dxa" w:w="80"/>
              <w:left w:type="dxa" w:w="100"/>
              <w:bottom w:type="dxa" w:w="80"/>
              <w:right w:type="dxa" w:w="100"/>
            </w:tcMar>
          </w:tcPr>
          <w:p>
            <w:pPr>
              <w:spacing w:after="40" w:line="252"/>
            </w:pPr>
            <w:r>
              <w:rPr>
                <w:b w:val="false"/>
                <w:bCs w:val="false"/>
                <w:sz w:val="19"/>
                <w:szCs w:val="19"/>
              </w:rPr>
              <w:t xml:space="preserve">Yes (evaluatedPolicyDomainState)</w:t>
            </w:r>
          </w:p>
        </w:tc>
        <w:tc>
          <w:tcPr>
            <w:tcW w:type="dxa" w:w="3280"/>
            <w:tcMar>
              <w:top w:type="dxa" w:w="80"/>
              <w:left w:type="dxa" w:w="100"/>
              <w:bottom w:type="dxa" w:w="80"/>
              <w:right w:type="dxa" w:w="100"/>
            </w:tcMar>
          </w:tcPr>
          <w:p>
            <w:pPr>
              <w:spacing w:after="40" w:line="252"/>
            </w:pPr>
            <w:r>
              <w:rPr>
                <w:b w:val="false"/>
                <w:bCs w:val="false"/>
                <w:sz w:val="19"/>
                <w:szCs w:val="19"/>
              </w:rPr>
              <w:t xml:space="preserve">Partially (key invalidation on enrollment change)</w:t>
            </w:r>
          </w:p>
        </w:tc>
      </w:tr>
      <w:tr>
        <w:trPr>
          <w:tblHeader w:val="false"/>
        </w:trPr>
        <w:tc>
          <w:tcPr>
            <w:tcW w:type="dxa" w:w="2800"/>
            <w:shd w:fill="F2F2F2" w:val="clear"/>
            <w:tcMar>
              <w:top w:type="dxa" w:w="80"/>
              <w:left w:type="dxa" w:w="100"/>
              <w:bottom w:type="dxa" w:w="80"/>
              <w:right w:type="dxa" w:w="100"/>
            </w:tcMar>
          </w:tcPr>
          <w:p>
            <w:pPr>
              <w:spacing w:after="40" w:line="252"/>
            </w:pPr>
            <w:r>
              <w:rPr>
                <w:b w:val="false"/>
                <w:bCs w:val="false"/>
                <w:sz w:val="19"/>
                <w:szCs w:val="19"/>
              </w:rPr>
              <w:t xml:space="preserve">Health data API</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HealthKit (device-only store)</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Health Connect (device-only store)</w:t>
            </w:r>
          </w:p>
        </w:tc>
      </w:tr>
      <w:tr>
        <w:trPr>
          <w:tblHeader w:val="false"/>
        </w:trPr>
        <w:tc>
          <w:tcPr>
            <w:tcW w:type="dxa" w:w="2800"/>
            <w:tcMar>
              <w:top w:type="dxa" w:w="80"/>
              <w:left w:type="dxa" w:w="100"/>
              <w:bottom w:type="dxa" w:w="80"/>
              <w:right w:type="dxa" w:w="100"/>
            </w:tcMar>
          </w:tcPr>
          <w:p>
            <w:pPr>
              <w:spacing w:after="40" w:line="252"/>
            </w:pPr>
            <w:r>
              <w:rPr>
                <w:b w:val="false"/>
                <w:bCs w:val="false"/>
                <w:sz w:val="19"/>
                <w:szCs w:val="19"/>
              </w:rPr>
              <w:t xml:space="preserve">ECG access</w:t>
            </w:r>
          </w:p>
        </w:tc>
        <w:tc>
          <w:tcPr>
            <w:tcW w:type="dxa" w:w="3280"/>
            <w:tcMar>
              <w:top w:type="dxa" w:w="80"/>
              <w:left w:type="dxa" w:w="100"/>
              <w:bottom w:type="dxa" w:w="80"/>
              <w:right w:type="dxa" w:w="100"/>
            </w:tcMar>
          </w:tcPr>
          <w:p>
            <w:pPr>
              <w:spacing w:after="40" w:line="252"/>
            </w:pPr>
            <w:r>
              <w:rPr>
                <w:b w:val="false"/>
                <w:bCs w:val="false"/>
                <w:sz w:val="19"/>
                <w:szCs w:val="19"/>
              </w:rPr>
              <w:t xml:space="preserve">Read-only (Watch-generated)</w:t>
            </w:r>
          </w:p>
        </w:tc>
        <w:tc>
          <w:tcPr>
            <w:tcW w:type="dxa" w:w="3280"/>
            <w:tcMar>
              <w:top w:type="dxa" w:w="80"/>
              <w:left w:type="dxa" w:w="100"/>
              <w:bottom w:type="dxa" w:w="80"/>
              <w:right w:type="dxa" w:w="100"/>
            </w:tcMar>
          </w:tcPr>
          <w:p>
            <w:pPr>
              <w:spacing w:after="40" w:line="252"/>
            </w:pPr>
            <w:r>
              <w:rPr>
                <w:b w:val="false"/>
                <w:bCs w:val="false"/>
                <w:sz w:val="19"/>
                <w:szCs w:val="19"/>
              </w:rPr>
              <w:t xml:space="preserve">Not in Health Connect core types; vendor SDKs only</w:t>
            </w:r>
          </w:p>
        </w:tc>
      </w:tr>
      <w:tr>
        <w:trPr>
          <w:tblHeader w:val="false"/>
        </w:trPr>
        <w:tc>
          <w:tcPr>
            <w:tcW w:type="dxa" w:w="2800"/>
            <w:shd w:fill="F2F2F2" w:val="clear"/>
            <w:tcMar>
              <w:top w:type="dxa" w:w="80"/>
              <w:left w:type="dxa" w:w="100"/>
              <w:bottom w:type="dxa" w:w="80"/>
              <w:right w:type="dxa" w:w="100"/>
            </w:tcMar>
          </w:tcPr>
          <w:p>
            <w:pPr>
              <w:spacing w:after="40" w:line="252"/>
            </w:pPr>
            <w:r>
              <w:rPr>
                <w:b w:val="false"/>
                <w:bCs w:val="false"/>
                <w:sz w:val="19"/>
                <w:szCs w:val="19"/>
              </w:rPr>
              <w:t xml:space="preserve">Server-side health API</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None</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None (Google Fit REST deprecated)</w:t>
            </w:r>
          </w:p>
        </w:tc>
      </w:tr>
      <w:tr>
        <w:trPr>
          <w:tblHeader w:val="false"/>
        </w:trPr>
        <w:tc>
          <w:tcPr>
            <w:tcW w:type="dxa" w:w="2800"/>
            <w:tcMar>
              <w:top w:type="dxa" w:w="80"/>
              <w:left w:type="dxa" w:w="100"/>
              <w:bottom w:type="dxa" w:w="80"/>
              <w:right w:type="dxa" w:w="100"/>
            </w:tcMar>
          </w:tcPr>
          <w:p>
            <w:pPr>
              <w:spacing w:after="40" w:line="252"/>
            </w:pPr>
            <w:r>
              <w:rPr>
                <w:b w:val="false"/>
                <w:bCs w:val="false"/>
                <w:sz w:val="19"/>
                <w:szCs w:val="19"/>
              </w:rPr>
              <w:t xml:space="preserve">Background health reads</w:t>
            </w:r>
          </w:p>
        </w:tc>
        <w:tc>
          <w:tcPr>
            <w:tcW w:type="dxa" w:w="3280"/>
            <w:tcMar>
              <w:top w:type="dxa" w:w="80"/>
              <w:left w:type="dxa" w:w="100"/>
              <w:bottom w:type="dxa" w:w="80"/>
              <w:right w:type="dxa" w:w="100"/>
            </w:tcMar>
          </w:tcPr>
          <w:p>
            <w:pPr>
              <w:spacing w:after="40" w:line="252"/>
            </w:pPr>
            <w:r>
              <w:rPr>
                <w:b w:val="false"/>
                <w:bCs w:val="false"/>
                <w:sz w:val="19"/>
                <w:szCs w:val="19"/>
              </w:rPr>
              <w:t xml:space="preserve">Observer queries, throttled</w:t>
            </w:r>
          </w:p>
        </w:tc>
        <w:tc>
          <w:tcPr>
            <w:tcW w:type="dxa" w:w="3280"/>
            <w:tcMar>
              <w:top w:type="dxa" w:w="80"/>
              <w:left w:type="dxa" w:w="100"/>
              <w:bottom w:type="dxa" w:w="80"/>
              <w:right w:type="dxa" w:w="100"/>
            </w:tcMar>
          </w:tcPr>
          <w:p>
            <w:pPr>
              <w:spacing w:after="40" w:line="252"/>
            </w:pPr>
            <w:r>
              <w:rPr>
                <w:b w:val="false"/>
                <w:bCs w:val="false"/>
                <w:sz w:val="19"/>
                <w:szCs w:val="19"/>
              </w:rPr>
              <w:t xml:space="preserve">Separate permission, Android 15+</w:t>
            </w:r>
          </w:p>
        </w:tc>
      </w:tr>
      <w:tr>
        <w:trPr>
          <w:tblHeader w:val="false"/>
        </w:trPr>
        <w:tc>
          <w:tcPr>
            <w:tcW w:type="dxa" w:w="2800"/>
            <w:shd w:fill="F2F2F2" w:val="clear"/>
            <w:tcMar>
              <w:top w:type="dxa" w:w="80"/>
              <w:left w:type="dxa" w:w="100"/>
              <w:bottom w:type="dxa" w:w="80"/>
              <w:right w:type="dxa" w:w="100"/>
            </w:tcMar>
          </w:tcPr>
          <w:p>
            <w:pPr>
              <w:spacing w:after="40" w:line="252"/>
            </w:pPr>
            <w:r>
              <w:rPr>
                <w:b w:val="false"/>
                <w:bCs w:val="false"/>
                <w:sz w:val="19"/>
                <w:szCs w:val="19"/>
              </w:rPr>
              <w:t xml:space="preserve">Historical data on first grant</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Full history (per user grant)</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30 days unless extended-history approved</w:t>
            </w:r>
          </w:p>
        </w:tc>
      </w:tr>
      <w:tr>
        <w:trPr>
          <w:tblHeader w:val="false"/>
        </w:trPr>
        <w:tc>
          <w:tcPr>
            <w:tcW w:type="dxa" w:w="2800"/>
            <w:tcMar>
              <w:top w:type="dxa" w:w="80"/>
              <w:left w:type="dxa" w:w="100"/>
              <w:bottom w:type="dxa" w:w="80"/>
              <w:right w:type="dxa" w:w="100"/>
            </w:tcMar>
          </w:tcPr>
          <w:p>
            <w:pPr>
              <w:spacing w:after="40" w:line="252"/>
            </w:pPr>
            <w:r>
              <w:rPr>
                <w:b w:val="false"/>
                <w:bCs w:val="false"/>
                <w:sz w:val="19"/>
                <w:szCs w:val="19"/>
              </w:rPr>
              <w:t xml:space="preserve">Store policy on health data</w:t>
            </w:r>
          </w:p>
        </w:tc>
        <w:tc>
          <w:tcPr>
            <w:tcW w:type="dxa" w:w="3280"/>
            <w:tcMar>
              <w:top w:type="dxa" w:w="80"/>
              <w:left w:type="dxa" w:w="100"/>
              <w:bottom w:type="dxa" w:w="80"/>
              <w:right w:type="dxa" w:w="100"/>
            </w:tcMar>
          </w:tcPr>
          <w:p>
            <w:pPr>
              <w:spacing w:after="40" w:line="252"/>
            </w:pPr>
            <w:r>
              <w:rPr>
                <w:b w:val="false"/>
                <w:bCs w:val="false"/>
                <w:sz w:val="19"/>
                <w:szCs w:val="19"/>
              </w:rPr>
              <w:t xml:space="preserve">Guideline 5.1.3: no ads/data-mining/sale; no iCloud storage of health data</w:t>
            </w:r>
          </w:p>
        </w:tc>
        <w:tc>
          <w:tcPr>
            <w:tcW w:type="dxa" w:w="3280"/>
            <w:tcMar>
              <w:top w:type="dxa" w:w="80"/>
              <w:left w:type="dxa" w:w="100"/>
              <w:bottom w:type="dxa" w:w="80"/>
              <w:right w:type="dxa" w:w="100"/>
            </w:tcMar>
          </w:tcPr>
          <w:p>
            <w:pPr>
              <w:spacing w:after="40" w:line="252"/>
            </w:pPr>
            <w:r>
              <w:rPr>
                <w:b w:val="false"/>
                <w:bCs w:val="false"/>
                <w:sz w:val="19"/>
                <w:szCs w:val="19"/>
              </w:rPr>
              <w:t xml:space="preserve">Health apps declaration + limited-use policy: no ads/sale</w:t>
            </w:r>
          </w:p>
        </w:tc>
      </w:tr>
      <w:tr>
        <w:trPr>
          <w:tblHeader w:val="false"/>
        </w:trPr>
        <w:tc>
          <w:tcPr>
            <w:tcW w:type="dxa" w:w="2800"/>
            <w:shd w:fill="F2F2F2" w:val="clear"/>
            <w:tcMar>
              <w:top w:type="dxa" w:w="80"/>
              <w:left w:type="dxa" w:w="100"/>
              <w:bottom w:type="dxa" w:w="80"/>
              <w:right w:type="dxa" w:w="100"/>
            </w:tcMar>
          </w:tcPr>
          <w:p>
            <w:pPr>
              <w:spacing w:after="40" w:line="252"/>
            </w:pPr>
            <w:r>
              <w:rPr>
                <w:b w:val="false"/>
                <w:bCs w:val="false"/>
                <w:sz w:val="19"/>
                <w:szCs w:val="19"/>
              </w:rPr>
              <w:t xml:space="preserve">Face mesh / camera face data</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ARKit allowed, identification prohibited</w:t>
            </w:r>
          </w:p>
        </w:tc>
        <w:tc>
          <w:tcPr>
            <w:tcW w:type="dxa" w:w="3280"/>
            <w:shd w:fill="F2F2F2" w:val="clear"/>
            <w:tcMar>
              <w:top w:type="dxa" w:w="80"/>
              <w:left w:type="dxa" w:w="100"/>
              <w:bottom w:type="dxa" w:w="80"/>
              <w:right w:type="dxa" w:w="100"/>
            </w:tcMar>
          </w:tcPr>
          <w:p>
            <w:pPr>
              <w:spacing w:after="40" w:line="252"/>
            </w:pPr>
            <w:r>
              <w:rPr>
                <w:b w:val="false"/>
                <w:bCs w:val="false"/>
                <w:sz w:val="19"/>
                <w:szCs w:val="19"/>
              </w:rPr>
              <w:t xml:space="preserve">Camera/ML Kit allowed; Play policy + law constrain identification</w:t>
            </w:r>
          </w:p>
        </w:tc>
      </w:tr>
    </w:tbl>
    <w:p>
      <w:r>
        <w:br w:type="page"/>
      </w:r>
    </w:p>
    <w:p>
      <w:pPr>
        <w:pStyle w:val="Heading1"/>
        <w:spacing w:after="160" w:before="360"/>
      </w:pPr>
      <w:r>
        <w:rPr>
          <w:color w:val="1F3864"/>
        </w:rPr>
        <w:t xml:space="preserve">5. Legal Status of Storing Biometric Data</w:t>
      </w:r>
    </w:p>
    <w:p>
      <w:pPr>
        <w:spacing w:after="140" w:line="276"/>
      </w:pPr>
      <w:r>
        <w:t xml:space="preserve">The question is not only “may we collect it?” but “may we STORE it, where, for how long, and under what safeguards?”. Below by jurisdiction. In all three, on-device biometric authentication (Face ID / BiometricPrompt) generally keeps the developer outside the biometric-data regime, because the app never processes the biometric itself — this is the single most valuable design decision available.</w:t>
      </w:r>
    </w:p>
    <w:p>
      <w:pPr>
        <w:pStyle w:val="Heading2"/>
        <w:spacing w:after="120" w:before="280"/>
      </w:pPr>
      <w:r>
        <w:rPr>
          <w:color w:val="2E74B5"/>
        </w:rPr>
        <w:t xml:space="preserve">5.1 Israel — Privacy Protection Law (incl. Amendment 13)</w:t>
      </w:r>
    </w:p>
    <w:p>
      <w:pPr>
        <w:pStyle w:val="ListParagraph"/>
        <w:numPr>
          <w:ilvl w:val="0"/>
          <w:numId w:val="2"/>
        </w:numPr>
        <w:spacing w:after="80" w:line="276"/>
      </w:pPr>
      <w:r>
        <w:rPr>
          <w:b/>
          <w:bCs/>
        </w:rPr>
        <w:t xml:space="preserve">Amendment 13 </w:t>
      </w:r>
      <w:r>
        <w:t xml:space="preserve">(in force since August 14, 2025) is the largest reform of the PPL since 1996. It defines “especially sensitive information”, explicitly including biometric identification data, health and medical data, and genetic data.</w:t>
      </w:r>
    </w:p>
    <w:p>
      <w:pPr>
        <w:pStyle w:val="ListParagraph"/>
        <w:numPr>
          <w:ilvl w:val="0"/>
          <w:numId w:val="2"/>
        </w:numPr>
        <w:spacing w:after="80" w:line="276"/>
      </w:pPr>
      <w:r>
        <w:t xml:space="preserve">Storing especially sensitive data raises the obligation tier: database registration/notification duties apply to large sensitive databases (registration for 100,000+ data subjects of sensitive data held by certain controllers; notification duties for others), a Data Protection Officer is mandatory for bodies whose core activity is processing especially sensitive data at scale — likely including a medical-device companion-app operator.</w:t>
      </w:r>
    </w:p>
    <w:p>
      <w:pPr>
        <w:pStyle w:val="ListParagraph"/>
        <w:numPr>
          <w:ilvl w:val="0"/>
          <w:numId w:val="2"/>
        </w:numPr>
        <w:spacing w:after="80" w:line="276"/>
      </w:pPr>
      <w:r>
        <w:t xml:space="preserve">The Data Security Regulations (2017) classify databases containing biometric or medical data into the medium/high security levels, mandating access control, encryption, audit, penetration testing, and incident reporting to the PPA for severe events.</w:t>
      </w:r>
    </w:p>
    <w:p>
      <w:pPr>
        <w:pStyle w:val="ListParagraph"/>
        <w:numPr>
          <w:ilvl w:val="0"/>
          <w:numId w:val="2"/>
        </w:numPr>
        <w:spacing w:after="80" w:line="276"/>
      </w:pPr>
      <w:r>
        <w:t xml:space="preserve">Amendment 13 gives the Privacy Protection Authority real enforcement teeth: administrative fines that can reach millions of shekels (scaled by records held and doubled/multiplied for sensitive data), cease-processing orders, and criminal provisions.</w:t>
      </w:r>
    </w:p>
    <w:p>
      <w:pPr>
        <w:pStyle w:val="ListParagraph"/>
        <w:numPr>
          <w:ilvl w:val="0"/>
          <w:numId w:val="2"/>
        </w:numPr>
        <w:spacing w:after="80" w:line="276"/>
      </w:pPr>
      <w:r>
        <w:t xml:space="preserve">Consent remains the primary basis for collection; for especially sensitive data, informed consent plus data minimization is expected. Medical data additionally implicates the Patient Rights Law confidentiality regime when clinicians are involved.</w:t>
      </w:r>
    </w:p>
    <w:p>
      <w:pPr>
        <w:pStyle w:val="Heading2"/>
        <w:spacing w:after="120" w:before="280"/>
      </w:pPr>
      <w:r>
        <w:rPr>
          <w:color w:val="2E74B5"/>
        </w:rPr>
        <w:t xml:space="preserve">5.2 European Union — GDPR</w:t>
      </w:r>
    </w:p>
    <w:p>
      <w:pPr>
        <w:pStyle w:val="ListParagraph"/>
        <w:numPr>
          <w:ilvl w:val="0"/>
          <w:numId w:val="2"/>
        </w:numPr>
        <w:spacing w:after="80" w:line="276"/>
      </w:pPr>
      <w:r>
        <w:rPr>
          <w:b/>
          <w:bCs/>
        </w:rPr>
        <w:t xml:space="preserve">Article 9 </w:t>
      </w:r>
      <w:r>
        <w:t xml:space="preserve">makes two of our classes “special category data”: biometric data processed for the purpose of uniquely identifying a person, and data concerning health. Processing is prohibited by default and permitted only under an exception — for a consumer app, effectively explicit consent (freely given, specific, informed, withdrawable); for care contexts, Art. 9(2)(h) (provision of health care) with professional-secrecy safeguards.</w:t>
      </w:r>
    </w:p>
    <w:p>
      <w:pPr>
        <w:pStyle w:val="ListParagraph"/>
        <w:numPr>
          <w:ilvl w:val="0"/>
          <w:numId w:val="2"/>
        </w:numPr>
        <w:spacing w:after="80" w:line="276"/>
      </w:pPr>
      <w:r>
        <w:t xml:space="preserve">A Data Protection Impact Assessment (Art. 35) is mandatory before large-scale processing of special-category data — a medication-adherence platform storing vitals qualifies.</w:t>
      </w:r>
    </w:p>
    <w:p>
      <w:pPr>
        <w:pStyle w:val="ListParagraph"/>
        <w:numPr>
          <w:ilvl w:val="0"/>
          <w:numId w:val="2"/>
        </w:numPr>
        <w:spacing w:after="80" w:line="276"/>
      </w:pPr>
      <w:r>
        <w:t xml:space="preserve">Storage obligations: purpose limitation, data minimization, defined retention periods, encryption/pseudonymization as baseline security (Art. 32), records of processing, and — if the operator is outside the EU but serves EU users — a designated EU representative. Cross-border transfer rules apply to any backend outside the EU/EEA; Israel currently benefits from an EU adequacy decision, which simplifies EU→Israel transfers.</w:t>
      </w:r>
    </w:p>
    <w:p>
      <w:pPr>
        <w:pStyle w:val="ListParagraph"/>
        <w:numPr>
          <w:ilvl w:val="0"/>
          <w:numId w:val="2"/>
        </w:numPr>
        <w:spacing w:after="80" w:line="276"/>
      </w:pPr>
      <w:r>
        <w:t xml:space="preserve">Photographs and voice recordings are NOT automatically Art. 9 biometric data — they become special-category only when processed through specific technical means for unique identification. Health inference from sensors (rPPG, gait) IS health data regardless of how it was captured.</w:t>
      </w:r>
    </w:p>
    <w:p>
      <w:pPr>
        <w:pStyle w:val="Heading2"/>
        <w:spacing w:after="120" w:before="280"/>
      </w:pPr>
      <w:r>
        <w:rPr>
          <w:color w:val="2E74B5"/>
        </w:rPr>
        <w:t xml:space="preserve">5.3 United States — sectoral patchwork</w:t>
      </w:r>
    </w:p>
    <w:p>
      <w:pPr>
        <w:pStyle w:val="ListParagraph"/>
        <w:numPr>
          <w:ilvl w:val="0"/>
          <w:numId w:val="2"/>
        </w:numPr>
        <w:spacing w:after="80" w:line="276"/>
      </w:pPr>
      <w:r>
        <w:rPr>
          <w:b/>
          <w:bCs/>
        </w:rPr>
        <w:t xml:space="preserve">No federal biometric statute. </w:t>
      </w:r>
      <w:r>
        <w:t xml:space="preserve">The FTC polices deceptive practices and enforces the Health Breach Notification Rule against health apps that leak or share data contrary to their promises (GoodRx, Premom enforcement actions).</w:t>
      </w:r>
    </w:p>
    <w:p>
      <w:pPr>
        <w:pStyle w:val="ListParagraph"/>
        <w:numPr>
          <w:ilvl w:val="0"/>
          <w:numId w:val="2"/>
        </w:numPr>
        <w:spacing w:after="80" w:line="276"/>
      </w:pPr>
      <w:r>
        <w:rPr>
          <w:b/>
          <w:bCs/>
        </w:rPr>
        <w:t xml:space="preserve">Illinois BIPA </w:t>
      </w:r>
      <w:r>
        <w:t xml:space="preserve">is the strictest state law: written notice, written release (consent), a public retention-and-destruction schedule (destroy within 3 years of last interaction), no selling/profiting, reasonable security. It carries a private right of action with statutory damages of $1,000 (negligent) / $5,000 (reckless) per violation; a 2024 amendment limited claims to a single accrual per person per method (ending the “per-scan” damages theory). Face templates and voiceprints created by an app are squarely covered.</w:t>
      </w:r>
    </w:p>
    <w:p>
      <w:pPr>
        <w:pStyle w:val="ListParagraph"/>
        <w:numPr>
          <w:ilvl w:val="0"/>
          <w:numId w:val="2"/>
        </w:numPr>
        <w:spacing w:after="80" w:line="276"/>
      </w:pPr>
      <w:r>
        <w:rPr>
          <w:b/>
          <w:bCs/>
        </w:rPr>
        <w:t xml:space="preserve">Texas CUBI and Washington biometric law: </w:t>
      </w:r>
      <w:r>
        <w:t xml:space="preserve">notice-and-consent statutes enforced by the state AGs (no private action under CUBI; Texas has extracted large settlements, e.g. $1.4B from Meta in 2024).</w:t>
      </w:r>
    </w:p>
    <w:p>
      <w:pPr>
        <w:pStyle w:val="ListParagraph"/>
        <w:numPr>
          <w:ilvl w:val="0"/>
          <w:numId w:val="2"/>
        </w:numPr>
        <w:spacing w:after="80" w:line="276"/>
      </w:pPr>
      <w:r>
        <w:rPr>
          <w:b/>
          <w:bCs/>
        </w:rPr>
        <w:t xml:space="preserve">Washington My Health My Data Act </w:t>
      </w:r>
      <w:r>
        <w:t xml:space="preserve">(2024) extends beyond biometrics to all “consumer health data” — including data that identifies health conditions and biometric data — with opt-in consent for collection, separate authorization for sale, and a private right of action. It reaches any company serving Washington consumers.</w:t>
      </w:r>
    </w:p>
    <w:p>
      <w:pPr>
        <w:pStyle w:val="ListParagraph"/>
        <w:numPr>
          <w:ilvl w:val="0"/>
          <w:numId w:val="2"/>
        </w:numPr>
        <w:spacing w:after="80" w:line="276"/>
      </w:pPr>
      <w:r>
        <w:rPr>
          <w:b/>
          <w:bCs/>
        </w:rPr>
        <w:t xml:space="preserve">State comprehensive privacy laws </w:t>
      </w:r>
      <w:r>
        <w:t xml:space="preserve">(California CPRA, Colorado, Connecticut, Virginia and ~15 others) treat biometric and health data as “sensitive data” requiring opt-in consent or opt-out rights plus risk assessments.</w:t>
      </w:r>
    </w:p>
    <w:p>
      <w:pPr>
        <w:pStyle w:val="ListParagraph"/>
        <w:numPr>
          <w:ilvl w:val="0"/>
          <w:numId w:val="2"/>
        </w:numPr>
        <w:spacing w:after="80" w:line="276"/>
      </w:pPr>
      <w:r>
        <w:rPr>
          <w:b/>
          <w:bCs/>
        </w:rPr>
        <w:t xml:space="preserve">HIPAA </w:t>
      </w:r>
      <w:r>
        <w:t xml:space="preserve">applies only if the data sits with a covered entity (provider, insurer) or its business associate. A direct-to-consumer adherence app is typically NOT covered by HIPAA — but if BQ integrates with pharmacies, clinics, or payers, the backend may become a business associate and need BAAs, HIPAA Security Rule controls, and breach notification.</w:t>
      </w:r>
    </w:p>
    <w:p>
      <w:pPr>
        <w:pStyle w:val="Heading2"/>
        <w:spacing w:after="120" w:before="280"/>
      </w:pPr>
      <w:r>
        <w:rPr>
          <w:color w:val="2E74B5"/>
        </w:rPr>
        <w:t xml:space="preserve">5.4 Platform (contractual) rules — binding regardless of jurisdiction</w:t>
      </w:r>
    </w:p>
    <w:p>
      <w:pPr>
        <w:pStyle w:val="ListParagraph"/>
        <w:numPr>
          <w:ilvl w:val="0"/>
          <w:numId w:val="2"/>
        </w:numPr>
        <w:spacing w:after="80" w:line="276"/>
      </w:pPr>
      <w:r>
        <w:t xml:space="preserve">Apple: health/HealthKit data may not be used for advertising or data-mining, may not be sold, may not be written to iCloud by the app, and requires a privacy policy plus purpose-limited use (App Review Guidelines 5.1.3; Health app data itself is end-to-end encrypted in iCloud by Apple when 2FA is on).</w:t>
      </w:r>
    </w:p>
    <w:p>
      <w:pPr>
        <w:pStyle w:val="ListParagraph"/>
        <w:numPr>
          <w:ilvl w:val="0"/>
          <w:numId w:val="2"/>
        </w:numPr>
        <w:spacing w:after="80" w:line="276"/>
      </w:pPr>
      <w:r>
        <w:t xml:space="preserve">Google: Health Connect data is subject to limited-use requirements (no ads, no sale, no credit/insurance/employment eligibility uses), a mandatory developer declaration, and restricted approved use cases. Both stores require prominent in-app disclosure and consent before collecting health or biometric data.</w:t>
      </w:r>
    </w:p>
    <w:p>
      <w:r>
        <w:br w:type="page"/>
      </w:r>
    </w:p>
    <w:p>
      <w:pPr>
        <w:pStyle w:val="Heading1"/>
        <w:spacing w:after="160" w:before="360"/>
      </w:pPr>
      <w:r>
        <w:rPr>
          <w:color w:val="1F3864"/>
        </w:rPr>
        <w:t xml:space="preserve">6. Practical Guidance for the BQ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tcPr>
          <w:p>
            <w:pPr>
              <w:spacing w:after="40" w:line="252"/>
            </w:pPr>
            <w:r>
              <w:rPr>
                <w:b/>
                <w:bCs/>
                <w:color w:val="FFFFFF"/>
                <w:sz w:val="20"/>
                <w:szCs w:val="20"/>
              </w:rPr>
              <w:t xml:space="preserve">Decision</w:t>
            </w:r>
          </w:p>
        </w:tc>
        <w:tc>
          <w:tcPr>
            <w:tcW w:type="dxa" w:w="6360"/>
            <w:shd w:fill="1F3864" w:val="clear"/>
            <w:tcMar>
              <w:top w:type="dxa" w:w="80"/>
              <w:left w:type="dxa" w:w="100"/>
              <w:bottom w:type="dxa" w:w="80"/>
              <w:right w:type="dxa" w:w="100"/>
            </w:tcMar>
          </w:tcPr>
          <w:p>
            <w:pPr>
              <w:spacing w:after="40" w:line="252"/>
            </w:pPr>
            <w:r>
              <w:rPr>
                <w:b/>
                <w:bCs/>
                <w:color w:val="FFFFFF"/>
                <w:sz w:val="20"/>
                <w:szCs w:val="20"/>
              </w:rPr>
              <w:t xml:space="preserve">Recommendation</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App unlock / technician login</w:t>
            </w:r>
          </w:p>
        </w:tc>
        <w:tc>
          <w:tcPr>
            <w:tcW w:type="dxa" w:w="6360"/>
            <w:tcMar>
              <w:top w:type="dxa" w:w="80"/>
              <w:left w:type="dxa" w:w="100"/>
              <w:bottom w:type="dxa" w:w="80"/>
              <w:right w:type="dxa" w:w="100"/>
            </w:tcMar>
          </w:tcPr>
          <w:p>
            <w:pPr>
              <w:spacing w:after="40" w:line="252"/>
            </w:pPr>
            <w:r>
              <w:rPr>
                <w:b w:val="false"/>
                <w:bCs w:val="false"/>
                <w:sz w:val="19"/>
                <w:szCs w:val="19"/>
              </w:rPr>
              <w:t xml:space="preserve">Use platform biometric APIs (Face ID / BiometricPrompt BIOMETRIC_STRONG) bound to Keychain/Keystore keys. Store only the auth outcome. This keeps BQ entirely out of the identity-biometrics regime in every jurisdiction.</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Do NOT build</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Custom face/voice recognition for identifying patients or technicians. This creates BIPA/GDPR Art. 9/Israeli “especially sensitive” data with consent, retention-schedule, and litigation exposure.</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Vitals from wearables / BQ device</w:t>
            </w:r>
          </w:p>
        </w:tc>
        <w:tc>
          <w:tcPr>
            <w:tcW w:type="dxa" w:w="6360"/>
            <w:tcMar>
              <w:top w:type="dxa" w:w="80"/>
              <w:left w:type="dxa" w:w="100"/>
              <w:bottom w:type="dxa" w:w="80"/>
              <w:right w:type="dxa" w:w="100"/>
            </w:tcMar>
          </w:tcPr>
          <w:p>
            <w:pPr>
              <w:spacing w:after="40" w:line="252"/>
            </w:pPr>
            <w:r>
              <w:rPr>
                <w:b w:val="false"/>
                <w:bCs w:val="false"/>
                <w:sz w:val="19"/>
                <w:szCs w:val="19"/>
              </w:rPr>
              <w:t xml:space="preserve">Read via HealthKit / Health Connect with per-type consent screens. Collect the minimum set that serves adherence features; document the purpose for each type.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Storing vitals on the backend</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Requires: explicit consent flow (GDPR-grade); DPIA + Israeli security-regulation compliance (high security level); encryption at rest and in transit; defined retention and deletion schedule; no advertising/analytics reuse (also a store-policy violation).</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Database registration (Israel)</w:t>
            </w:r>
          </w:p>
        </w:tc>
        <w:tc>
          <w:tcPr>
            <w:tcW w:type="dxa" w:w="6360"/>
            <w:tcMar>
              <w:top w:type="dxa" w:w="80"/>
              <w:left w:type="dxa" w:w="100"/>
              <w:bottom w:type="dxa" w:w="80"/>
              <w:right w:type="dxa" w:w="100"/>
            </w:tcMar>
          </w:tcPr>
          <w:p>
            <w:pPr>
              <w:spacing w:after="40" w:line="252"/>
            </w:pPr>
            <w:r>
              <w:rPr>
                <w:b w:val="false"/>
                <w:bCs w:val="false"/>
                <w:sz w:val="19"/>
                <w:szCs w:val="19"/>
              </w:rPr>
              <w:t xml:space="preserve">Assess against Amendment 13 thresholds once expected user counts are known; appoint a DPO if health data processing is core at scale.</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US market entry</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Add opt-in consent + published retention policy before launch (BIPA/MHMDA-proof); check whether pharmacy/clinic integrations create HIPAA business-associate status.</w:t>
            </w:r>
          </w:p>
        </w:tc>
      </w:tr>
      <w:tr>
        <w:trPr>
          <w:tblHeader w:val="false"/>
        </w:trPr>
        <w:tc>
          <w:tcPr>
            <w:tcW w:type="dxa" w:w="3000"/>
            <w:tcMar>
              <w:top w:type="dxa" w:w="80"/>
              <w:left w:type="dxa" w:w="100"/>
              <w:bottom w:type="dxa" w:w="80"/>
              <w:right w:type="dxa" w:w="100"/>
            </w:tcMar>
          </w:tcPr>
          <w:p>
            <w:pPr>
              <w:spacing w:after="40" w:line="252"/>
            </w:pPr>
            <w:r>
              <w:rPr>
                <w:b w:val="false"/>
                <w:bCs w:val="false"/>
                <w:sz w:val="19"/>
                <w:szCs w:val="19"/>
              </w:rPr>
              <w:t xml:space="preserve">Sensor features (voice notes, camera)</w:t>
            </w:r>
          </w:p>
        </w:tc>
        <w:tc>
          <w:tcPr>
            <w:tcW w:type="dxa" w:w="6360"/>
            <w:tcMar>
              <w:top w:type="dxa" w:w="80"/>
              <w:left w:type="dxa" w:w="100"/>
              <w:bottom w:type="dxa" w:w="80"/>
              <w:right w:type="dxa" w:w="100"/>
            </w:tcMar>
          </w:tcPr>
          <w:p>
            <w:pPr>
              <w:spacing w:after="40" w:line="252"/>
            </w:pPr>
            <w:r>
              <w:rPr>
                <w:b w:val="false"/>
                <w:bCs w:val="false"/>
                <w:sz w:val="19"/>
                <w:szCs w:val="19"/>
              </w:rPr>
              <w:t xml:space="preserve">Fine as content features. Avoid deriving identification or health measurements from them without repeating the full consent/DPIA analysis.</w:t>
            </w:r>
          </w:p>
        </w:tc>
      </w:tr>
      <w:tr>
        <w:trPr>
          <w:tblHeader w:val="false"/>
        </w:trPr>
        <w:tc>
          <w:tcPr>
            <w:tcW w:type="dxa" w:w="3000"/>
            <w:shd w:fill="F2F2F2" w:val="clear"/>
            <w:tcMar>
              <w:top w:type="dxa" w:w="80"/>
              <w:left w:type="dxa" w:w="100"/>
              <w:bottom w:type="dxa" w:w="80"/>
              <w:right w:type="dxa" w:w="100"/>
            </w:tcMar>
          </w:tcPr>
          <w:p>
            <w:pPr>
              <w:spacing w:after="40" w:line="252"/>
            </w:pPr>
            <w:r>
              <w:rPr>
                <w:b w:val="false"/>
                <w:bCs w:val="false"/>
                <w:sz w:val="19"/>
                <w:szCs w:val="19"/>
              </w:rPr>
              <w:t xml:space="preserve">Data locality option</w:t>
            </w:r>
          </w:p>
        </w:tc>
        <w:tc>
          <w:tcPr>
            <w:tcW w:type="dxa" w:w="6360"/>
            <w:shd w:fill="F2F2F2" w:val="clear"/>
            <w:tcMar>
              <w:top w:type="dxa" w:w="80"/>
              <w:left w:type="dxa" w:w="100"/>
              <w:bottom w:type="dxa" w:w="80"/>
              <w:right w:type="dxa" w:w="100"/>
            </w:tcMar>
          </w:tcPr>
          <w:p>
            <w:pPr>
              <w:spacing w:after="40" w:line="252"/>
            </w:pPr>
            <w:r>
              <w:rPr>
                <w:b w:val="false"/>
                <w:bCs w:val="false"/>
                <w:sz w:val="19"/>
                <w:szCs w:val="19"/>
              </w:rPr>
              <w:t xml:space="preserve">Where possible keep vitals on-device (HealthKit/Health Connect already provide encrypted local stores) and sync only derived, minimized adherence events to the cloud.</w:t>
            </w:r>
          </w:p>
        </w:tc>
      </w:tr>
    </w:tbl>
    <w:p>
      <w:pPr>
        <w:pStyle w:val="Heading1"/>
        <w:spacing w:after="160" w:before="360"/>
      </w:pPr>
      <w:r>
        <w:rPr>
          <w:color w:val="1F3864"/>
        </w:rPr>
        <w:t xml:space="preserve">7. Key Sources</w:t>
      </w:r>
    </w:p>
    <w:p>
      <w:pPr>
        <w:pStyle w:val="ListParagraph"/>
        <w:numPr>
          <w:ilvl w:val="0"/>
          <w:numId w:val="2"/>
        </w:numPr>
        <w:spacing w:after="80" w:line="276"/>
      </w:pPr>
      <w:r>
        <w:t xml:space="preserve">Apple — Protecting access to user’s health data (support.apple.com/guide/security)</w:t>
      </w:r>
    </w:p>
    <w:p>
      <w:pPr>
        <w:pStyle w:val="ListParagraph"/>
        <w:numPr>
          <w:ilvl w:val="0"/>
          <w:numId w:val="2"/>
        </w:numPr>
        <w:spacing w:after="80" w:line="276"/>
      </w:pPr>
      <w:r>
        <w:t xml:space="preserve">Apple — App Review Guidelines §5.1.3 Health &amp; Health Research (developer.apple.com)</w:t>
      </w:r>
    </w:p>
    <w:p>
      <w:pPr>
        <w:pStyle w:val="ListParagraph"/>
        <w:numPr>
          <w:ilvl w:val="0"/>
          <w:numId w:val="2"/>
        </w:numPr>
        <w:spacing w:after="80" w:line="276"/>
      </w:pPr>
      <w:r>
        <w:t xml:space="preserve">Apple — Health Privacy White Paper (apple.com/privacy)</w:t>
      </w:r>
    </w:p>
    <w:p>
      <w:pPr>
        <w:pStyle w:val="ListParagraph"/>
        <w:numPr>
          <w:ilvl w:val="0"/>
          <w:numId w:val="2"/>
        </w:numPr>
        <w:spacing w:after="80" w:line="276"/>
      </w:pPr>
      <w:r>
        <w:t xml:space="preserve">Android Open Source Project — Biometric security classes (source.android.com/docs/security/features/biometric)</w:t>
      </w:r>
    </w:p>
    <w:p>
      <w:pPr>
        <w:pStyle w:val="ListParagraph"/>
        <w:numPr>
          <w:ilvl w:val="0"/>
          <w:numId w:val="2"/>
        </w:numPr>
        <w:spacing w:after="80" w:line="276"/>
      </w:pPr>
      <w:r>
        <w:t xml:space="preserve">Android Developers — Health Connect data types, permissions, and publishing requirements (developer.android.com/health-and-fitness)</w:t>
      </w:r>
    </w:p>
    <w:p>
      <w:pPr>
        <w:pStyle w:val="ListParagraph"/>
        <w:numPr>
          <w:ilvl w:val="0"/>
          <w:numId w:val="2"/>
        </w:numPr>
        <w:spacing w:after="80" w:line="276"/>
      </w:pPr>
      <w:r>
        <w:t xml:space="preserve">Google Play Console Help — Health Content and Services policy; Android Health Permissions FAQs</w:t>
      </w:r>
    </w:p>
    <w:p>
      <w:pPr>
        <w:pStyle w:val="ListParagraph"/>
        <w:numPr>
          <w:ilvl w:val="0"/>
          <w:numId w:val="2"/>
        </w:numPr>
        <w:spacing w:after="80" w:line="276"/>
      </w:pPr>
      <w:r>
        <w:t xml:space="preserve">GDPR Art. 9 — Processing of special categories of personal data (gdpr-info.eu)</w:t>
      </w:r>
    </w:p>
    <w:p>
      <w:pPr>
        <w:pStyle w:val="ListParagraph"/>
        <w:numPr>
          <w:ilvl w:val="0"/>
          <w:numId w:val="2"/>
        </w:numPr>
        <w:spacing w:after="80" w:line="276"/>
      </w:pPr>
      <w:r>
        <w:t xml:space="preserve">IAPP — “Israel marks a new era in privacy law: Amendment 13 ushers in sweeping reform” (iapp.org)</w:t>
      </w:r>
    </w:p>
    <w:p>
      <w:pPr>
        <w:pStyle w:val="ListParagraph"/>
        <w:numPr>
          <w:ilvl w:val="0"/>
          <w:numId w:val="2"/>
        </w:numPr>
        <w:spacing w:after="80" w:line="276"/>
      </w:pPr>
      <w:r>
        <w:t xml:space="preserve">Israeli Privacy Protection (Data Security) Regulations, 2017</w:t>
      </w:r>
    </w:p>
    <w:p>
      <w:pPr>
        <w:pStyle w:val="ListParagraph"/>
        <w:numPr>
          <w:ilvl w:val="0"/>
          <w:numId w:val="2"/>
        </w:numPr>
        <w:spacing w:after="80" w:line="276"/>
      </w:pPr>
      <w:r>
        <w:t xml:space="preserve">Illinois Biometric Information Privacy Act, 740 ILCS 14, incl. 2024 amendment (SB 2979)</w:t>
      </w:r>
    </w:p>
    <w:p>
      <w:pPr>
        <w:pStyle w:val="ListParagraph"/>
        <w:numPr>
          <w:ilvl w:val="0"/>
          <w:numId w:val="2"/>
        </w:numPr>
        <w:spacing w:after="80" w:line="276"/>
      </w:pPr>
      <w:r>
        <w:t xml:space="preserve">Washington My Health My Data Act; Texas Capture or Use of Biometric Identifier Act</w:t>
      </w:r>
    </w:p>
    <w:p>
      <w:pPr>
        <w:pStyle w:val="ListParagraph"/>
        <w:numPr>
          <w:ilvl w:val="0"/>
          <w:numId w:val="2"/>
        </w:numPr>
        <w:spacing w:after="80" w:line="276"/>
      </w:pPr>
      <w:r>
        <w:t xml:space="preserve">Open Wearables — Apple HealthKit API / Google Health Connect integration guides (openwearables.io)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2026-08-05T07:39:55.870Z</dcterms:created>
  <dcterms:modified xsi:type="dcterms:W3CDTF">2026-08-05T07:39:55.886Z</dcterms:modified>
</cp:coreProperties>
</file>

<file path=docProps/custom.xml><?xml version="1.0" encoding="utf-8"?>
<Properties xmlns="http://schemas.openxmlformats.org/officeDocument/2006/custom-properties" xmlns:vt="http://schemas.openxmlformats.org/officeDocument/2006/docPropsVTypes"/>
</file>