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3864"/>
          <w:sz w:val="50"/>
          <w:szCs w:val="50"/>
        </w:rPr>
        <w:t xml:space="preserve">Health &amp; Vital-Sign Data on iOS and Android</w:t>
      </w:r>
    </w:p>
    <w:p>
      <w:pPr>
        <w:spacing w:before="200"/>
        <w:jc w:val="center"/>
      </w:pPr>
      <w:r>
        <w:rPr>
          <w:color w:val="2E74B5"/>
          <w:sz w:val="28"/>
          <w:szCs w:val="28"/>
        </w:rPr>
        <w:t xml:space="preserve">What we can collect, background collection, time-range reads, and delivery to the BQ agent API</w:t>
      </w:r>
    </w:p>
    <w:p>
      <w:pPr>
        <w:spacing w:before="400"/>
        <w:jc w:val="center"/>
      </w:pPr>
      <w:r>
        <w:rPr>
          <w:color w:val="595959"/>
          <w:sz w:val="22"/>
          <w:szCs w:val="22"/>
        </w:rPr>
        <w:t xml:space="preserve">BQ Connected Medication Dispenser Project — August 2026</w:t>
      </w:r>
    </w:p>
    <w:p>
      <w:r>
        <w:br w:type="page"/>
      </w:r>
    </w:p>
    <w:p>
      <w:pPr>
        <w:pStyle w:val="Heading1"/>
        <w:spacing w:after="160" w:before="360"/>
      </w:pPr>
      <w:r>
        <w:rPr>
          <w:color w:val="1F3864"/>
        </w:rPr>
        <w:t xml:space="preserve">1. The Scenario This Document Answers</w:t>
      </w:r>
    </w:p>
    <w:p>
      <w:pPr>
        <w:spacing w:after="140" w:line="276"/>
      </w:pPr>
      <w:r>
        <w:t xml:space="preserve">The BQ app needs to (a) collect health / vital-sign data on the phone, (b) do so in the background without the user opening the app, (c) read data for a specific time range (e.g. “heart rate between 08:00 and 10:00, around the morning dose”), and (d) send it to our agent API. Both platforms support this flow, but neither gives you guaranteed execution at an exact clock time — the realistic model on both is:</w:t>
      </w:r>
    </w:p>
    <w:p>
      <w:pPr>
        <w:pBdr>
          <w:left w:val="single" w:color="BF8F00" w:sz="24"/>
        </w:pBdr>
        <w:shd w:fill="FFF2CC" w:val="clear"/>
        <w:spacing w:after="160" w:line="276"/>
        <w:ind w:left="120" w:right="120"/>
      </w:pPr>
      <w:r>
        <w:rPr>
          <w:b/>
          <w:bCs/>
        </w:rPr>
        <w:t xml:space="preserve">Realistic model: </w:t>
      </w:r>
      <w:r>
        <w:t xml:space="preserve">“Collect data ABOUT a precise time range” — always possible, because both stores are queryable by timestamp after the fact. “Collect/send AT a precise time” — best-effort only: the OS decides when your app runs in the background. Design the agent API around timestamped ranges and idempotent uploads, not around punctual delivery.</w:t>
      </w:r>
    </w:p>
    <w:p>
      <w:pPr>
        <w:pStyle w:val="Heading1"/>
        <w:spacing w:after="160" w:before="360"/>
      </w:pPr>
      <w:r>
        <w:rPr>
          <w:color w:val="1F3864"/>
        </w:rPr>
        <w:t xml:space="preserve">2. What Health / Vital-Sign Data Can Be Collected</w:t>
      </w:r>
    </w:p>
    <w:p>
      <w:pPr>
        <w:spacing w:after="140" w:line="276"/>
      </w:pPr>
      <w:r>
        <w:t xml:space="preserve">Both platforms expose an on-device health store that other apps (Apple Watch, Samsung Health, Fitbit, Garmin, glucose meters, BP cuffs…) write into, and that our app can read from with per-type user consent. There is no server-side API on either platform — reading always happens inside our app on the phone, and our app forwards it to the BQ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tcPr>
          <w:p>
            <w:pPr>
              <w:spacing w:after="40" w:line="252"/>
            </w:pPr>
            <w:r>
              <w:rPr>
                <w:b/>
                <w:bCs/>
                <w:color w:val="FFFFFF"/>
                <w:sz w:val="20"/>
                <w:szCs w:val="20"/>
              </w:rPr>
              <w:t xml:space="preserve">Data type</w:t>
            </w:r>
          </w:p>
        </w:tc>
        <w:tc>
          <w:tcPr>
            <w:tcW w:type="dxa" w:w="3120"/>
            <w:shd w:fill="1F3864" w:val="clear"/>
            <w:tcMar>
              <w:top w:type="dxa" w:w="80"/>
              <w:left w:type="dxa" w:w="100"/>
              <w:bottom w:type="dxa" w:w="80"/>
              <w:right w:type="dxa" w:w="100"/>
            </w:tcMar>
          </w:tcPr>
          <w:p>
            <w:pPr>
              <w:spacing w:after="40" w:line="252"/>
            </w:pPr>
            <w:r>
              <w:rPr>
                <w:b/>
                <w:bCs/>
                <w:color w:val="FFFFFF"/>
                <w:sz w:val="20"/>
                <w:szCs w:val="20"/>
              </w:rPr>
              <w:t xml:space="preserve">iOS — HealthKit</w:t>
            </w:r>
          </w:p>
        </w:tc>
        <w:tc>
          <w:tcPr>
            <w:tcW w:type="dxa" w:w="3120"/>
            <w:shd w:fill="1F3864" w:val="clear"/>
            <w:tcMar>
              <w:top w:type="dxa" w:w="80"/>
              <w:left w:type="dxa" w:w="100"/>
              <w:bottom w:type="dxa" w:w="80"/>
              <w:right w:type="dxa" w:w="100"/>
            </w:tcMar>
          </w:tcPr>
          <w:p>
            <w:pPr>
              <w:spacing w:after="40" w:line="252"/>
            </w:pPr>
            <w:r>
              <w:rPr>
                <w:b/>
                <w:bCs/>
                <w:color w:val="FFFFFF"/>
                <w:sz w:val="20"/>
                <w:szCs w:val="20"/>
              </w:rPr>
              <w:t xml:space="preserve">Android — Health Connect</w:t>
            </w:r>
          </w:p>
        </w:tc>
      </w:tr>
      <w:tr>
        <w:trPr>
          <w:tblHeader w:val="false"/>
        </w:trPr>
        <w:tc>
          <w:tcPr>
            <w:tcW w:type="dxa" w:w="3120"/>
            <w:tcMar>
              <w:top w:type="dxa" w:w="80"/>
              <w:left w:type="dxa" w:w="100"/>
              <w:bottom w:type="dxa" w:w="80"/>
              <w:right w:type="dxa" w:w="100"/>
            </w:tcMar>
          </w:tcPr>
          <w:p>
            <w:pPr>
              <w:spacing w:after="40" w:line="252"/>
            </w:pPr>
            <w:r>
              <w:rPr>
                <w:b w:val="false"/>
                <w:bCs w:val="false"/>
                <w:sz w:val="19"/>
                <w:szCs w:val="19"/>
              </w:rPr>
              <w:t xml:space="preserve">Heart rate (continuous series)</w:t>
            </w:r>
          </w:p>
        </w:tc>
        <w:tc>
          <w:tcPr>
            <w:tcW w:type="dxa" w:w="3120"/>
            <w:tcMar>
              <w:top w:type="dxa" w:w="80"/>
              <w:left w:type="dxa" w:w="100"/>
              <w:bottom w:type="dxa" w:w="80"/>
              <w:right w:type="dxa" w:w="100"/>
            </w:tcMar>
          </w:tcPr>
          <w:p>
            <w:pPr>
              <w:spacing w:after="40" w:line="252"/>
            </w:pPr>
            <w:r>
              <w:rPr>
                <w:b w:val="false"/>
                <w:bCs w:val="false"/>
                <w:sz w:val="19"/>
                <w:szCs w:val="19"/>
              </w:rPr>
              <w:t xml:space="preserve">Yes (Watch, BLE monitors)</w:t>
            </w:r>
          </w:p>
        </w:tc>
        <w:tc>
          <w:tcPr>
            <w:tcW w:type="dxa" w:w="3120"/>
            <w:tcMar>
              <w:top w:type="dxa" w:w="80"/>
              <w:left w:type="dxa" w:w="100"/>
              <w:bottom w:type="dxa" w:w="80"/>
              <w:right w:type="dxa" w:w="100"/>
            </w:tcMar>
          </w:tcPr>
          <w:p>
            <w:pPr>
              <w:spacing w:after="40" w:line="252"/>
            </w:pPr>
            <w:r>
              <w:rPr>
                <w:b w:val="false"/>
                <w:bCs w:val="false"/>
                <w:sz w:val="19"/>
                <w:szCs w:val="19"/>
              </w:rPr>
              <w:t xml:space="preserve">Yes (HeartRateRecord series)</w:t>
            </w:r>
          </w:p>
        </w:tc>
      </w:tr>
      <w:tr>
        <w:trPr>
          <w:tblHeader w:val="false"/>
        </w:trPr>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Resting heart rate</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tcMar>
              <w:top w:type="dxa" w:w="80"/>
              <w:left w:type="dxa" w:w="100"/>
              <w:bottom w:type="dxa" w:w="80"/>
              <w:right w:type="dxa" w:w="100"/>
            </w:tcMar>
          </w:tcPr>
          <w:p>
            <w:pPr>
              <w:spacing w:after="40" w:line="252"/>
            </w:pPr>
            <w:r>
              <w:rPr>
                <w:b w:val="false"/>
                <w:bCs w:val="false"/>
                <w:sz w:val="19"/>
                <w:szCs w:val="19"/>
              </w:rPr>
              <w:t xml:space="preserve">Heart rate variability</w:t>
            </w:r>
          </w:p>
        </w:tc>
        <w:tc>
          <w:tcPr>
            <w:tcW w:type="dxa" w:w="3120"/>
            <w:tcMar>
              <w:top w:type="dxa" w:w="80"/>
              <w:left w:type="dxa" w:w="100"/>
              <w:bottom w:type="dxa" w:w="80"/>
              <w:right w:type="dxa" w:w="100"/>
            </w:tcMar>
          </w:tcPr>
          <w:p>
            <w:pPr>
              <w:spacing w:after="40" w:line="252"/>
            </w:pPr>
            <w:r>
              <w:rPr>
                <w:b w:val="false"/>
                <w:bCs w:val="false"/>
                <w:sz w:val="19"/>
                <w:szCs w:val="19"/>
              </w:rPr>
              <w:t xml:space="preserve">Yes (SDNN)</w:t>
            </w:r>
          </w:p>
        </w:tc>
        <w:tc>
          <w:tcPr>
            <w:tcW w:type="dxa" w:w="3120"/>
            <w:tcMar>
              <w:top w:type="dxa" w:w="80"/>
              <w:left w:type="dxa" w:w="100"/>
              <w:bottom w:type="dxa" w:w="80"/>
              <w:right w:type="dxa" w:w="100"/>
            </w:tcMar>
          </w:tcPr>
          <w:p>
            <w:pPr>
              <w:spacing w:after="40" w:line="252"/>
            </w:pPr>
            <w:r>
              <w:rPr>
                <w:b w:val="false"/>
                <w:bCs w:val="false"/>
                <w:sz w:val="19"/>
                <w:szCs w:val="19"/>
              </w:rPr>
              <w:t xml:space="preserve">Yes (RMSSD)</w:t>
            </w:r>
          </w:p>
        </w:tc>
      </w:tr>
      <w:tr>
        <w:trPr>
          <w:tblHeader w:val="false"/>
        </w:trPr>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ECG</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 — read-only, Watch-generated</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No core type (vendor SDKs only)</w:t>
            </w:r>
          </w:p>
        </w:tc>
      </w:tr>
      <w:tr>
        <w:trPr>
          <w:tblHeader w:val="false"/>
        </w:trPr>
        <w:tc>
          <w:tcPr>
            <w:tcW w:type="dxa" w:w="3120"/>
            <w:tcMar>
              <w:top w:type="dxa" w:w="80"/>
              <w:left w:type="dxa" w:w="100"/>
              <w:bottom w:type="dxa" w:w="80"/>
              <w:right w:type="dxa" w:w="100"/>
            </w:tcMar>
          </w:tcPr>
          <w:p>
            <w:pPr>
              <w:spacing w:after="40" w:line="252"/>
            </w:pPr>
            <w:r>
              <w:rPr>
                <w:b w:val="false"/>
                <w:bCs w:val="false"/>
                <w:sz w:val="19"/>
                <w:szCs w:val="19"/>
              </w:rPr>
              <w:t xml:space="preserve">Blood oxygen (SpO2)</w:t>
            </w:r>
          </w:p>
        </w:tc>
        <w:tc>
          <w:tcPr>
            <w:tcW w:type="dxa" w:w="3120"/>
            <w:tcMar>
              <w:top w:type="dxa" w:w="80"/>
              <w:left w:type="dxa" w:w="100"/>
              <w:bottom w:type="dxa" w:w="80"/>
              <w:right w:type="dxa" w:w="100"/>
            </w:tcMar>
          </w:tcPr>
          <w:p>
            <w:pPr>
              <w:spacing w:after="40" w:line="252"/>
            </w:pPr>
            <w:r>
              <w:rPr>
                <w:b w:val="false"/>
                <w:bCs w:val="false"/>
                <w:sz w:val="19"/>
                <w:szCs w:val="19"/>
              </w:rPr>
              <w:t xml:space="preserve">Yes</w:t>
            </w:r>
          </w:p>
        </w:tc>
        <w:tc>
          <w:tcPr>
            <w:tcW w:type="dxa" w:w="3120"/>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Respiratory rate</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 (sleep-time from Watch)</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tcMar>
              <w:top w:type="dxa" w:w="80"/>
              <w:left w:type="dxa" w:w="100"/>
              <w:bottom w:type="dxa" w:w="80"/>
              <w:right w:type="dxa" w:w="100"/>
            </w:tcMar>
          </w:tcPr>
          <w:p>
            <w:pPr>
              <w:spacing w:after="40" w:line="252"/>
            </w:pPr>
            <w:r>
              <w:rPr>
                <w:b w:val="false"/>
                <w:bCs w:val="false"/>
                <w:sz w:val="19"/>
                <w:szCs w:val="19"/>
              </w:rPr>
              <w:t xml:space="preserve">Blood pressure</w:t>
            </w:r>
          </w:p>
        </w:tc>
        <w:tc>
          <w:tcPr>
            <w:tcW w:type="dxa" w:w="3120"/>
            <w:tcMar>
              <w:top w:type="dxa" w:w="80"/>
              <w:left w:type="dxa" w:w="100"/>
              <w:bottom w:type="dxa" w:w="80"/>
              <w:right w:type="dxa" w:w="100"/>
            </w:tcMar>
          </w:tcPr>
          <w:p>
            <w:pPr>
              <w:spacing w:after="40" w:line="252"/>
            </w:pPr>
            <w:r>
              <w:rPr>
                <w:b w:val="false"/>
                <w:bCs w:val="false"/>
                <w:sz w:val="19"/>
                <w:szCs w:val="19"/>
              </w:rPr>
              <w:t xml:space="preserve">Yes (cuffs / manual)</w:t>
            </w:r>
          </w:p>
        </w:tc>
        <w:tc>
          <w:tcPr>
            <w:tcW w:type="dxa" w:w="3120"/>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Blood glucose</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 (CGM / manual)</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tcMar>
              <w:top w:type="dxa" w:w="80"/>
              <w:left w:type="dxa" w:w="100"/>
              <w:bottom w:type="dxa" w:w="80"/>
              <w:right w:type="dxa" w:w="100"/>
            </w:tcMar>
          </w:tcPr>
          <w:p>
            <w:pPr>
              <w:spacing w:after="40" w:line="252"/>
            </w:pPr>
            <w:r>
              <w:rPr>
                <w:b w:val="false"/>
                <w:bCs w:val="false"/>
                <w:sz w:val="19"/>
                <w:szCs w:val="19"/>
              </w:rPr>
              <w:t xml:space="preserve">Body / skin temperature</w:t>
            </w:r>
          </w:p>
        </w:tc>
        <w:tc>
          <w:tcPr>
            <w:tcW w:type="dxa" w:w="3120"/>
            <w:tcMar>
              <w:top w:type="dxa" w:w="80"/>
              <w:left w:type="dxa" w:w="100"/>
              <w:bottom w:type="dxa" w:w="80"/>
              <w:right w:type="dxa" w:w="100"/>
            </w:tcMar>
          </w:tcPr>
          <w:p>
            <w:pPr>
              <w:spacing w:after="40" w:line="252"/>
            </w:pPr>
            <w:r>
              <w:rPr>
                <w:b w:val="false"/>
                <w:bCs w:val="false"/>
                <w:sz w:val="19"/>
                <w:szCs w:val="19"/>
              </w:rPr>
              <w:t xml:space="preserve">Yes (wrist temp read-only)</w:t>
            </w:r>
          </w:p>
        </w:tc>
        <w:tc>
          <w:tcPr>
            <w:tcW w:type="dxa" w:w="3120"/>
            <w:tcMar>
              <w:top w:type="dxa" w:w="80"/>
              <w:left w:type="dxa" w:w="100"/>
              <w:bottom w:type="dxa" w:w="80"/>
              <w:right w:type="dxa" w:w="100"/>
            </w:tcMar>
          </w:tcPr>
          <w:p>
            <w:pPr>
              <w:spacing w:after="40" w:line="252"/>
            </w:pPr>
            <w:r>
              <w:rPr>
                <w:b w:val="false"/>
                <w:bCs w:val="false"/>
                <w:sz w:val="19"/>
                <w:szCs w:val="19"/>
              </w:rPr>
              <w:t xml:space="preserve">Yes (incl. skin temp series)</w:t>
            </w:r>
          </w:p>
        </w:tc>
      </w:tr>
      <w:tr>
        <w:trPr>
          <w:tblHeader w:val="false"/>
        </w:trPr>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Sleep (with stages)</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tcMar>
              <w:top w:type="dxa" w:w="80"/>
              <w:left w:type="dxa" w:w="100"/>
              <w:bottom w:type="dxa" w:w="80"/>
              <w:right w:type="dxa" w:w="100"/>
            </w:tcMar>
          </w:tcPr>
          <w:p>
            <w:pPr>
              <w:spacing w:after="40" w:line="252"/>
            </w:pPr>
            <w:r>
              <w:rPr>
                <w:b w:val="false"/>
                <w:bCs w:val="false"/>
                <w:sz w:val="19"/>
                <w:szCs w:val="19"/>
              </w:rPr>
              <w:t xml:space="preserve">Steps / activity / energy</w:t>
            </w:r>
          </w:p>
        </w:tc>
        <w:tc>
          <w:tcPr>
            <w:tcW w:type="dxa" w:w="3120"/>
            <w:tcMar>
              <w:top w:type="dxa" w:w="80"/>
              <w:left w:type="dxa" w:w="100"/>
              <w:bottom w:type="dxa" w:w="80"/>
              <w:right w:type="dxa" w:w="100"/>
            </w:tcMar>
          </w:tcPr>
          <w:p>
            <w:pPr>
              <w:spacing w:after="40" w:line="252"/>
            </w:pPr>
            <w:r>
              <w:rPr>
                <w:b w:val="false"/>
                <w:bCs w:val="false"/>
                <w:sz w:val="19"/>
                <w:szCs w:val="19"/>
              </w:rPr>
              <w:t xml:space="preserve">Yes</w:t>
            </w:r>
          </w:p>
        </w:tc>
        <w:tc>
          <w:tcPr>
            <w:tcW w:type="dxa" w:w="3120"/>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VO2 max</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c>
          <w:tcPr>
            <w:tcW w:type="dxa" w:w="3120"/>
            <w:shd w:fill="F2F2F2" w:val="clear"/>
            <w:tcMar>
              <w:top w:type="dxa" w:w="80"/>
              <w:left w:type="dxa" w:w="100"/>
              <w:bottom w:type="dxa" w:w="80"/>
              <w:right w:type="dxa" w:w="100"/>
            </w:tcMar>
          </w:tcPr>
          <w:p>
            <w:pPr>
              <w:spacing w:after="40" w:line="252"/>
            </w:pPr>
            <w:r>
              <w:rPr>
                <w:b w:val="false"/>
                <w:bCs w:val="false"/>
                <w:sz w:val="19"/>
                <w:szCs w:val="19"/>
              </w:rPr>
              <w:t xml:space="preserve">Yes</w:t>
            </w:r>
          </w:p>
        </w:tc>
      </w:tr>
      <w:tr>
        <w:trPr>
          <w:tblHeader w:val="false"/>
        </w:trPr>
        <w:tc>
          <w:tcPr>
            <w:tcW w:type="dxa" w:w="3120"/>
            <w:tcMar>
              <w:top w:type="dxa" w:w="80"/>
              <w:left w:type="dxa" w:w="100"/>
              <w:bottom w:type="dxa" w:w="80"/>
              <w:right w:type="dxa" w:w="100"/>
            </w:tcMar>
          </w:tcPr>
          <w:p>
            <w:pPr>
              <w:spacing w:after="40" w:line="252"/>
            </w:pPr>
            <w:r>
              <w:rPr>
                <w:b w:val="false"/>
                <w:bCs w:val="false"/>
                <w:sz w:val="19"/>
                <w:szCs w:val="19"/>
              </w:rPr>
              <w:t xml:space="preserve">Weight / body composition</w:t>
            </w:r>
          </w:p>
        </w:tc>
        <w:tc>
          <w:tcPr>
            <w:tcW w:type="dxa" w:w="3120"/>
            <w:tcMar>
              <w:top w:type="dxa" w:w="80"/>
              <w:left w:type="dxa" w:w="100"/>
              <w:bottom w:type="dxa" w:w="80"/>
              <w:right w:type="dxa" w:w="100"/>
            </w:tcMar>
          </w:tcPr>
          <w:p>
            <w:pPr>
              <w:spacing w:after="40" w:line="252"/>
            </w:pPr>
            <w:r>
              <w:rPr>
                <w:b w:val="false"/>
                <w:bCs w:val="false"/>
                <w:sz w:val="19"/>
                <w:szCs w:val="19"/>
              </w:rPr>
              <w:t xml:space="preserve">Yes</w:t>
            </w:r>
          </w:p>
        </w:tc>
        <w:tc>
          <w:tcPr>
            <w:tcW w:type="dxa" w:w="3120"/>
            <w:tcMar>
              <w:top w:type="dxa" w:w="80"/>
              <w:left w:type="dxa" w:w="100"/>
              <w:bottom w:type="dxa" w:w="80"/>
              <w:right w:type="dxa" w:w="100"/>
            </w:tcMar>
          </w:tcPr>
          <w:p>
            <w:pPr>
              <w:spacing w:after="40" w:line="252"/>
            </w:pPr>
            <w:r>
              <w:rPr>
                <w:b w:val="false"/>
                <w:bCs w:val="false"/>
                <w:sz w:val="19"/>
                <w:szCs w:val="19"/>
              </w:rPr>
              <w:t xml:space="preserve">Yes</w:t>
            </w:r>
          </w:p>
        </w:tc>
      </w:tr>
    </w:tbl>
    <w:p>
      <w:pPr>
        <w:spacing w:after="140" w:line="276"/>
      </w:pPr>
      <w:r>
        <w:t xml:space="default"/>
      </w:r>
    </w:p>
    <w:p>
      <w:pPr>
        <w:spacing w:after="140" w:line="276"/>
      </w:pPr>
      <w:r>
        <w:rPr>
          <w:b/>
          <w:bCs/>
        </w:rPr>
        <w:t xml:space="preserve">Two collection paths exist for BQ, and they have different rules: </w:t>
      </w:r>
      <w:r>
        <w:t xml:space="preserve">(1) reading from HealthKit / Health Connect — gated by user permission per data type, platform background rules, and store health-data policies; (2) reading directly from our own BQ device (or a partner wearable) over BLE/GATT — this bypasses the health stores entirely: data arrives in our app as ordinary BLE payloads, with none of the HealthKit/Health Connect background or history limitations. Path 2 is often the more reliable option for dose-related vitals, and we can additionally write those samples into HealthKit/Health Connect for the user’s benefit.</w:t>
      </w:r>
    </w:p>
    <w:p>
      <w:pPr>
        <w:pStyle w:val="Heading1"/>
        <w:spacing w:after="160" w:before="360"/>
      </w:pPr>
      <w:r>
        <w:rPr>
          <w:color w:val="1F3864"/>
        </w:rPr>
        <w:t xml:space="preserve">3. Reading a Specific Time Range</w:t>
      </w:r>
    </w:p>
    <w:p>
      <w:pPr>
        <w:pStyle w:val="Heading2"/>
        <w:spacing w:after="120" w:before="280"/>
      </w:pPr>
      <w:r>
        <w:rPr>
          <w:color w:val="2E74B5"/>
        </w:rPr>
        <w:t xml:space="preserve">3.1 iOS (HealthKit)</w:t>
      </w:r>
    </w:p>
    <w:p>
      <w:pPr>
        <w:pStyle w:val="ListParagraph"/>
        <w:numPr>
          <w:ilvl w:val="0"/>
          <w:numId w:val="2"/>
        </w:numPr>
        <w:spacing w:after="80" w:line="276"/>
      </w:pPr>
      <w:r>
        <w:rPr>
          <w:b/>
          <w:bCs/>
        </w:rPr>
        <w:t xml:space="preserve">Exact time-range query: </w:t>
      </w:r>
      <w:r>
        <w:rPr>
          <w:rFonts w:ascii="Consolas" w:cs="Consolas" w:eastAsia="Consolas" w:hAnsi="Consolas"/>
          <w:color w:val="833C00"/>
          <w:sz w:val="18"/>
          <w:szCs w:val="18"/>
        </w:rPr>
        <w:t xml:space="preserve">HKSampleQuery</w:t>
      </w:r>
      <w:r>
        <w:t xml:space="preserve"> with </w:t>
      </w:r>
      <w:r>
        <w:rPr>
          <w:rFonts w:ascii="Consolas" w:cs="Consolas" w:eastAsia="Consolas" w:hAnsi="Consolas"/>
          <w:color w:val="833C00"/>
          <w:sz w:val="18"/>
          <w:szCs w:val="18"/>
        </w:rPr>
        <w:t xml:space="preserve">NSPredicate(forSamplesWithStart:end:)</w:t>
      </w:r>
      <w:r>
        <w:t xml:space="preserve"> returns every sample whose timestamp falls in the window. Works for any granted type, any time in the past — HealthKit gives access to the user’s full history once read permission is granted (no 30-day limit).</w:t>
      </w:r>
    </w:p>
    <w:p>
      <w:pPr>
        <w:pStyle w:val="ListParagraph"/>
        <w:numPr>
          <w:ilvl w:val="0"/>
          <w:numId w:val="2"/>
        </w:numPr>
        <w:spacing w:after="80" w:line="276"/>
      </w:pPr>
      <w:r>
        <w:rPr>
          <w:b/>
          <w:bCs/>
        </w:rPr>
        <w:t xml:space="preserve">Incremental sync: </w:t>
      </w:r>
      <w:r>
        <w:rPr>
          <w:rFonts w:ascii="Consolas" w:cs="Consolas" w:eastAsia="Consolas" w:hAnsi="Consolas"/>
          <w:color w:val="833C00"/>
          <w:sz w:val="18"/>
          <w:szCs w:val="18"/>
        </w:rPr>
        <w:t xml:space="preserve">HKAnchoredObjectQuery</w:t>
      </w:r>
      <w:r>
        <w:t xml:space="preserve"> returns “everything new or deleted since the anchor I stored last time” — the right primitive for shipping deltas to the agent API without re-reading history. HealthKit has no change-token/push API beyond this; you persist the anchor yourself.</w:t>
      </w:r>
    </w:p>
    <w:p>
      <w:pPr>
        <w:pStyle w:val="ListParagraph"/>
        <w:numPr>
          <w:ilvl w:val="0"/>
          <w:numId w:val="2"/>
        </w:numPr>
        <w:spacing w:after="80" w:line="276"/>
      </w:pPr>
      <w:r>
        <w:rPr>
          <w:b/>
          <w:bCs/>
        </w:rPr>
        <w:t xml:space="preserve">Aggregates: </w:t>
      </w:r>
      <w:r>
        <w:rPr>
          <w:rFonts w:ascii="Consolas" w:cs="Consolas" w:eastAsia="Consolas" w:hAnsi="Consolas"/>
          <w:color w:val="833C00"/>
          <w:sz w:val="18"/>
          <w:szCs w:val="18"/>
        </w:rPr>
        <w:t xml:space="preserve">HKStatisticsCollectionQuery</w:t>
      </w:r>
      <w:r>
        <w:t xml:space="preserve"> produces per-interval averages/min/max/sums (e.g. hourly average HR) — cheaper than raw samples if the agent only needs summaries.</w:t>
      </w:r>
    </w:p>
    <w:p>
      <w:pPr>
        <w:pStyle w:val="ListParagraph"/>
        <w:numPr>
          <w:ilvl w:val="0"/>
          <w:numId w:val="2"/>
        </w:numPr>
        <w:spacing w:after="80" w:line="276"/>
      </w:pPr>
      <w:r>
        <w:rPr>
          <w:b/>
          <w:bCs/>
        </w:rPr>
        <w:t xml:space="preserve">Caveats: </w:t>
      </w:r>
      <w:r>
        <w:t xml:space="preserve">samples arrive late (Watch syncs to iPhone opportunistically — HR measured at 08:15 may only appear in HealthKit at 08:40); multiple sources can duplicate the same physiological event; querying “08:00–10:00” too early can return an incomplete picture. Query with a safety lag, and deduplicate by sample UUID + source.</w:t>
      </w:r>
    </w:p>
    <w:p>
      <w:pPr>
        <w:pStyle w:val="Heading2"/>
        <w:spacing w:after="120" w:before="280"/>
      </w:pPr>
      <w:r>
        <w:rPr>
          <w:color w:val="2E74B5"/>
        </w:rPr>
        <w:t xml:space="preserve">3.2 Android (Health Connect)</w:t>
      </w:r>
    </w:p>
    <w:p>
      <w:pPr>
        <w:pStyle w:val="ListParagraph"/>
        <w:numPr>
          <w:ilvl w:val="0"/>
          <w:numId w:val="2"/>
        </w:numPr>
        <w:spacing w:after="80" w:line="276"/>
      </w:pPr>
      <w:r>
        <w:rPr>
          <w:b/>
          <w:bCs/>
        </w:rPr>
        <w:t xml:space="preserve">Exact time-range query: </w:t>
      </w:r>
      <w:r>
        <w:rPr>
          <w:rFonts w:ascii="Consolas" w:cs="Consolas" w:eastAsia="Consolas" w:hAnsi="Consolas"/>
          <w:color w:val="833C00"/>
          <w:sz w:val="18"/>
          <w:szCs w:val="18"/>
        </w:rPr>
        <w:t xml:space="preserve">readRecords(ReadRecordsRequest(type, TimeRangeFilter.between(start, end)))</w:t>
      </w:r>
      <w:r>
        <w:t xml:space="preserve"> — pages of up to 1,000 records with a pageToken loop. Aggregates via </w:t>
      </w:r>
      <w:r>
        <w:rPr>
          <w:rFonts w:ascii="Consolas" w:cs="Consolas" w:eastAsia="Consolas" w:hAnsi="Consolas"/>
          <w:color w:val="833C00"/>
          <w:sz w:val="18"/>
          <w:szCs w:val="18"/>
        </w:rPr>
        <w:t xml:space="preserve">aggregate()</w:t>
      </w:r>
      <w:r>
        <w:t xml:space="preserve"> with the same time filter (also the safe way to avoid double-counting cumulative types like steps).</w:t>
      </w:r>
    </w:p>
    <w:p>
      <w:pPr>
        <w:pStyle w:val="ListParagraph"/>
        <w:numPr>
          <w:ilvl w:val="0"/>
          <w:numId w:val="2"/>
        </w:numPr>
        <w:spacing w:after="80" w:line="276"/>
      </w:pPr>
      <w:r>
        <w:rPr>
          <w:b/>
          <w:bCs/>
        </w:rPr>
        <w:t xml:space="preserve">Incremental sync: </w:t>
      </w:r>
      <w:r>
        <w:t xml:space="preserve">the Changes API — obtain a changes token, then periodically call getChanges(token) to receive only new/updated/deleted records since last sync. This is the intended pattern for feeding a backend.</w:t>
      </w:r>
    </w:p>
    <w:p>
      <w:pPr>
        <w:pStyle w:val="ListParagraph"/>
        <w:numPr>
          <w:ilvl w:val="0"/>
          <w:numId w:val="2"/>
        </w:numPr>
        <w:spacing w:after="80" w:line="276"/>
      </w:pPr>
      <w:r>
        <w:rPr>
          <w:b/>
          <w:bCs/>
        </w:rPr>
        <w:t xml:space="preserve">History limit: </w:t>
      </w:r>
      <w:r>
        <w:t xml:space="preserve">by default an app can only read data written up to 30 days before the user FIRST granted permission (window resets on uninstall/reinstall). Older history requires the extra </w:t>
      </w:r>
      <w:r>
        <w:rPr>
          <w:rFonts w:ascii="Consolas" w:cs="Consolas" w:eastAsia="Consolas" w:hAnsi="Consolas"/>
          <w:color w:val="833C00"/>
          <w:sz w:val="18"/>
          <w:szCs w:val="18"/>
        </w:rPr>
        <w:t xml:space="preserve">PERMISSION_READ_HEALTH_DATA_HISTORY</w:t>
      </w:r>
      <w:r>
        <w:t xml:space="preserve"> grant. For BQ this matters at onboarding: without the history permission, a new user’s pre-install vitals are mostly out of reach.</w:t>
      </w:r>
    </w:p>
    <w:p>
      <w:pPr>
        <w:pStyle w:val="ListParagraph"/>
        <w:numPr>
          <w:ilvl w:val="0"/>
          <w:numId w:val="2"/>
        </w:numPr>
        <w:spacing w:after="80" w:line="276"/>
      </w:pPr>
      <w:r>
        <w:rPr>
          <w:b/>
          <w:bCs/>
        </w:rPr>
        <w:t xml:space="preserve">Rate limits: </w:t>
      </w:r>
      <w:r>
        <w:t xml:space="preserve">Health Connect enforces API quotas (foreground and background buckets); heavy polling throws — batch reads, use time-sliced aggregates, and back off exponentially on quota errors.</w:t>
      </w:r>
    </w:p>
    <w:p>
      <w:pPr>
        <w:pStyle w:val="ListParagraph"/>
        <w:numPr>
          <w:ilvl w:val="0"/>
          <w:numId w:val="2"/>
        </w:numPr>
        <w:spacing w:after="80" w:line="276"/>
      </w:pPr>
      <w:r>
        <w:rPr>
          <w:b/>
          <w:bCs/>
        </w:rPr>
        <w:t xml:space="preserve">Freshness caveat: </w:t>
      </w:r>
      <w:r>
        <w:t xml:space="preserve">Health Connect only contains what source apps have synced into it. A Fitbit/Garmin may flush to Health Connect on its own schedule — the 08:00–10:00 window may fill in minutes later. Same rule as iOS: query with a lag, sync by token, dedupe.</w:t>
      </w:r>
    </w:p>
    <w:p>
      <w:r>
        <w:br w:type="page"/>
      </w:r>
    </w:p>
    <w:p>
      <w:pPr>
        <w:pStyle w:val="Heading1"/>
        <w:spacing w:after="160" w:before="360"/>
      </w:pPr>
      <w:r>
        <w:rPr>
          <w:color w:val="1F3864"/>
        </w:rPr>
        <w:t xml:space="preserve">4. Background Collection → Sending to the Agent API</w:t>
      </w:r>
    </w:p>
    <w:p>
      <w:pPr>
        <w:spacing w:after="140" w:line="276"/>
      </w:pPr>
      <w:r>
        <w:t xml:space="preserve">This is the part where platform physics dominate. Neither OS lets an app simply “run at 10:00 and upload”. What each platform actually offers:</w:t>
      </w:r>
    </w:p>
    <w:p>
      <w:pPr>
        <w:pStyle w:val="Heading2"/>
        <w:spacing w:after="120" w:before="280"/>
      </w:pPr>
      <w:r>
        <w:rPr>
          <w:color w:val="2E74B5"/>
        </w:rPr>
        <w:t xml:space="preserve">4.1 iOS</w:t>
      </w:r>
    </w:p>
    <w:p>
      <w:pPr>
        <w:pStyle w:val="ListParagraph"/>
        <w:numPr>
          <w:ilvl w:val="0"/>
          <w:numId w:val="2"/>
        </w:numPr>
        <w:spacing w:after="80" w:line="276"/>
      </w:pPr>
      <w:r>
        <w:rPr>
          <w:b/>
          <w:bCs/>
        </w:rPr>
        <w:t xml:space="preserve">Wake-on-new-data: </w:t>
      </w:r>
      <w:r>
        <w:rPr>
          <w:rFonts w:ascii="Consolas" w:cs="Consolas" w:eastAsia="Consolas" w:hAnsi="Consolas"/>
          <w:color w:val="833C00"/>
          <w:sz w:val="18"/>
          <w:szCs w:val="18"/>
        </w:rPr>
        <w:t xml:space="preserve">HKObserverQuery</w:t>
      </w:r>
      <w:r>
        <w:t xml:space="preserve"> + </w:t>
      </w:r>
      <w:r>
        <w:rPr>
          <w:rFonts w:ascii="Consolas" w:cs="Consolas" w:eastAsia="Consolas" w:hAnsi="Consolas"/>
          <w:color w:val="833C00"/>
          <w:sz w:val="18"/>
          <w:szCs w:val="18"/>
        </w:rPr>
        <w:t xml:space="preserve">enableBackgroundDelivery(for:frequency:)</w:t>
      </w:r>
      <w:r>
        <w:t xml:space="preserve"> — iOS wakes the app briefly when new samples of a registered type arrive. Frequency options are immediate / hourly / daily / weekly, but HealthKit enforces per-type minimums: many high-volume types (steps and most cardio metrics on iOS) are effectively capped at hourly; sleep is daily-ish. “Immediate” is honored for lower-volume clinical types. Treat the frequency as a ceiling, not a schedule.</w:t>
      </w:r>
    </w:p>
    <w:p>
      <w:pPr>
        <w:pStyle w:val="ListParagraph"/>
        <w:numPr>
          <w:ilvl w:val="0"/>
          <w:numId w:val="2"/>
        </w:numPr>
        <w:spacing w:after="80" w:line="276"/>
      </w:pPr>
      <w:r>
        <w:rPr>
          <w:b/>
          <w:bCs/>
        </w:rPr>
        <w:t xml:space="preserve">Execution budget: </w:t>
      </w:r>
      <w:r>
        <w:t xml:space="preserve">on wake you get a short window (~30 s) to query and hand off an upload. Use a background URLSession so the upload completes even after the app suspends; call the observer’s completion handler or iOS throttles future deliveries.</w:t>
      </w:r>
    </w:p>
    <w:p>
      <w:pPr>
        <w:pStyle w:val="ListParagraph"/>
        <w:numPr>
          <w:ilvl w:val="0"/>
          <w:numId w:val="2"/>
        </w:numPr>
        <w:spacing w:after="80" w:line="276"/>
      </w:pPr>
      <w:r>
        <w:rPr>
          <w:b/>
          <w:bCs/>
        </w:rPr>
        <w:t xml:space="preserve">Locked-device limit: </w:t>
      </w:r>
      <w:r>
        <w:t xml:space="preserve">the HealthKit store is encrypted with the device passcode — the app cannot read HealthKit while the device is locked. Background deliveries that fire while locked are deferred; data flows again on unlock. A nightly “03:00 sync” design will therefore silently shift to the user’s first morning unlock.</w:t>
      </w:r>
    </w:p>
    <w:p>
      <w:pPr>
        <w:pStyle w:val="ListParagraph"/>
        <w:numPr>
          <w:ilvl w:val="0"/>
          <w:numId w:val="2"/>
        </w:numPr>
        <w:spacing w:after="80" w:line="276"/>
      </w:pPr>
      <w:r>
        <w:rPr>
          <w:b/>
          <w:bCs/>
        </w:rPr>
        <w:t xml:space="preserve">Scheduled tasks: </w:t>
      </w:r>
      <w:r>
        <w:rPr>
          <w:rFonts w:ascii="Consolas" w:cs="Consolas" w:eastAsia="Consolas" w:hAnsi="Consolas"/>
          <w:color w:val="833C00"/>
          <w:sz w:val="18"/>
          <w:szCs w:val="18"/>
        </w:rPr>
        <w:t xml:space="preserve">BGAppRefreshTask</w:t>
      </w:r>
      <w:r>
        <w:t xml:space="preserve"> / </w:t>
      </w:r>
      <w:r>
        <w:rPr>
          <w:rFonts w:ascii="Consolas" w:cs="Consolas" w:eastAsia="Consolas" w:hAnsi="Consolas"/>
          <w:color w:val="833C00"/>
          <w:sz w:val="18"/>
          <w:szCs w:val="18"/>
        </w:rPr>
        <w:t xml:space="preserve">BGProcessingTask</w:t>
      </w:r>
      <w:r>
        <w:t xml:space="preserve"> let you request a run “no earlier than” a time; iOS decides actual execution using usage patterns and charging state. Good as a sweeper/retry mechanism, useless as a punctual trigger.</w:t>
      </w:r>
    </w:p>
    <w:p>
      <w:pPr>
        <w:pStyle w:val="ListParagraph"/>
        <w:numPr>
          <w:ilvl w:val="0"/>
          <w:numId w:val="2"/>
        </w:numPr>
        <w:spacing w:after="80" w:line="276"/>
      </w:pPr>
      <w:r>
        <w:rPr>
          <w:b/>
          <w:bCs/>
        </w:rPr>
        <w:t xml:space="preserve">Server-initiated wake: </w:t>
      </w:r>
      <w:r>
        <w:t xml:space="preserve">a silent push (content-available) from the BQ backend can wake the app to read a window on demand — e.g. the agent asks for 08:00–10:00 at 10:05. Throttled by iOS (budget of a few per hour, not guaranteed), and still subject to the locked-device rule.</w:t>
      </w:r>
    </w:p>
    <w:p>
      <w:pPr>
        <w:pStyle w:val="ListParagraph"/>
        <w:numPr>
          <w:ilvl w:val="0"/>
          <w:numId w:val="2"/>
        </w:numPr>
        <w:spacing w:after="80" w:line="276"/>
      </w:pPr>
      <w:r>
        <w:rPr>
          <w:b/>
          <w:bCs/>
        </w:rPr>
        <w:t xml:space="preserve">Hard stops: </w:t>
      </w:r>
      <w:r>
        <w:t xml:space="preserve">if the user force-quits the app, background delivery and pushes will not relaunch it until the user opens it again. Low Power Mode and Background App Refresh being disabled also suppress background reads. The app cannot fix any of this programmatically — the BQ backend must detect sync gaps and (if appropriate) nudge via a visible notification.</w:t>
      </w:r>
    </w:p>
    <w:p>
      <w:pPr>
        <w:pStyle w:val="Heading2"/>
        <w:spacing w:after="120" w:before="280"/>
      </w:pPr>
      <w:r>
        <w:rPr>
          <w:color w:val="2E74B5"/>
        </w:rPr>
        <w:t xml:space="preserve">4.2 Android</w:t>
      </w:r>
    </w:p>
    <w:p>
      <w:pPr>
        <w:pStyle w:val="ListParagraph"/>
        <w:numPr>
          <w:ilvl w:val="0"/>
          <w:numId w:val="2"/>
        </w:numPr>
        <w:spacing w:after="80" w:line="276"/>
      </w:pPr>
      <w:r>
        <w:rPr>
          <w:b/>
          <w:bCs/>
        </w:rPr>
        <w:t xml:space="preserve">Background read permission: </w:t>
      </w:r>
      <w:r>
        <w:t xml:space="preserve">reading Health Connect while not in the foreground requires the separate </w:t>
      </w:r>
      <w:r>
        <w:rPr>
          <w:rFonts w:ascii="Consolas" w:cs="Consolas" w:eastAsia="Consolas" w:hAnsi="Consolas"/>
          <w:color w:val="833C00"/>
          <w:sz w:val="18"/>
          <w:szCs w:val="18"/>
        </w:rPr>
        <w:t xml:space="preserve">READ_HEALTH_DATA_IN_BACKGROUND</w:t>
      </w:r>
      <w:r>
        <w:t xml:space="preserve"> runtime permission (Android 15+; on 14 background reads are restricted). Without it, reads only work while the app is open.</w:t>
      </w:r>
    </w:p>
    <w:p>
      <w:pPr>
        <w:pStyle w:val="ListParagraph"/>
        <w:numPr>
          <w:ilvl w:val="0"/>
          <w:numId w:val="2"/>
        </w:numPr>
        <w:spacing w:after="80" w:line="276"/>
      </w:pPr>
      <w:r>
        <w:rPr>
          <w:b/>
          <w:bCs/>
        </w:rPr>
        <w:t xml:space="preserve">Scheduling: </w:t>
      </w:r>
      <w:r>
        <w:rPr>
          <w:rFonts w:ascii="Consolas" w:cs="Consolas" w:eastAsia="Consolas" w:hAnsi="Consolas"/>
          <w:color w:val="833C00"/>
          <w:sz w:val="18"/>
          <w:szCs w:val="18"/>
        </w:rPr>
        <w:t xml:space="preserve">WorkManager</w:t>
      </w:r>
      <w:r>
        <w:t xml:space="preserve"> periodic jobs (minimum interval 15 minutes) are the sanctioned mechanism: wake → getChanges(token) → upload → store new token. For dose-time-anchored windows, schedule a one-time expedited job around the dose event. Exact-time execution is possible with exact alarms (</w:t>
      </w:r>
      <w:r>
        <w:rPr>
          <w:rFonts w:ascii="Consolas" w:cs="Consolas" w:eastAsia="Consolas" w:hAnsi="Consolas"/>
          <w:color w:val="833C00"/>
          <w:sz w:val="18"/>
          <w:szCs w:val="18"/>
        </w:rPr>
        <w:t xml:space="preserve">SCHEDULE_EXACT_ALARM</w:t>
      </w:r>
      <w:r>
        <w:t xml:space="preserve">), but Play policy restricts it to alarm/calendar-class apps — a medication reminder is one of the legitimate use cases, and BQ’s dose reminder may qualify; the subsequent Health Connect read still needs the background permission.</w:t>
      </w:r>
    </w:p>
    <w:p>
      <w:pPr>
        <w:pStyle w:val="ListParagraph"/>
        <w:numPr>
          <w:ilvl w:val="0"/>
          <w:numId w:val="2"/>
        </w:numPr>
        <w:spacing w:after="80" w:line="276"/>
      </w:pPr>
      <w:r>
        <w:rPr>
          <w:b/>
          <w:bCs/>
        </w:rPr>
        <w:t xml:space="preserve">Doze &amp; OEM battery managers: </w:t>
      </w:r>
      <w:r>
        <w:t xml:space="preserve">Doze windows, App Standby buckets, and vendor battery “optimizers” (Samsung, Xiaomi…) defer jobs — expect minutes-to-hours of jitter on unattended devices. Foreground services with the </w:t>
      </w:r>
      <w:r>
        <w:rPr>
          <w:rFonts w:ascii="Consolas" w:cs="Consolas" w:eastAsia="Consolas" w:hAnsi="Consolas"/>
          <w:color w:val="833C00"/>
          <w:sz w:val="18"/>
          <w:szCs w:val="18"/>
        </w:rPr>
        <w:t xml:space="preserve">health</w:t>
      </w:r>
      <w:r>
        <w:t xml:space="preserve"> service type exist for active sessions but are not meant for silent periodic harvesting.</w:t>
      </w:r>
    </w:p>
    <w:p>
      <w:pPr>
        <w:pStyle w:val="ListParagraph"/>
        <w:numPr>
          <w:ilvl w:val="0"/>
          <w:numId w:val="2"/>
        </w:numPr>
        <w:spacing w:after="80" w:line="276"/>
      </w:pPr>
      <w:r>
        <w:rPr>
          <w:b/>
          <w:bCs/>
        </w:rPr>
        <w:t xml:space="preserve">No locked-device penalty: </w:t>
      </w:r>
      <w:r>
        <w:t xml:space="preserve">unlike iOS, Health Connect data is readable by a background job while the screen is locked — one real advantage for a nightly batch sync.</w:t>
      </w:r>
    </w:p>
    <w:p>
      <w:pPr>
        <w:pStyle w:val="ListParagraph"/>
        <w:numPr>
          <w:ilvl w:val="0"/>
          <w:numId w:val="2"/>
        </w:numPr>
        <w:spacing w:after="80" w:line="276"/>
      </w:pPr>
      <w:r>
        <w:rPr>
          <w:b/>
          <w:bCs/>
        </w:rPr>
        <w:t xml:space="preserve">Hard stops: </w:t>
      </w:r>
      <w:r>
        <w:t xml:space="preserve">user revokes permissions (silent — reads return empty/SecurityException), user force-stops the app (jobs cancelled until next launch), rate-limit quotas on chatty pollers.</w:t>
      </w:r>
    </w:p>
    <w:p>
      <w:pPr>
        <w:pStyle w:val="Heading2"/>
        <w:spacing w:after="120" w:before="280"/>
      </w:pPr>
      <w:r>
        <w:rPr>
          <w:color w:val="2E74B5"/>
        </w:rPr>
        <w:t xml:space="preserve">4.3 What this means for “we need the data for a specific time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F3864" w:val="clear"/>
            <w:tcMar>
              <w:top w:type="dxa" w:w="80"/>
              <w:left w:type="dxa" w:w="100"/>
              <w:bottom w:type="dxa" w:w="80"/>
              <w:right w:type="dxa" w:w="100"/>
            </w:tcMar>
          </w:tcPr>
          <w:p>
            <w:pPr>
              <w:spacing w:after="40" w:line="252"/>
            </w:pPr>
            <w:r>
              <w:rPr>
                <w:b/>
                <w:bCs/>
                <w:color w:val="FFFFFF"/>
                <w:sz w:val="20"/>
                <w:szCs w:val="20"/>
              </w:rPr>
              <w:t xml:space="preserve">Requirement</w:t>
            </w:r>
          </w:p>
        </w:tc>
        <w:tc>
          <w:tcPr>
            <w:tcW w:type="dxa" w:w="3510"/>
            <w:shd w:fill="1F3864" w:val="clear"/>
            <w:tcMar>
              <w:top w:type="dxa" w:w="80"/>
              <w:left w:type="dxa" w:w="100"/>
              <w:bottom w:type="dxa" w:w="80"/>
              <w:right w:type="dxa" w:w="100"/>
            </w:tcMar>
          </w:tcPr>
          <w:p>
            <w:pPr>
              <w:spacing w:after="40" w:line="252"/>
            </w:pPr>
            <w:r>
              <w:rPr>
                <w:b/>
                <w:bCs/>
                <w:color w:val="FFFFFF"/>
                <w:sz w:val="20"/>
                <w:szCs w:val="20"/>
              </w:rPr>
              <w:t xml:space="preserve">iOS — achievable?</w:t>
            </w:r>
          </w:p>
        </w:tc>
        <w:tc>
          <w:tcPr>
            <w:tcW w:type="dxa" w:w="3510"/>
            <w:shd w:fill="1F3864" w:val="clear"/>
            <w:tcMar>
              <w:top w:type="dxa" w:w="80"/>
              <w:left w:type="dxa" w:w="100"/>
              <w:bottom w:type="dxa" w:w="80"/>
              <w:right w:type="dxa" w:w="100"/>
            </w:tcMar>
          </w:tcPr>
          <w:p>
            <w:pPr>
              <w:spacing w:after="40" w:line="252"/>
            </w:pPr>
            <w:r>
              <w:rPr>
                <w:b/>
                <w:bCs/>
                <w:color w:val="FFFFFF"/>
                <w:sz w:val="20"/>
                <w:szCs w:val="20"/>
              </w:rPr>
              <w:t xml:space="preserve">Android — achievable?</w:t>
            </w:r>
          </w:p>
        </w:tc>
      </w:tr>
      <w:tr>
        <w:trPr>
          <w:tblHeader w:val="false"/>
        </w:trPr>
        <w:tc>
          <w:tcPr>
            <w:tcW w:type="dxa" w:w="2340"/>
            <w:tcMar>
              <w:top w:type="dxa" w:w="80"/>
              <w:left w:type="dxa" w:w="100"/>
              <w:bottom w:type="dxa" w:w="80"/>
              <w:right w:type="dxa" w:w="100"/>
            </w:tcMar>
          </w:tcPr>
          <w:p>
            <w:pPr>
              <w:spacing w:after="40" w:line="252"/>
            </w:pPr>
            <w:r>
              <w:rPr>
                <w:b w:val="false"/>
                <w:bCs w:val="false"/>
                <w:sz w:val="19"/>
                <w:szCs w:val="19"/>
              </w:rPr>
              <w:t xml:space="preserve">Data covering an exact past window (e.g. 08:00–10:00)</w:t>
            </w:r>
          </w:p>
        </w:tc>
        <w:tc>
          <w:tcPr>
            <w:tcW w:type="dxa" w:w="3510"/>
            <w:tcMar>
              <w:top w:type="dxa" w:w="80"/>
              <w:left w:type="dxa" w:w="100"/>
              <w:bottom w:type="dxa" w:w="80"/>
              <w:right w:type="dxa" w:w="100"/>
            </w:tcMar>
          </w:tcPr>
          <w:p>
            <w:pPr>
              <w:spacing w:after="40" w:line="252"/>
            </w:pPr>
            <w:r>
              <w:rPr>
                <w:b w:val="false"/>
                <w:bCs w:val="false"/>
                <w:sz w:val="19"/>
                <w:szCs w:val="19"/>
              </w:rPr>
              <w:t xml:space="preserve">Yes — predicate query, full history</w:t>
            </w:r>
          </w:p>
        </w:tc>
        <w:tc>
          <w:tcPr>
            <w:tcW w:type="dxa" w:w="3510"/>
            <w:tcMar>
              <w:top w:type="dxa" w:w="80"/>
              <w:left w:type="dxa" w:w="100"/>
              <w:bottom w:type="dxa" w:w="80"/>
              <w:right w:type="dxa" w:w="100"/>
            </w:tcMar>
          </w:tcPr>
          <w:p>
            <w:pPr>
              <w:spacing w:after="40" w:line="252"/>
            </w:pPr>
            <w:r>
              <w:rPr>
                <w:b w:val="false"/>
                <w:bCs w:val="false"/>
                <w:sz w:val="19"/>
                <w:szCs w:val="19"/>
              </w:rPr>
              <w:t xml:space="preserve">Yes — TimeRangeFilter; watch the 30-day pre-grant limit</w:t>
            </w:r>
          </w:p>
        </w:tc>
      </w:tr>
      <w:tr>
        <w:trPr>
          <w:tblHeader w:val="false"/>
        </w:trPr>
        <w:tc>
          <w:tcPr>
            <w:tcW w:type="dxa" w:w="2340"/>
            <w:shd w:fill="F2F2F2" w:val="clear"/>
            <w:tcMar>
              <w:top w:type="dxa" w:w="80"/>
              <w:left w:type="dxa" w:w="100"/>
              <w:bottom w:type="dxa" w:w="80"/>
              <w:right w:type="dxa" w:w="100"/>
            </w:tcMar>
          </w:tcPr>
          <w:p>
            <w:pPr>
              <w:spacing w:after="40" w:line="252"/>
            </w:pPr>
            <w:r>
              <w:rPr>
                <w:b w:val="false"/>
                <w:bCs w:val="false"/>
                <w:sz w:val="19"/>
                <w:szCs w:val="19"/>
              </w:rPr>
              <w:t xml:space="preserve">Collected without user opening app</w:t>
            </w:r>
          </w:p>
        </w:tc>
        <w:tc>
          <w:tcPr>
            <w:tcW w:type="dxa" w:w="3510"/>
            <w:shd w:fill="F2F2F2" w:val="clear"/>
            <w:tcMar>
              <w:top w:type="dxa" w:w="80"/>
              <w:left w:type="dxa" w:w="100"/>
              <w:bottom w:type="dxa" w:w="80"/>
              <w:right w:type="dxa" w:w="100"/>
            </w:tcMar>
          </w:tcPr>
          <w:p>
            <w:pPr>
              <w:spacing w:after="40" w:line="252"/>
            </w:pPr>
            <w:r>
              <w:rPr>
                <w:b w:val="false"/>
                <w:bCs w:val="false"/>
                <w:sz w:val="19"/>
                <w:szCs w:val="19"/>
              </w:rPr>
              <w:t xml:space="preserve">Yes — background delivery (hourly-class cadence)</w:t>
            </w:r>
          </w:p>
        </w:tc>
        <w:tc>
          <w:tcPr>
            <w:tcW w:type="dxa" w:w="3510"/>
            <w:shd w:fill="F2F2F2" w:val="clear"/>
            <w:tcMar>
              <w:top w:type="dxa" w:w="80"/>
              <w:left w:type="dxa" w:w="100"/>
              <w:bottom w:type="dxa" w:w="80"/>
              <w:right w:type="dxa" w:w="100"/>
            </w:tcMar>
          </w:tcPr>
          <w:p>
            <w:pPr>
              <w:spacing w:after="40" w:line="252"/>
            </w:pPr>
            <w:r>
              <w:rPr>
                <w:b w:val="false"/>
                <w:bCs w:val="false"/>
                <w:sz w:val="19"/>
                <w:szCs w:val="19"/>
              </w:rPr>
              <w:t xml:space="preserve">Yes — WorkManager + background-read permission</w:t>
            </w:r>
          </w:p>
        </w:tc>
      </w:tr>
      <w:tr>
        <w:trPr>
          <w:tblHeader w:val="false"/>
        </w:trPr>
        <w:tc>
          <w:tcPr>
            <w:tcW w:type="dxa" w:w="2340"/>
            <w:tcMar>
              <w:top w:type="dxa" w:w="80"/>
              <w:left w:type="dxa" w:w="100"/>
              <w:bottom w:type="dxa" w:w="80"/>
              <w:right w:type="dxa" w:w="100"/>
            </w:tcMar>
          </w:tcPr>
          <w:p>
            <w:pPr>
              <w:spacing w:after="40" w:line="252"/>
            </w:pPr>
            <w:r>
              <w:rPr>
                <w:b w:val="false"/>
                <w:bCs w:val="false"/>
                <w:sz w:val="19"/>
                <w:szCs w:val="19"/>
              </w:rPr>
              <w:t xml:space="preserve">Uploaded at an exact clock time</w:t>
            </w:r>
          </w:p>
        </w:tc>
        <w:tc>
          <w:tcPr>
            <w:tcW w:type="dxa" w:w="3510"/>
            <w:tcMar>
              <w:top w:type="dxa" w:w="80"/>
              <w:left w:type="dxa" w:w="100"/>
              <w:bottom w:type="dxa" w:w="80"/>
              <w:right w:type="dxa" w:w="100"/>
            </w:tcMar>
          </w:tcPr>
          <w:p>
            <w:pPr>
              <w:spacing w:after="40" w:line="252"/>
            </w:pPr>
            <w:r>
              <w:rPr>
                <w:b w:val="false"/>
                <w:bCs w:val="false"/>
                <w:sz w:val="19"/>
                <w:szCs w:val="19"/>
              </w:rPr>
              <w:t xml:space="preserve">No — best effort; deferred if locked/force-quit</w:t>
            </w:r>
          </w:p>
        </w:tc>
        <w:tc>
          <w:tcPr>
            <w:tcW w:type="dxa" w:w="3510"/>
            <w:tcMar>
              <w:top w:type="dxa" w:w="80"/>
              <w:left w:type="dxa" w:w="100"/>
              <w:bottom w:type="dxa" w:w="80"/>
              <w:right w:type="dxa" w:w="100"/>
            </w:tcMar>
          </w:tcPr>
          <w:p>
            <w:pPr>
              <w:spacing w:after="40" w:line="252"/>
            </w:pPr>
            <w:r>
              <w:rPr>
                <w:b w:val="false"/>
                <w:bCs w:val="false"/>
                <w:sz w:val="19"/>
                <w:szCs w:val="19"/>
              </w:rPr>
              <w:t xml:space="preserve">Near — exact alarms possible for a dose-reminder app; jitter from Doze</w:t>
            </w:r>
          </w:p>
        </w:tc>
      </w:tr>
      <w:tr>
        <w:trPr>
          <w:tblHeader w:val="false"/>
        </w:trPr>
        <w:tc>
          <w:tcPr>
            <w:tcW w:type="dxa" w:w="2340"/>
            <w:shd w:fill="F2F2F2" w:val="clear"/>
            <w:tcMar>
              <w:top w:type="dxa" w:w="80"/>
              <w:left w:type="dxa" w:w="100"/>
              <w:bottom w:type="dxa" w:w="80"/>
              <w:right w:type="dxa" w:w="100"/>
            </w:tcMar>
          </w:tcPr>
          <w:p>
            <w:pPr>
              <w:spacing w:after="40" w:line="252"/>
            </w:pPr>
            <w:r>
              <w:rPr>
                <w:b w:val="false"/>
                <w:bCs w:val="false"/>
                <w:sz w:val="19"/>
                <w:szCs w:val="19"/>
              </w:rPr>
              <w:t xml:space="preserve">Backend pulls on demand</w:t>
            </w:r>
          </w:p>
        </w:tc>
        <w:tc>
          <w:tcPr>
            <w:tcW w:type="dxa" w:w="3510"/>
            <w:shd w:fill="F2F2F2" w:val="clear"/>
            <w:tcMar>
              <w:top w:type="dxa" w:w="80"/>
              <w:left w:type="dxa" w:w="100"/>
              <w:bottom w:type="dxa" w:w="80"/>
              <w:right w:type="dxa" w:w="100"/>
            </w:tcMar>
          </w:tcPr>
          <w:p>
            <w:pPr>
              <w:spacing w:after="40" w:line="252"/>
            </w:pPr>
            <w:r>
              <w:rPr>
                <w:b w:val="false"/>
                <w:bCs w:val="false"/>
                <w:sz w:val="19"/>
                <w:szCs w:val="19"/>
              </w:rPr>
              <w:t xml:space="preserve">Partially — silent push wake, throttled</w:t>
            </w:r>
          </w:p>
        </w:tc>
        <w:tc>
          <w:tcPr>
            <w:tcW w:type="dxa" w:w="3510"/>
            <w:shd w:fill="F2F2F2" w:val="clear"/>
            <w:tcMar>
              <w:top w:type="dxa" w:w="80"/>
              <w:left w:type="dxa" w:w="100"/>
              <w:bottom w:type="dxa" w:w="80"/>
              <w:right w:type="dxa" w:w="100"/>
            </w:tcMar>
          </w:tcPr>
          <w:p>
            <w:pPr>
              <w:spacing w:after="40" w:line="252"/>
            </w:pPr>
            <w:r>
              <w:rPr>
                <w:b w:val="false"/>
                <w:bCs w:val="false"/>
                <w:sz w:val="19"/>
                <w:szCs w:val="19"/>
              </w:rPr>
              <w:t xml:space="preserve">Partially — FCM data message wake, throttled</w:t>
            </w:r>
          </w:p>
        </w:tc>
      </w:tr>
      <w:tr>
        <w:trPr>
          <w:tblHeader w:val="false"/>
        </w:trPr>
        <w:tc>
          <w:tcPr>
            <w:tcW w:type="dxa" w:w="2340"/>
            <w:tcMar>
              <w:top w:type="dxa" w:w="80"/>
              <w:left w:type="dxa" w:w="100"/>
              <w:bottom w:type="dxa" w:w="80"/>
              <w:right w:type="dxa" w:w="100"/>
            </w:tcMar>
          </w:tcPr>
          <w:p>
            <w:pPr>
              <w:spacing w:after="40" w:line="252"/>
            </w:pPr>
            <w:r>
              <w:rPr>
                <w:b w:val="false"/>
                <w:bCs w:val="false"/>
                <w:sz w:val="19"/>
                <w:szCs w:val="19"/>
              </w:rPr>
              <w:t xml:space="preserve">Guaranteed latency bound</w:t>
            </w:r>
          </w:p>
        </w:tc>
        <w:tc>
          <w:tcPr>
            <w:tcW w:type="dxa" w:w="3510"/>
            <w:tcMar>
              <w:top w:type="dxa" w:w="80"/>
              <w:left w:type="dxa" w:w="100"/>
              <w:bottom w:type="dxa" w:w="80"/>
              <w:right w:type="dxa" w:w="100"/>
            </w:tcMar>
          </w:tcPr>
          <w:p>
            <w:pPr>
              <w:spacing w:after="40" w:line="252"/>
            </w:pPr>
            <w:r>
              <w:rPr>
                <w:b w:val="false"/>
                <w:bCs w:val="false"/>
                <w:sz w:val="19"/>
                <w:szCs w:val="19"/>
              </w:rPr>
              <w:t xml:space="preserve">No. Design for hours, not minutes</w:t>
            </w:r>
          </w:p>
        </w:tc>
        <w:tc>
          <w:tcPr>
            <w:tcW w:type="dxa" w:w="3510"/>
            <w:tcMar>
              <w:top w:type="dxa" w:w="80"/>
              <w:left w:type="dxa" w:w="100"/>
              <w:bottom w:type="dxa" w:w="80"/>
              <w:right w:type="dxa" w:w="100"/>
            </w:tcMar>
          </w:tcPr>
          <w:p>
            <w:pPr>
              <w:spacing w:after="40" w:line="252"/>
            </w:pPr>
            <w:r>
              <w:rPr>
                <w:b w:val="false"/>
                <w:bCs w:val="false"/>
                <w:sz w:val="19"/>
                <w:szCs w:val="19"/>
              </w:rPr>
              <w:t xml:space="preserve">No. Design for hours, not minutes</w:t>
            </w:r>
          </w:p>
        </w:tc>
      </w:tr>
      <w:tr>
        <w:trPr>
          <w:tblHeader w:val="false"/>
        </w:trPr>
        <w:tc>
          <w:tcPr>
            <w:tcW w:type="dxa" w:w="2340"/>
            <w:shd w:fill="F2F2F2" w:val="clear"/>
            <w:tcMar>
              <w:top w:type="dxa" w:w="80"/>
              <w:left w:type="dxa" w:w="100"/>
              <w:bottom w:type="dxa" w:w="80"/>
              <w:right w:type="dxa" w:w="100"/>
            </w:tcMar>
          </w:tcPr>
          <w:p>
            <w:pPr>
              <w:spacing w:after="40" w:line="252"/>
            </w:pPr>
            <w:r>
              <w:rPr>
                <w:b w:val="false"/>
                <w:bCs w:val="false"/>
                <w:sz w:val="19"/>
                <w:szCs w:val="19"/>
              </w:rPr>
              <w:t xml:space="preserve">Reliable exact-time vitals around a dose</w:t>
            </w:r>
          </w:p>
        </w:tc>
        <w:tc>
          <w:tcPr>
            <w:tcW w:type="dxa" w:w="3510"/>
            <w:shd w:fill="F2F2F2" w:val="clear"/>
            <w:tcMar>
              <w:top w:type="dxa" w:w="80"/>
              <w:left w:type="dxa" w:w="100"/>
              <w:bottom w:type="dxa" w:w="80"/>
              <w:right w:type="dxa" w:w="100"/>
            </w:tcMar>
          </w:tcPr>
          <w:p>
            <w:pPr>
              <w:spacing w:after="40" w:line="252"/>
            </w:pPr>
            <w:r>
              <w:rPr>
                <w:b w:val="false"/>
                <w:bCs w:val="false"/>
                <w:sz w:val="19"/>
                <w:szCs w:val="19"/>
              </w:rPr>
              <w:t xml:space="preserve">Best via BQ device / wearable over BLE directly</w:t>
            </w:r>
          </w:p>
        </w:tc>
        <w:tc>
          <w:tcPr>
            <w:tcW w:type="dxa" w:w="3510"/>
            <w:shd w:fill="F2F2F2" w:val="clear"/>
            <w:tcMar>
              <w:top w:type="dxa" w:w="80"/>
              <w:left w:type="dxa" w:w="100"/>
              <w:bottom w:type="dxa" w:w="80"/>
              <w:right w:type="dxa" w:w="100"/>
            </w:tcMar>
          </w:tcPr>
          <w:p>
            <w:pPr>
              <w:spacing w:after="40" w:line="252"/>
            </w:pPr>
            <w:r>
              <w:rPr>
                <w:b w:val="false"/>
                <w:bCs w:val="false"/>
                <w:sz w:val="19"/>
                <w:szCs w:val="19"/>
              </w:rPr>
              <w:t xml:space="preserve">Best via BQ device / wearable over BLE directly</w:t>
            </w:r>
          </w:p>
        </w:tc>
      </w:tr>
    </w:tbl>
    <w:p>
      <w:r>
        <w:br w:type="page"/>
      </w:r>
    </w:p>
    <w:p>
      <w:pPr>
        <w:pStyle w:val="Heading1"/>
        <w:spacing w:after="160" w:before="360"/>
      </w:pPr>
      <w:r>
        <w:rPr>
          <w:color w:val="1F3864"/>
        </w:rPr>
        <w:t xml:space="preserve">5. Recommended Architecture for the BQ Agent Flow</w:t>
      </w:r>
    </w:p>
    <w:p>
      <w:pPr>
        <w:pStyle w:val="ListParagraph"/>
        <w:numPr>
          <w:ilvl w:val="0"/>
          <w:numId w:val="2"/>
        </w:numPr>
        <w:spacing w:after="80" w:line="276"/>
      </w:pPr>
      <w:r>
        <w:rPr>
          <w:b/>
          <w:bCs/>
        </w:rPr>
        <w:t xml:space="preserve">1. Anchor on timestamps, not delivery time. </w:t>
      </w:r>
      <w:r>
        <w:t xml:space="preserve">The agent API should accept batches of samples each carrying (type, value, startTime, endTime, sourceDevice, sampleUUID). The agent then answers “what happened 08:00–10:00” from its own store whenever the batch arrives.</w:t>
      </w:r>
    </w:p>
    <w:p>
      <w:pPr>
        <w:pStyle w:val="ListParagraph"/>
        <w:numPr>
          <w:ilvl w:val="0"/>
          <w:numId w:val="2"/>
        </w:numPr>
        <w:spacing w:after="80" w:line="276"/>
      </w:pPr>
      <w:r>
        <w:rPr>
          <w:b/>
          <w:bCs/>
        </w:rPr>
        <w:t xml:space="preserve">2. Delta sync loops. </w:t>
      </w:r>
      <w:r>
        <w:t xml:space="preserve">iOS: observer wake → anchored query → background-URLSession upload → save anchor. Android: WorkManager (15–60 min) → getChanges(token) → upload → save token. Both idempotent via sampleUUID.</w:t>
      </w:r>
    </w:p>
    <w:p>
      <w:pPr>
        <w:pStyle w:val="ListParagraph"/>
        <w:numPr>
          <w:ilvl w:val="0"/>
          <w:numId w:val="2"/>
        </w:numPr>
        <w:spacing w:after="80" w:line="276"/>
      </w:pPr>
      <w:r>
        <w:rPr>
          <w:b/>
          <w:bCs/>
        </w:rPr>
        <w:t xml:space="preserve">3. Windowed re-query with lag. </w:t>
      </w:r>
      <w:r>
        <w:t xml:space="preserve">When the agent needs a specific range, have the app (on next wake) re-run the range query ~30–60 min after the window closes to catch late-syncing wearable data, and mark the range “complete” to the agent.</w:t>
      </w:r>
    </w:p>
    <w:p>
      <w:pPr>
        <w:pStyle w:val="ListParagraph"/>
        <w:numPr>
          <w:ilvl w:val="0"/>
          <w:numId w:val="2"/>
        </w:numPr>
        <w:spacing w:after="80" w:line="276"/>
      </w:pPr>
      <w:r>
        <w:rPr>
          <w:b/>
          <w:bCs/>
        </w:rPr>
        <w:t xml:space="preserve">4. On-demand pull. </w:t>
      </w:r>
      <w:r>
        <w:t xml:space="preserve">Backend sends silent push (APNs) / FCM data message with the requested range; app wakes, queries, uploads. Treat as accelerator, never as the only path.</w:t>
      </w:r>
    </w:p>
    <w:p>
      <w:pPr>
        <w:pStyle w:val="ListParagraph"/>
        <w:numPr>
          <w:ilvl w:val="0"/>
          <w:numId w:val="2"/>
        </w:numPr>
        <w:spacing w:after="80" w:line="276"/>
      </w:pPr>
      <w:r>
        <w:rPr>
          <w:b/>
          <w:bCs/>
        </w:rPr>
        <w:t xml:space="preserve">5. Use the BQ device itself for dose-critical moments. </w:t>
      </w:r>
      <w:r>
        <w:t xml:space="preserve">Vitals needed AT dispensing time should come over BLE from the dispenser/wearable during the session the app already has (the app is typically foregrounded or in an active BLE session around a dose). No health-store background limits apply; optionally write the samples into HealthKit/Health Connect afterwards.</w:t>
      </w:r>
    </w:p>
    <w:p>
      <w:pPr>
        <w:pStyle w:val="ListParagraph"/>
        <w:numPr>
          <w:ilvl w:val="0"/>
          <w:numId w:val="2"/>
        </w:numPr>
        <w:spacing w:after="80" w:line="276"/>
      </w:pPr>
      <w:r>
        <w:rPr>
          <w:b/>
          <w:bCs/>
        </w:rPr>
        <w:t xml:space="preserve">6. Gap monitoring. </w:t>
      </w:r>
      <w:r>
        <w:t xml:space="preserve">Backend alerts when a patient’s stream goes quiet (force-quit, revoked permission, dead watch battery) and the app surfaces a visible re-engagement notification — this is the only remedy the platforms allow.</w:t>
      </w:r>
    </w:p>
    <w:p>
      <w:pPr>
        <w:pStyle w:val="Heading1"/>
        <w:spacing w:after="160" w:before="360"/>
      </w:pPr>
      <w:r>
        <w:rPr>
          <w:color w:val="1F3864"/>
        </w:rPr>
        <w:t xml:space="preserve">6. Compliance Notes for This Flow (Short Version)</w:t>
      </w:r>
    </w:p>
    <w:p>
      <w:pPr>
        <w:pStyle w:val="ListParagraph"/>
        <w:numPr>
          <w:ilvl w:val="0"/>
          <w:numId w:val="2"/>
        </w:numPr>
        <w:spacing w:after="80" w:line="276"/>
      </w:pPr>
      <w:r>
        <w:t xml:space="preserve">Per-type user consent in-app is mandatory on both platforms; revocation is silent — the pipeline must tolerate empty reads.</w:t>
      </w:r>
    </w:p>
    <w:p>
      <w:pPr>
        <w:pStyle w:val="ListParagraph"/>
        <w:numPr>
          <w:ilvl w:val="0"/>
          <w:numId w:val="2"/>
        </w:numPr>
        <w:spacing w:after="80" w:line="276"/>
      </w:pPr>
      <w:r>
        <w:t xml:space="preserve">Sending health data to our API is permitted by both stores only for delivering the health service the user signed up for: no advertising, analytics resale, or unrelated reuse (Apple Guideline 5.1.3; Google Health Connect limited-use policy + declaration form approval before release).</w:t>
      </w:r>
    </w:p>
    <w:p>
      <w:pPr>
        <w:pStyle w:val="ListParagraph"/>
        <w:numPr>
          <w:ilvl w:val="0"/>
          <w:numId w:val="2"/>
        </w:numPr>
        <w:spacing w:after="80" w:line="276"/>
      </w:pPr>
      <w:r>
        <w:t xml:space="preserve">Storing vitals server-side makes BQ a processor/controller of “especially sensitive information” under Israel’s PPL (Amendment 13) and Art. 9 GDPR health data for EU users: explicit consent flow, DPIA, encryption, retention schedule, and Israeli Data Security Regulations high-tier controls. (Full analysis in the previous document, “Biometric Data on iOS and Android”.)</w:t>
      </w:r>
    </w:p>
    <w:p>
      <w:pPr>
        <w:pStyle w:val="ListParagraph"/>
        <w:numPr>
          <w:ilvl w:val="0"/>
          <w:numId w:val="2"/>
        </w:numPr>
        <w:spacing w:after="80" w:line="276"/>
      </w:pPr>
      <w:r>
        <w:t xml:space="preserve">Background collection specifically: disclose it explicitly in the consent screen (“the app periodically reads X, Y in the background and transmits to BQ servers for Z”) — both store review teams and GDPR transparency rules expect this exact disclosure.</w:t>
      </w:r>
    </w:p>
    <w:p>
      <w:pPr>
        <w:pStyle w:val="Heading1"/>
        <w:spacing w:after="160" w:before="360"/>
      </w:pPr>
      <w:r>
        <w:rPr>
          <w:color w:val="1F3864"/>
        </w:rPr>
        <w:t xml:space="preserve">7. Key Sources</w:t>
      </w:r>
    </w:p>
    <w:p>
      <w:pPr>
        <w:pStyle w:val="ListParagraph"/>
        <w:numPr>
          <w:ilvl w:val="0"/>
          <w:numId w:val="2"/>
        </w:numPr>
        <w:spacing w:after="80" w:line="276"/>
      </w:pPr>
      <w:r>
        <w:t xml:space="preserve">Apple — HealthKit: HKObserverQuery, enableBackgroundDelivery, HKAnchoredObjectQuery (developer.apple.com/documentation/healthkit)</w:t>
      </w:r>
    </w:p>
    <w:p>
      <w:pPr>
        <w:pStyle w:val="ListParagraph"/>
        <w:numPr>
          <w:ilvl w:val="0"/>
          <w:numId w:val="2"/>
        </w:numPr>
        <w:spacing w:after="80" w:line="276"/>
      </w:pPr>
      <w:r>
        <w:t xml:space="preserve">Apple — Protecting access to user’s health data; Health data encryption (support.apple.com/guide/security)</w:t>
      </w:r>
    </w:p>
    <w:p>
      <w:pPr>
        <w:pStyle w:val="ListParagraph"/>
        <w:numPr>
          <w:ilvl w:val="0"/>
          <w:numId w:val="2"/>
        </w:numPr>
        <w:spacing w:after="80" w:line="276"/>
      </w:pPr>
      <w:r>
        <w:t xml:space="preserve">Open Wearables — Getting Apple Health data into your backend (openwearables.io)</w:t>
      </w:r>
    </w:p>
    <w:p>
      <w:pPr>
        <w:pStyle w:val="ListParagraph"/>
        <w:numPr>
          <w:ilvl w:val="0"/>
          <w:numId w:val="2"/>
        </w:numPr>
        <w:spacing w:after="80" w:line="276"/>
      </w:pPr>
      <w:r>
        <w:t xml:space="preserve">Android Developers — Health Connect: read raw data, TimeRangeFilter, Changes API (developer.android.com/health-and-fitness/health-connect/read-data)</w:t>
      </w:r>
    </w:p>
    <w:p>
      <w:pPr>
        <w:pStyle w:val="ListParagraph"/>
        <w:numPr>
          <w:ilvl w:val="0"/>
          <w:numId w:val="2"/>
        </w:numPr>
        <w:spacing w:after="80" w:line="276"/>
      </w:pPr>
      <w:r>
        <w:t xml:space="preserve">Android Developers — Health Connect background reads &amp; permissions; rate limiting (developer.android.com/health-and-fitness)</w:t>
      </w:r>
    </w:p>
    <w:p>
      <w:pPr>
        <w:pStyle w:val="ListParagraph"/>
        <w:numPr>
          <w:ilvl w:val="0"/>
          <w:numId w:val="2"/>
        </w:numPr>
        <w:spacing w:after="80" w:line="276"/>
      </w:pPr>
      <w:r>
        <w:t xml:space="preserve">Android Developers — Health Connect data types (developer.android.com/health-and-fitness/health-connect/data-types)</w:t>
      </w:r>
    </w:p>
    <w:p>
      <w:pPr>
        <w:pStyle w:val="ListParagraph"/>
        <w:numPr>
          <w:ilvl w:val="0"/>
          <w:numId w:val="2"/>
        </w:numPr>
        <w:spacing w:after="80" w:line="276"/>
      </w:pPr>
      <w:r>
        <w:t xml:space="preserve">Google Play Console Help — Health apps declaration &amp; Health Content and Services policy</w:t>
      </w:r>
    </w:p>
    <w:p>
      <w:pPr>
        <w:pStyle w:val="ListParagraph"/>
        <w:numPr>
          <w:ilvl w:val="0"/>
          <w:numId w:val="2"/>
        </w:numPr>
        <w:spacing w:after="80" w:line="276"/>
      </w:pPr>
      <w:r>
        <w:t xml:space="preserve">Sahha — HealthKit vs Health Connect: background delivery comparison (sahha.ai)</w:t>
      </w:r>
    </w:p>
    <w:p>
      <w:pPr>
        <w:pStyle w:val="ListParagraph"/>
        <w:numPr>
          <w:ilvl w:val="0"/>
          <w:numId w:val="2"/>
        </w:numPr>
        <w:spacing w:after="80" w:line="276"/>
      </w:pPr>
      <w:r>
        <w:t xml:space="preserve">Apple Developer Forums — background delivery frequency behavior threads (developer.apple.com/forums)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2026-08-05T07:51:54.158Z</dcterms:created>
  <dcterms:modified xsi:type="dcterms:W3CDTF">2026-08-05T07:51:54.161Z</dcterms:modified>
</cp:coreProperties>
</file>

<file path=docProps/custom.xml><?xml version="1.0" encoding="utf-8"?>
<Properties xmlns="http://schemas.openxmlformats.org/officeDocument/2006/custom-properties" xmlns:vt="http://schemas.openxmlformats.org/officeDocument/2006/docPropsVTypes"/>
</file>