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40"/>
        <w:jc w:val="right"/>
      </w:pPr>
      <w:r>
        <w:rPr>
          <w:rFonts w:ascii="Arial" w:cs="Arial" w:eastAsia="Arial" w:hAnsi="Arial"/>
          <w:b/>
          <w:bCs/>
          <w:sz w:val="26"/>
          <w:szCs w:val="26"/>
          <w:rtl/>
        </w:rPr>
        <w:t xml:space="preserve">לכבוד: קופת חולים מאוחדת (יקי / רות)</w:t>
      </w:r>
    </w:p>
    <w:tbl>
      <w:tblPr>
        <w:bidiVisual w:val="false"/>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000"/>
        <w:gridCol w:w="7466"/>
      </w:tblGrid>
      <w:tr>
        <w:tc>
          <w:tcPr>
            <w:tcW w:type="dxa" w:w="3000"/>
            <w:tcBorders>
              <w:top w:val="none" w:sz="0"/>
              <w:left w:val="none" w:sz="0"/>
              <w:bottom w:val="none" w:sz="0"/>
              <w:right w:val="none" w:sz="0"/>
            </w:tcBorders>
            <w:tcMar>
              <w:top w:type="dxa" w:w="0"/>
              <w:left w:type="dxa" w:w="0"/>
              <w:bottom w:type="dxa" w:w="0"/>
              <w:right w:type="dxa" w:w="0"/>
            </w:tcMar>
            <w:vAlign w:val="center"/>
          </w:tcPr>
          <w:p>
            <w:pPr>
              <w:spacing w:after="60" w:before="0"/>
              <w:jc w:val="left"/>
            </w:pPr>
            <w:r>
              <w:rPr>
                <w:rFonts w:ascii="Arial" w:cs="Arial" w:eastAsia="Arial" w:hAnsi="Arial"/>
                <w:b/>
                <w:bCs/>
                <w:color w:val="2D7A8C"/>
                <w:sz w:val="32"/>
                <w:szCs w:val="32"/>
              </w:rPr>
              <w:t xml:space="preserve">5.5.2026</w:t>
            </w:r>
          </w:p>
          <w:p>
            <w:pPr>
              <w:spacing w:after="0" w:before="0"/>
              <w:jc w:val="left"/>
            </w:pPr>
            <w:r>
              <w:rPr>
                <w:rFonts w:ascii="Arial" w:cs="Arial" w:eastAsia="Arial" w:hAnsi="Arial"/>
                <w:sz w:val="22"/>
                <w:szCs w:val="22"/>
                <w:rtl/>
              </w:rPr>
              <w:t xml:space="preserve">הצעה מספר </w:t>
            </w:r>
            <w:r>
              <w:rPr>
                <w:rFonts w:ascii="Arial" w:cs="Arial" w:eastAsia="Arial" w:hAnsi="Arial"/>
                <w:sz w:val="22"/>
                <w:szCs w:val="22"/>
              </w:rPr>
              <w:t xml:space="preserve">c-MEUH-2026-001</w:t>
            </w:r>
          </w:p>
        </w:tc>
        <w:tc>
          <w:tcPr>
            <w:tcW w:type="dxa" w:w="7466"/>
            <w:tcBorders>
              <w:top w:val="none" w:sz="0"/>
              <w:left w:val="none" w:sz="0"/>
              <w:bottom w:val="none" w:sz="0"/>
              <w:right w:val="none" w:sz="0"/>
            </w:tcBorders>
            <w:tcMar>
              <w:top w:type="dxa" w:w="0"/>
              <w:left w:type="dxa" w:w="0"/>
              <w:bottom w:type="dxa" w:w="0"/>
              <w:right w:type="dxa" w:w="0"/>
            </w:tcMar>
            <w:vAlign w:val="center"/>
          </w:tcPr>
          <w:p>
            <w:pPr>
              <w:bidi/>
              <w:spacing w:after="0" w:before="0"/>
              <w:jc w:val="right"/>
            </w:pPr>
            <w:r>
              <w:rPr>
                <w:rFonts w:ascii="Arial" w:cs="Arial" w:eastAsia="Arial" w:hAnsi="Arial"/>
                <w:b/>
                <w:bCs/>
                <w:color w:val="2D7A8C"/>
                <w:sz w:val="36"/>
                <w:szCs w:val="36"/>
                <w:rtl/>
              </w:rPr>
              <w:t xml:space="preserve">הצעת מחיר לרישוי קמונדה</w:t>
            </w:r>
          </w:p>
          <w:p>
            <w:pPr>
              <w:bidi/>
              <w:spacing w:after="0" w:before="60"/>
              <w:jc w:val="right"/>
            </w:pPr>
            <w:r>
              <w:rPr>
                <w:rFonts w:ascii="Arial" w:cs="Arial" w:eastAsia="Arial" w:hAnsi="Arial"/>
                <w:color w:val="1F3D6E"/>
                <w:sz w:val="24"/>
                <w:szCs w:val="24"/>
                <w:rtl/>
              </w:rPr>
              <w:t xml:space="preserve">תוכנית אסטרטגית 3 שנים – Enterprise Success Plan</w:t>
            </w:r>
          </w:p>
        </w:tc>
      </w:tr>
    </w:tbl>
    <w:p>
      <w:r>
        <w:t xml:space="preserve"/>
      </w:r>
    </w:p>
    <w:p>
      <w:pPr>
        <w:pStyle w:val="Heading1"/>
        <w:bidi/>
        <w:spacing w:after="160" w:before="320"/>
        <w:jc w:val="right"/>
      </w:pPr>
      <w:r>
        <w:rPr>
          <w:rFonts w:ascii="Arial" w:cs="Arial" w:eastAsia="Arial" w:hAnsi="Arial"/>
          <w:b/>
          <w:bCs/>
          <w:color w:val="2D7A8C"/>
          <w:sz w:val="32"/>
          <w:szCs w:val="32"/>
          <w:rtl/>
        </w:rPr>
        <w:t xml:space="preserve">מבוא</w:t>
      </w:r>
    </w:p>
    <w:p>
      <w:pPr>
        <w:bidi/>
        <w:spacing w:after="80" w:before="80"/>
        <w:jc w:val="right"/>
      </w:pPr>
      <w:r>
        <w:rPr>
          <w:rFonts w:ascii="Arial" w:cs="Arial" w:eastAsia="Arial" w:hAnsi="Arial"/>
          <w:rtl/>
        </w:rPr>
        <w:t xml:space="preserve">Camunda Platform 8 היא פלטפורמה מתקדמת לתזמור תהליכים עסקיים (Process Orchestration), המבוססת על סטנדרטים פתוחים (BPMN, DMN) ומותאמת במיוחד לארגונים עם דרישות זמינות, אבטחה וביצועים גבוהים. הפלטפורמה מאפשרת תזמור מקצה לקצה של תהליכים חוצי מערכות, אינטגרציה מהירה עם מערכות קיימות, תמיכה בארכיטקטורת Multi-Agent ושקיפות מלאה לניהול ובקרה.</w:t>
      </w:r>
    </w:p>
    <w:p>
      <w:pPr>
        <w:bidi/>
        <w:spacing w:after="80" w:before="80"/>
        <w:jc w:val="right"/>
      </w:pPr>
      <w:r>
        <w:rPr>
          <w:rFonts w:ascii="Arial" w:cs="Arial" w:eastAsia="Arial" w:hAnsi="Arial"/>
          <w:rtl/>
        </w:rPr>
        <w:t xml:space="preserve">NG Workshop היא שותפה רשמית של Camunda בישראל, המעניקה ללקוחות מקומיים ליווי מקצועי מקיף החל משלב התכנון והארכיטקטורה ועד ליישום והרחבת השימוש. הצוות שלנו מביא ניסיון עשיר בהטמעת Camunda בארגונים מובילים, לצד היכרות עמוקה עם השוק והרגולציה הישראלית, ובפרט עם הצרכים הייחודיים של מערכת הבריאות.</w:t>
      </w:r>
    </w:p>
    <w:p>
      <w:pPr>
        <w:bidi/>
        <w:spacing w:after="80" w:before="80"/>
        <w:jc w:val="right"/>
      </w:pPr>
      <w:r>
        <w:rPr>
          <w:rFonts w:ascii="Arial" w:cs="Arial" w:eastAsia="Arial" w:hAnsi="Arial"/>
          <w:rtl/>
        </w:rPr>
        <w:t xml:space="preserve">הצעה זו מותאמת במיוחד לסביבת מאוחדת – פריסת On-Premise, תזמור מולטי-סוכנים (Multi-Agent Orchestration), שימושים קליניים ודרישות זמינות גבוהות – וכוללת חבילת Enterprise Success Plan, שמספקת ליווי טכני וייעוצי צמוד מ-Camunda מהיום הראשון.</w:t>
      </w:r>
    </w:p>
    <w:p>
      <w:pPr>
        <w:pStyle w:val="Heading1"/>
        <w:bidi/>
        <w:spacing w:after="160" w:before="320"/>
        <w:jc w:val="right"/>
      </w:pPr>
      <w:r>
        <w:rPr>
          <w:rFonts w:ascii="Arial" w:cs="Arial" w:eastAsia="Arial" w:hAnsi="Arial"/>
          <w:b/>
          <w:bCs/>
          <w:color w:val="2D7A8C"/>
          <w:sz w:val="32"/>
          <w:szCs w:val="32"/>
          <w:rtl/>
        </w:rPr>
        <w:t xml:space="preserve">מבנה ההתקשרות – תוכנית אסטרטגית 3 שנים</w:t>
      </w:r>
    </w:p>
    <w:p>
      <w:pPr>
        <w:bidi/>
        <w:spacing w:after="80" w:before="80"/>
        <w:jc w:val="right"/>
      </w:pPr>
      <w:r>
        <w:rPr>
          <w:rFonts w:ascii="Arial" w:cs="Arial" w:eastAsia="Arial" w:hAnsi="Arial"/>
          <w:b/>
          <w:bCs/>
          <w:rtl/>
        </w:rPr>
        <w:t xml:space="preserve">ההצעה בנויה כתוכנית אסטרטגית של 3 שנים, עם מבנה גמיש המאפשר לארגון להתחייב בשלב הראשון רק לשנה הראשונה ולקבל את ההחלטה לגבי שתי השנים הנוספות עד סוף שנה 1.</w:t>
      </w:r>
    </w:p>
    <w:p>
      <w:pPr>
        <w:pStyle w:val="ListParagraph"/>
        <w:numPr>
          <w:ilvl w:val="0"/>
          <w:numId w:val="2"/>
        </w:numPr>
        <w:bidi/>
        <w:spacing w:after="40" w:before="40"/>
        <w:jc w:val="right"/>
      </w:pPr>
      <w:r>
        <w:rPr>
          <w:rFonts w:ascii="Arial" w:cs="Arial" w:eastAsia="Arial" w:hAnsi="Arial"/>
          <w:rtl/>
        </w:rPr>
        <w:t xml:space="preserve">תקופת ההתקשרות: 3 שנים. כל שנה כוללת בסיס שנתי של 400,000 Process Instances (PI).</w:t>
      </w:r>
    </w:p>
    <w:p>
      <w:pPr>
        <w:pStyle w:val="ListParagraph"/>
        <w:numPr>
          <w:ilvl w:val="0"/>
          <w:numId w:val="2"/>
        </w:numPr>
        <w:bidi/>
        <w:spacing w:after="40" w:before="40"/>
        <w:jc w:val="right"/>
      </w:pPr>
      <w:r>
        <w:rPr>
          <w:rFonts w:ascii="Arial" w:cs="Arial" w:eastAsia="Arial" w:hAnsi="Arial"/>
          <w:rtl/>
        </w:rPr>
        <w:t xml:space="preserve">מימוש שנים 2 ו-3 ייעשה בהתאם לבחירת מאוחדת, ויש לממשו עד תום שנה 1. כלומר – ההתחייבות הראשונית היא לשנה אחת בלבד, מה שמאפשר אישור פשוט יותר ברכש.</w:t>
      </w:r>
    </w:p>
    <w:p>
      <w:pPr>
        <w:pStyle w:val="ListParagraph"/>
        <w:numPr>
          <w:ilvl w:val="0"/>
          <w:numId w:val="2"/>
        </w:numPr>
        <w:bidi/>
        <w:spacing w:after="40" w:before="40"/>
        <w:jc w:val="right"/>
      </w:pPr>
      <w:r>
        <w:rPr>
          <w:rFonts w:ascii="Arial" w:cs="Arial" w:eastAsia="Arial" w:hAnsi="Arial"/>
          <w:rtl/>
        </w:rPr>
        <w:t xml:space="preserve">מודל חריגה (Overage): הבסיס השנתי הוא 400,000 PI. אם נחצה הסף בשנה 1, יבוצע שדרוג למדרגה המתאימה החל משנה 2. בשנים 2 ו-3 השדרוג מבוצע אוטומטית למשך שנה מלאה ברגע חציית כמות ה-PI החוזית.</w:t>
      </w:r>
    </w:p>
    <w:p>
      <w:pPr>
        <w:pStyle w:val="Heading1"/>
        <w:bidi/>
        <w:spacing w:after="160" w:before="320"/>
        <w:jc w:val="right"/>
      </w:pPr>
      <w:r>
        <w:rPr>
          <w:rFonts w:ascii="Arial" w:cs="Arial" w:eastAsia="Arial" w:hAnsi="Arial"/>
          <w:b/>
          <w:bCs/>
          <w:color w:val="2D7A8C"/>
          <w:sz w:val="32"/>
          <w:szCs w:val="32"/>
          <w:rtl/>
        </w:rPr>
        <w:t xml:space="preserve">רישוי – מבנה תמחור</w:t>
      </w:r>
    </w:p>
    <w:p>
      <w:pPr>
        <w:bidi/>
        <w:spacing w:after="80" w:before="80"/>
        <w:jc w:val="right"/>
      </w:pPr>
      <w:r>
        <w:rPr>
          <w:rFonts w:ascii="Arial" w:cs="Arial" w:eastAsia="Arial" w:hAnsi="Arial"/>
          <w:b/>
          <w:bCs/>
          <w:rtl/>
        </w:rPr>
        <w:t xml:space="preserve">המחיר השנתי כולל את רישיון הפלטפורמה (Camunda Platform 8) ואת חבילת ה-Enterprise Success Plan במלואה (פירוט בהמשך).</w:t>
      </w:r>
    </w:p>
    <w:p>
      <w:pPr>
        <w:pStyle w:val="Heading2"/>
        <w:bidi/>
        <w:spacing w:after="110" w:before="220"/>
        <w:jc w:val="right"/>
      </w:pPr>
      <w:r>
        <w:rPr>
          <w:rFonts w:ascii="Arial" w:cs="Arial" w:eastAsia="Arial" w:hAnsi="Arial"/>
          <w:b/>
          <w:bCs/>
          <w:color w:val="2D7A8C"/>
          <w:sz w:val="26"/>
          <w:szCs w:val="26"/>
          <w:rtl/>
        </w:rPr>
        <w:t xml:space="preserve">דמי בסיס שנתיים</w:t>
      </w:r>
    </w:p>
    <w:tbl>
      <w:tblPr>
        <w:bidiVisual/>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960"/>
      </w:tblGrid>
      <w:tr>
        <w:trPr>
          <w:tblHeader/>
        </w:trPr>
        <w:tc>
          <w:tcPr>
            <w:tcW w:type="dxa" w:w="240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שנה</w:t>
            </w:r>
          </w:p>
        </w:tc>
        <w:tc>
          <w:tcPr>
            <w:tcW w:type="dxa" w:w="300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כמות PI שנתית</w:t>
            </w:r>
          </w:p>
        </w:tc>
        <w:tc>
          <w:tcPr>
            <w:tcW w:type="dxa" w:w="296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דמי בסיס שנתיים</w:t>
            </w:r>
          </w:p>
        </w:tc>
      </w:tr>
      <w:tr>
        <w:tc>
          <w:tcPr>
            <w:tcW w:type="dxa" w:w="240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שנה 1</w:t>
            </w:r>
          </w:p>
        </w:tc>
        <w:tc>
          <w:tcPr>
            <w:tcW w:type="dxa" w:w="300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400,000</w:t>
            </w:r>
          </w:p>
        </w:tc>
        <w:tc>
          <w:tcPr>
            <w:tcW w:type="dxa" w:w="296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Pr>
              <w:t xml:space="preserve">€428,400</w:t>
            </w:r>
          </w:p>
        </w:tc>
      </w:tr>
      <w:tr>
        <w:tc>
          <w:tcPr>
            <w:tcW w:type="dxa" w:w="240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שנה 2</w:t>
            </w:r>
          </w:p>
        </w:tc>
        <w:tc>
          <w:tcPr>
            <w:tcW w:type="dxa" w:w="300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400,000</w:t>
            </w:r>
          </w:p>
        </w:tc>
        <w:tc>
          <w:tcPr>
            <w:tcW w:type="dxa" w:w="296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center"/>
            </w:pPr>
            <w:r>
              <w:rPr>
                <w:rFonts w:ascii="Arial" w:cs="Arial" w:eastAsia="Arial" w:hAnsi="Arial"/>
              </w:rPr>
              <w:t xml:space="preserve">€428,400</w:t>
            </w:r>
          </w:p>
        </w:tc>
      </w:tr>
      <w:tr>
        <w:tc>
          <w:tcPr>
            <w:tcW w:type="dxa" w:w="240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שנה 3</w:t>
            </w:r>
          </w:p>
        </w:tc>
        <w:tc>
          <w:tcPr>
            <w:tcW w:type="dxa" w:w="300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400,000</w:t>
            </w:r>
          </w:p>
        </w:tc>
        <w:tc>
          <w:tcPr>
            <w:tcW w:type="dxa" w:w="296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Pr>
              <w:t xml:space="preserve">€428,400</w:t>
            </w:r>
          </w:p>
        </w:tc>
      </w:tr>
    </w:tbl>
    <w:p>
      <w:r>
        <w:t xml:space="preserve"/>
      </w:r>
    </w:p>
    <w:p>
      <w:pPr>
        <w:pStyle w:val="Heading2"/>
        <w:bidi/>
        <w:spacing w:after="110" w:before="220"/>
        <w:jc w:val="right"/>
      </w:pPr>
      <w:r>
        <w:rPr>
          <w:rFonts w:ascii="Arial" w:cs="Arial" w:eastAsia="Arial" w:hAnsi="Arial"/>
          <w:b/>
          <w:bCs/>
          <w:color w:val="2D7A8C"/>
          <w:sz w:val="26"/>
          <w:szCs w:val="26"/>
          <w:rtl/>
        </w:rPr>
        <w:t xml:space="preserve">מדרגות שדרוג (Upgrade Tiers)</w:t>
      </w:r>
    </w:p>
    <w:p>
      <w:pPr>
        <w:bidi/>
        <w:spacing w:after="80" w:before="80"/>
        <w:jc w:val="right"/>
      </w:pPr>
      <w:r>
        <w:rPr>
          <w:rFonts w:ascii="Arial" w:cs="Arial" w:eastAsia="Arial" w:hAnsi="Arial"/>
          <w:rtl/>
        </w:rPr>
        <w:t xml:space="preserve">במקרה של חריגה מבסיס ה-400,000 PI השנתי, יחול תמחור לפי המדרגות הבאות. סכומים אלה כוללים גם הם רישיון פלטפורמה ו-Enterprise Success Plan:</w:t>
      </w:r>
    </w:p>
    <w:tbl>
      <w:tblPr>
        <w:bidiVisual/>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180"/>
        <w:gridCol w:w="4180"/>
      </w:tblGrid>
      <w:tr>
        <w:trPr>
          <w:tblHeader/>
        </w:trPr>
        <w:tc>
          <w:tcPr>
            <w:tcW w:type="dxa" w:w="418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סך כמות PI שנתית</w:t>
            </w:r>
          </w:p>
        </w:tc>
        <w:tc>
          <w:tcPr>
            <w:tcW w:type="dxa" w:w="418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סך עלות שנתית</w:t>
            </w:r>
          </w:p>
        </w:tc>
      </w:tr>
      <w:tr>
        <w:tc>
          <w:tcPr>
            <w:tcW w:type="dxa" w:w="418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800,000</w:t>
            </w:r>
          </w:p>
        </w:tc>
        <w:tc>
          <w:tcPr>
            <w:tcW w:type="dxa" w:w="418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Pr>
              <w:t xml:space="preserve">€630,000</w:t>
            </w:r>
          </w:p>
        </w:tc>
      </w:tr>
      <w:tr>
        <w:tc>
          <w:tcPr>
            <w:tcW w:type="dxa" w:w="418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1,600,000</w:t>
            </w:r>
          </w:p>
        </w:tc>
        <w:tc>
          <w:tcPr>
            <w:tcW w:type="dxa" w:w="418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center"/>
            </w:pPr>
            <w:r>
              <w:rPr>
                <w:rFonts w:ascii="Arial" w:cs="Arial" w:eastAsia="Arial" w:hAnsi="Arial"/>
              </w:rPr>
              <w:t xml:space="preserve">€806,400</w:t>
            </w:r>
          </w:p>
        </w:tc>
      </w:tr>
      <w:tr>
        <w:tc>
          <w:tcPr>
            <w:tcW w:type="dxa" w:w="418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3,200,000</w:t>
            </w:r>
          </w:p>
        </w:tc>
        <w:tc>
          <w:tcPr>
            <w:tcW w:type="dxa" w:w="418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Pr>
              <w:t xml:space="preserve">€957,600</w:t>
            </w:r>
          </w:p>
        </w:tc>
      </w:tr>
    </w:tbl>
    <w:p>
      <w:r>
        <w:t xml:space="preserve"/>
      </w:r>
    </w:p>
    <w:p>
      <w:pPr>
        <w:pStyle w:val="ListParagraph"/>
        <w:numPr>
          <w:ilvl w:val="0"/>
          <w:numId w:val="2"/>
        </w:numPr>
        <w:bidi/>
        <w:spacing w:after="40" w:before="40"/>
        <w:jc w:val="right"/>
      </w:pPr>
      <w:r>
        <w:rPr>
          <w:rFonts w:ascii="Arial" w:cs="Arial" w:eastAsia="Arial" w:hAnsi="Arial"/>
          <w:rtl/>
        </w:rPr>
        <w:t xml:space="preserve">התשלום עבור הרישיון מתבצע ישירות לחברת Camunda, במטבע אירו.</w:t>
      </w:r>
    </w:p>
    <w:p>
      <w:pPr>
        <w:pStyle w:val="ListParagraph"/>
        <w:numPr>
          <w:ilvl w:val="0"/>
          <w:numId w:val="2"/>
        </w:numPr>
        <w:bidi/>
        <w:spacing w:after="40" w:before="40"/>
        <w:jc w:val="right"/>
      </w:pPr>
      <w:r>
        <w:rPr>
          <w:rFonts w:ascii="Arial" w:cs="Arial" w:eastAsia="Arial" w:hAnsi="Arial"/>
          <w:rtl/>
        </w:rPr>
        <w:t xml:space="preserve">המחירים אינם כוללים מע״מ; ככל שיחול, יתווסף בהתאם לחוק.</w:t>
      </w:r>
    </w:p>
    <w:p>
      <w:pPr>
        <w:pStyle w:val="ListParagraph"/>
        <w:numPr>
          <w:ilvl w:val="0"/>
          <w:numId w:val="2"/>
        </w:numPr>
        <w:bidi/>
        <w:spacing w:after="40" w:before="40"/>
        <w:jc w:val="right"/>
      </w:pPr>
      <w:r>
        <w:rPr>
          <w:rFonts w:ascii="Arial" w:cs="Arial" w:eastAsia="Arial" w:hAnsi="Arial"/>
          <w:rtl/>
        </w:rPr>
        <w:t xml:space="preserve">בסוף כל שנה מתבצעת בדיקת PI בפועל. חציית הסף החוזי מובילה לשדרוג אוטומטי למדרגה המתאימה החל מהשנה הבאה (בשנה 1 – החל משנה 2; בשנים 2 ו-3 – לאורך השנה הנוכחית).</w:t>
      </w:r>
    </w:p>
    <w:p>
      <w:pPr>
        <w:pStyle w:val="Heading1"/>
        <w:bidi/>
        <w:spacing w:after="160" w:before="320"/>
        <w:jc w:val="right"/>
      </w:pPr>
      <w:r>
        <w:rPr>
          <w:rFonts w:ascii="Arial" w:cs="Arial" w:eastAsia="Arial" w:hAnsi="Arial"/>
          <w:b/>
          <w:bCs/>
          <w:color w:val="2D7A8C"/>
          <w:sz w:val="32"/>
          <w:szCs w:val="32"/>
          <w:rtl/>
        </w:rPr>
        <w:t xml:space="preserve">Camunda Enterprise Success Plan – מה כלול</w:t>
      </w:r>
    </w:p>
    <w:p>
      <w:pPr>
        <w:bidi/>
        <w:spacing w:after="80" w:before="80"/>
        <w:jc w:val="right"/>
      </w:pPr>
      <w:r>
        <w:rPr>
          <w:rFonts w:ascii="Arial" w:cs="Arial" w:eastAsia="Arial" w:hAnsi="Arial"/>
          <w:rtl/>
        </w:rPr>
        <w:t xml:space="preserve">חבילת Enterprise Success Plan כלולה בכל אחת מהמדרגות לעיל ומספקת למאוחדת ליווי וייעוץ ברמה הגבוהה ביותר ש-Camunda מציעה. בהתחשב במורכבות הסביבה (On-Prem, תזמור מולטי-סוכנים, שימושים קליניים ודרישות זמינות גבוהה) – זוהי החבילה המתאימה ביותר לארגון.</w:t>
      </w:r>
    </w:p>
    <w:p>
      <w:pPr>
        <w:pStyle w:val="Heading2"/>
        <w:bidi/>
        <w:spacing w:after="110" w:before="220"/>
        <w:jc w:val="right"/>
      </w:pPr>
      <w:r>
        <w:rPr>
          <w:rFonts w:ascii="Arial" w:cs="Arial" w:eastAsia="Arial" w:hAnsi="Arial"/>
          <w:b/>
          <w:bCs/>
          <w:color w:val="2D7A8C"/>
          <w:sz w:val="26"/>
          <w:szCs w:val="26"/>
          <w:rtl/>
        </w:rPr>
        <w:t xml:space="preserve">תמיכה (Support)</w:t>
      </w:r>
    </w:p>
    <w:p>
      <w:pPr>
        <w:pStyle w:val="ListParagraph"/>
        <w:numPr>
          <w:ilvl w:val="0"/>
          <w:numId w:val="2"/>
        </w:numPr>
        <w:bidi/>
        <w:spacing w:after="40" w:before="40"/>
        <w:jc w:val="right"/>
      </w:pPr>
      <w:r>
        <w:rPr>
          <w:rFonts w:ascii="Arial" w:cs="Arial" w:eastAsia="Arial" w:hAnsi="Arial"/>
          <w:rtl/>
        </w:rPr>
        <w:t xml:space="preserve">כיסוי תמיכה 24/7 לקריאות L1 ו-L2.</w:t>
      </w:r>
    </w:p>
    <w:p>
      <w:pPr>
        <w:pStyle w:val="ListParagraph"/>
        <w:numPr>
          <w:ilvl w:val="0"/>
          <w:numId w:val="2"/>
        </w:numPr>
        <w:bidi/>
        <w:spacing w:after="40" w:before="40"/>
        <w:jc w:val="right"/>
      </w:pPr>
      <w:r>
        <w:rPr>
          <w:rFonts w:ascii="Arial" w:cs="Arial" w:eastAsia="Arial" w:hAnsi="Arial"/>
          <w:rtl/>
        </w:rPr>
        <w:t xml:space="preserve">SLA משופר לזמני תגובה: 30 דקות (L1), שעתיים (L2), 8 שעות (L3).</w:t>
      </w:r>
    </w:p>
    <w:p>
      <w:pPr>
        <w:pStyle w:val="ListParagraph"/>
        <w:numPr>
          <w:ilvl w:val="0"/>
          <w:numId w:val="2"/>
        </w:numPr>
        <w:bidi/>
        <w:spacing w:after="40" w:before="40"/>
        <w:jc w:val="right"/>
      </w:pPr>
      <w:r>
        <w:rPr>
          <w:rFonts w:ascii="Arial" w:cs="Arial" w:eastAsia="Arial" w:hAnsi="Arial"/>
          <w:rtl/>
        </w:rPr>
        <w:t xml:space="preserve">מספר בלתי-מוגבל של אנשי קשר מורשים ומוסמכים מצד מאוחדת.</w:t>
      </w:r>
    </w:p>
    <w:p>
      <w:pPr>
        <w:pStyle w:val="ListParagraph"/>
        <w:numPr>
          <w:ilvl w:val="0"/>
          <w:numId w:val="2"/>
        </w:numPr>
        <w:bidi/>
        <w:spacing w:after="40" w:before="40"/>
        <w:jc w:val="right"/>
      </w:pPr>
      <w:r>
        <w:rPr>
          <w:rFonts w:ascii="Arial" w:cs="Arial" w:eastAsia="Arial" w:hAnsi="Arial"/>
          <w:rtl/>
        </w:rPr>
        <w:t xml:space="preserve">גישה לקו תמיכה ייעודי בעדיפות גבוהה (L1/L2 priority hotline).</w:t>
      </w:r>
    </w:p>
    <w:p>
      <w:pPr>
        <w:pStyle w:val="Heading2"/>
        <w:bidi/>
        <w:spacing w:after="110" w:before="220"/>
        <w:jc w:val="right"/>
      </w:pPr>
      <w:r>
        <w:rPr>
          <w:rFonts w:ascii="Arial" w:cs="Arial" w:eastAsia="Arial" w:hAnsi="Arial"/>
          <w:b/>
          <w:bCs/>
          <w:color w:val="2D7A8C"/>
          <w:sz w:val="26"/>
          <w:szCs w:val="26"/>
          <w:rtl/>
        </w:rPr>
        <w:t xml:space="preserve">ליווי מומחים ייעודי</w:t>
      </w:r>
    </w:p>
    <w:p>
      <w:pPr>
        <w:pStyle w:val="ListParagraph"/>
        <w:numPr>
          <w:ilvl w:val="0"/>
          <w:numId w:val="2"/>
        </w:numPr>
        <w:bidi/>
        <w:spacing w:after="40" w:before="40"/>
        <w:jc w:val="right"/>
      </w:pPr>
      <w:r>
        <w:rPr>
          <w:rFonts w:ascii="Arial" w:cs="Arial" w:eastAsia="Arial" w:hAnsi="Arial"/>
          <w:rtl/>
        </w:rPr>
        <w:t xml:space="preserve">Technical Account Manager (TAM): שותף מקצועי טכני לליווי שוטף – הכוונה לרוד-מאפ, Best Practices וניהול הסלמות.</w:t>
      </w:r>
    </w:p>
    <w:p>
      <w:pPr>
        <w:pStyle w:val="ListParagraph"/>
        <w:numPr>
          <w:ilvl w:val="0"/>
          <w:numId w:val="2"/>
        </w:numPr>
        <w:bidi/>
        <w:spacing w:after="40" w:before="40"/>
        <w:jc w:val="right"/>
      </w:pPr>
      <w:r>
        <w:rPr>
          <w:rFonts w:ascii="Arial" w:cs="Arial" w:eastAsia="Arial" w:hAnsi="Arial"/>
          <w:rtl/>
        </w:rPr>
        <w:t xml:space="preserve">Customer Success Manager (CSM): שותף אסטרטגי לתכנון אימוץ, ניהול ערך ויישור קו עם בעלי עניין בארגון.</w:t>
      </w:r>
    </w:p>
    <w:p>
      <w:pPr>
        <w:pStyle w:val="ListParagraph"/>
        <w:numPr>
          <w:ilvl w:val="0"/>
          <w:numId w:val="2"/>
        </w:numPr>
        <w:bidi/>
        <w:spacing w:after="40" w:before="40"/>
        <w:jc w:val="right"/>
      </w:pPr>
      <w:r>
        <w:rPr>
          <w:rFonts w:ascii="Arial" w:cs="Arial" w:eastAsia="Arial" w:hAnsi="Arial"/>
          <w:rtl/>
        </w:rPr>
        <w:t xml:space="preserve">חוויית Onboarding מותאמת אישית לסביבה ולצורכי השימוש של מאוחדת.</w:t>
      </w:r>
    </w:p>
    <w:p>
      <w:pPr>
        <w:pStyle w:val="Heading2"/>
        <w:bidi/>
        <w:spacing w:after="110" w:before="220"/>
        <w:jc w:val="right"/>
      </w:pPr>
      <w:r>
        <w:rPr>
          <w:rFonts w:ascii="Arial" w:cs="Arial" w:eastAsia="Arial" w:hAnsi="Arial"/>
          <w:b/>
          <w:bCs/>
          <w:color w:val="2D7A8C"/>
          <w:sz w:val="26"/>
          <w:szCs w:val="26"/>
          <w:rtl/>
        </w:rPr>
        <w:t xml:space="preserve">הטבות בלעדיות</w:t>
      </w:r>
    </w:p>
    <w:p>
      <w:pPr>
        <w:pStyle w:val="ListParagraph"/>
        <w:numPr>
          <w:ilvl w:val="0"/>
          <w:numId w:val="2"/>
        </w:numPr>
        <w:bidi/>
        <w:spacing w:after="40" w:before="40"/>
        <w:jc w:val="right"/>
      </w:pPr>
      <w:r>
        <w:rPr>
          <w:rFonts w:ascii="Arial" w:cs="Arial" w:eastAsia="Arial" w:hAnsi="Arial"/>
          <w:rtl/>
        </w:rPr>
        <w:t xml:space="preserve">הנחה של 20% על הדרכות מודרכות (Instructor-Led Training).</w:t>
      </w:r>
    </w:p>
    <w:p>
      <w:pPr>
        <w:pStyle w:val="ListParagraph"/>
        <w:numPr>
          <w:ilvl w:val="0"/>
          <w:numId w:val="2"/>
        </w:numPr>
        <w:bidi/>
        <w:spacing w:after="40" w:before="40"/>
        <w:jc w:val="right"/>
      </w:pPr>
      <w:r>
        <w:rPr>
          <w:rFonts w:ascii="Arial" w:cs="Arial" w:eastAsia="Arial" w:hAnsi="Arial"/>
          <w:rtl/>
        </w:rPr>
        <w:t xml:space="preserve">הנחה של 50% על שוברי הסמכה (Certification Vouchers).</w:t>
      </w:r>
    </w:p>
    <w:p>
      <w:pPr>
        <w:pStyle w:val="ListParagraph"/>
        <w:numPr>
          <w:ilvl w:val="0"/>
          <w:numId w:val="2"/>
        </w:numPr>
        <w:bidi/>
        <w:spacing w:after="40" w:before="40"/>
        <w:jc w:val="right"/>
      </w:pPr>
      <w:r>
        <w:rPr>
          <w:rFonts w:ascii="Arial" w:cs="Arial" w:eastAsia="Arial" w:hAnsi="Arial"/>
          <w:rtl/>
        </w:rPr>
        <w:t xml:space="preserve">הנחה של 20% על כרטיסים לכנס Camunda השנתי (CamundaCon).</w:t>
      </w:r>
    </w:p>
    <w:p>
      <w:pPr>
        <w:pStyle w:val="ListParagraph"/>
        <w:numPr>
          <w:ilvl w:val="0"/>
          <w:numId w:val="2"/>
        </w:numPr>
        <w:bidi/>
        <w:spacing w:after="40" w:before="40"/>
        <w:jc w:val="right"/>
      </w:pPr>
      <w:r>
        <w:rPr>
          <w:rFonts w:ascii="Arial" w:cs="Arial" w:eastAsia="Arial" w:hAnsi="Arial"/>
          <w:rtl/>
        </w:rPr>
        <w:t xml:space="preserve">גישה מלאה ל-Camunda Academy ול-Camunda Success Center.</w:t>
      </w:r>
    </w:p>
    <w:p>
      <w:pPr>
        <w:pStyle w:val="Heading1"/>
        <w:bidi/>
        <w:spacing w:after="160" w:before="320"/>
        <w:jc w:val="right"/>
      </w:pPr>
      <w:r>
        <w:rPr>
          <w:rFonts w:ascii="Arial" w:cs="Arial" w:eastAsia="Arial" w:hAnsi="Arial"/>
          <w:b/>
          <w:bCs/>
          <w:color w:val="2D7A8C"/>
          <w:sz w:val="32"/>
          <w:szCs w:val="32"/>
          <w:rtl/>
        </w:rPr>
        <w:t xml:space="preserve">הוכחת היתכנות (POC) – שירותי NG Workshop</w:t>
      </w:r>
    </w:p>
    <w:p>
      <w:pPr>
        <w:bidi/>
        <w:spacing w:after="80" w:before="80"/>
        <w:jc w:val="right"/>
      </w:pPr>
      <w:r>
        <w:rPr>
          <w:rFonts w:ascii="Arial" w:cs="Arial" w:eastAsia="Arial" w:hAnsi="Arial"/>
          <w:rtl/>
        </w:rPr>
        <w:t xml:space="preserve">בנוסף לרישוי, NG Workshop תספק למאוחדת פרויקט הוכחת היתכנות (POC) מקומי בעברית, לפי המתודולוגיה המומלצת של Camunda. ה-POC נועד להוכיח את התאמת הפלטפורמה לצרכי הארגון על תהליך עסקי נבחר, בהיקף של 100 שעות עבודה.</w:t>
      </w:r>
    </w:p>
    <w:p>
      <w:pPr>
        <w:pStyle w:val="Heading2"/>
        <w:bidi/>
        <w:spacing w:after="110" w:before="220"/>
        <w:jc w:val="right"/>
      </w:pPr>
      <w:r>
        <w:rPr>
          <w:rFonts w:ascii="Arial" w:cs="Arial" w:eastAsia="Arial" w:hAnsi="Arial"/>
          <w:b/>
          <w:bCs/>
          <w:color w:val="2D7A8C"/>
          <w:sz w:val="26"/>
          <w:szCs w:val="26"/>
          <w:rtl/>
        </w:rPr>
        <w:t xml:space="preserve">מתודולוגיה ושלבים</w:t>
      </w:r>
    </w:p>
    <w:tbl>
      <w:tblPr>
        <w:bidiVisual/>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960"/>
      </w:tblGrid>
      <w:tr>
        <w:trPr>
          <w:tblHeader/>
        </w:trPr>
        <w:tc>
          <w:tcPr>
            <w:tcW w:type="dxa" w:w="120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שעות</w:t>
            </w:r>
          </w:p>
        </w:tc>
        <w:tc>
          <w:tcPr>
            <w:tcW w:type="dxa" w:w="220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שלב</w:t>
            </w:r>
          </w:p>
        </w:tc>
        <w:tc>
          <w:tcPr>
            <w:tcW w:type="dxa" w:w="496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תיאור</w:t>
            </w:r>
          </w:p>
        </w:tc>
      </w:tr>
      <w:tr>
        <w:tc>
          <w:tcPr>
            <w:tcW w:type="dxa" w:w="120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15</w:t>
            </w:r>
          </w:p>
        </w:tc>
        <w:tc>
          <w:tcPr>
            <w:tcW w:type="dxa" w:w="220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right"/>
            </w:pPr>
            <w:r>
              <w:rPr>
                <w:rFonts w:ascii="Arial" w:cs="Arial" w:eastAsia="Arial" w:hAnsi="Arial"/>
                <w:rtl/>
              </w:rPr>
              <w:t xml:space="preserve">תכנון והכנה</w:t>
            </w:r>
          </w:p>
        </w:tc>
        <w:tc>
          <w:tcPr>
            <w:tcW w:type="dxa" w:w="496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right"/>
            </w:pPr>
            <w:r>
              <w:rPr>
                <w:rFonts w:ascii="Arial" w:cs="Arial" w:eastAsia="Arial" w:hAnsi="Arial"/>
                <w:rtl/>
              </w:rPr>
              <w:t xml:space="preserve">הגדרת יעדים, קריטריונים להצלחה, בחירת תהליך עסקי לדוגמה ומיפוי דרישות.</w:t>
            </w:r>
          </w:p>
        </w:tc>
      </w:tr>
      <w:tr>
        <w:tc>
          <w:tcPr>
            <w:tcW w:type="dxa" w:w="120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20</w:t>
            </w:r>
          </w:p>
        </w:tc>
        <w:tc>
          <w:tcPr>
            <w:tcW w:type="dxa" w:w="220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right"/>
            </w:pPr>
            <w:r>
              <w:rPr>
                <w:rFonts w:ascii="Arial" w:cs="Arial" w:eastAsia="Arial" w:hAnsi="Arial"/>
                <w:rtl/>
              </w:rPr>
              <w:t xml:space="preserve">הקמת תשתית</w:t>
            </w:r>
          </w:p>
        </w:tc>
        <w:tc>
          <w:tcPr>
            <w:tcW w:type="dxa" w:w="496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right"/>
            </w:pPr>
            <w:r>
              <w:rPr>
                <w:rFonts w:ascii="Arial" w:cs="Arial" w:eastAsia="Arial" w:hAnsi="Arial"/>
                <w:rtl/>
              </w:rPr>
              <w:t xml:space="preserve">התקנת Camunda 8 (SaaS / Self-Managed לפי בחירה), הגדרות סביבה, חיבור למערכות קיימות, הכנת סביבת פיתוח.</w:t>
            </w:r>
          </w:p>
        </w:tc>
      </w:tr>
      <w:tr>
        <w:tc>
          <w:tcPr>
            <w:tcW w:type="dxa" w:w="120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45</w:t>
            </w:r>
          </w:p>
        </w:tc>
        <w:tc>
          <w:tcPr>
            <w:tcW w:type="dxa" w:w="220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right"/>
            </w:pPr>
            <w:r>
              <w:rPr>
                <w:rFonts w:ascii="Arial" w:cs="Arial" w:eastAsia="Arial" w:hAnsi="Arial"/>
                <w:rtl/>
              </w:rPr>
              <w:t xml:space="preserve">פיתוח והטמעה</w:t>
            </w:r>
          </w:p>
        </w:tc>
        <w:tc>
          <w:tcPr>
            <w:tcW w:type="dxa" w:w="496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right"/>
            </w:pPr>
            <w:r>
              <w:rPr>
                <w:rFonts w:ascii="Arial" w:cs="Arial" w:eastAsia="Arial" w:hAnsi="Arial"/>
                <w:rtl/>
              </w:rPr>
              <w:t xml:space="preserve">מודלינג BPMN לתהליך הנבחר, פיתוח לוגיקה עסקית, אינטגרציה עם מערכות קיימות, בדיקות.</w:t>
            </w:r>
          </w:p>
        </w:tc>
      </w:tr>
      <w:tr>
        <w:tc>
          <w:tcPr>
            <w:tcW w:type="dxa" w:w="120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20</w:t>
            </w:r>
          </w:p>
        </w:tc>
        <w:tc>
          <w:tcPr>
            <w:tcW w:type="dxa" w:w="220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right"/>
            </w:pPr>
            <w:r>
              <w:rPr>
                <w:rFonts w:ascii="Arial" w:cs="Arial" w:eastAsia="Arial" w:hAnsi="Arial"/>
                <w:rtl/>
              </w:rPr>
              <w:t xml:space="preserve">סיכום והעברת ידע</w:t>
            </w:r>
          </w:p>
        </w:tc>
        <w:tc>
          <w:tcPr>
            <w:tcW w:type="dxa" w:w="496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right"/>
            </w:pPr>
            <w:r>
              <w:rPr>
                <w:rFonts w:ascii="Arial" w:cs="Arial" w:eastAsia="Arial" w:hAnsi="Arial"/>
                <w:rtl/>
              </w:rPr>
              <w:t xml:space="preserve">דמו להנהלה, תיעוד, הערכת תוצאות, הדרכת צוות מאוחדת, מסמך סיכום והמלצות להמשך.</w:t>
            </w:r>
          </w:p>
        </w:tc>
      </w:tr>
    </w:tbl>
    <w:p>
      <w:r>
        <w:t xml:space="preserve"/>
      </w:r>
    </w:p>
    <w:p>
      <w:pPr>
        <w:pStyle w:val="Heading2"/>
        <w:bidi/>
        <w:spacing w:after="110" w:before="220"/>
        <w:jc w:val="right"/>
      </w:pPr>
      <w:r>
        <w:rPr>
          <w:rFonts w:ascii="Arial" w:cs="Arial" w:eastAsia="Arial" w:hAnsi="Arial"/>
          <w:b/>
          <w:bCs/>
          <w:color w:val="2D7A8C"/>
          <w:sz w:val="26"/>
          <w:szCs w:val="26"/>
          <w:rtl/>
        </w:rPr>
        <w:t xml:space="preserve">תוצרים</w:t>
      </w:r>
    </w:p>
    <w:p>
      <w:pPr>
        <w:pStyle w:val="ListParagraph"/>
        <w:numPr>
          <w:ilvl w:val="0"/>
          <w:numId w:val="2"/>
        </w:numPr>
        <w:bidi/>
        <w:spacing w:after="40" w:before="40"/>
        <w:jc w:val="right"/>
      </w:pPr>
      <w:r>
        <w:rPr>
          <w:rFonts w:ascii="Arial" w:cs="Arial" w:eastAsia="Arial" w:hAnsi="Arial"/>
          <w:rtl/>
        </w:rPr>
        <w:t xml:space="preserve">מסמך אפיון התהליך הנבחר (As-Is + To-Be).</w:t>
      </w:r>
    </w:p>
    <w:p>
      <w:pPr>
        <w:pStyle w:val="ListParagraph"/>
        <w:numPr>
          <w:ilvl w:val="0"/>
          <w:numId w:val="2"/>
        </w:numPr>
        <w:bidi/>
        <w:spacing w:after="40" w:before="40"/>
        <w:jc w:val="right"/>
      </w:pPr>
      <w:r>
        <w:rPr>
          <w:rFonts w:ascii="Arial" w:cs="Arial" w:eastAsia="Arial" w:hAnsi="Arial"/>
          <w:rtl/>
        </w:rPr>
        <w:t xml:space="preserve">סביבת Camunda 8 פעילה ומוקמת.</w:t>
      </w:r>
    </w:p>
    <w:p>
      <w:pPr>
        <w:pStyle w:val="ListParagraph"/>
        <w:numPr>
          <w:ilvl w:val="0"/>
          <w:numId w:val="2"/>
        </w:numPr>
        <w:bidi/>
        <w:spacing w:after="40" w:before="40"/>
        <w:jc w:val="right"/>
      </w:pPr>
      <w:r>
        <w:rPr>
          <w:rFonts w:ascii="Arial" w:cs="Arial" w:eastAsia="Arial" w:hAnsi="Arial"/>
          <w:rtl/>
        </w:rPr>
        <w:t xml:space="preserve">מודל BPMN מלא של התהליך הנבחר.</w:t>
      </w:r>
    </w:p>
    <w:p>
      <w:pPr>
        <w:pStyle w:val="ListParagraph"/>
        <w:numPr>
          <w:ilvl w:val="0"/>
          <w:numId w:val="2"/>
        </w:numPr>
        <w:bidi/>
        <w:spacing w:after="40" w:before="40"/>
        <w:jc w:val="right"/>
      </w:pPr>
      <w:r>
        <w:rPr>
          <w:rFonts w:ascii="Arial" w:cs="Arial" w:eastAsia="Arial" w:hAnsi="Arial"/>
          <w:rtl/>
        </w:rPr>
        <w:t xml:space="preserve">אינטגרציה פונקציונלית עם מערכת/ות קיימת/ות.</w:t>
      </w:r>
    </w:p>
    <w:p>
      <w:pPr>
        <w:pStyle w:val="ListParagraph"/>
        <w:numPr>
          <w:ilvl w:val="0"/>
          <w:numId w:val="2"/>
        </w:numPr>
        <w:bidi/>
        <w:spacing w:after="40" w:before="40"/>
        <w:jc w:val="right"/>
      </w:pPr>
      <w:r>
        <w:rPr>
          <w:rFonts w:ascii="Arial" w:cs="Arial" w:eastAsia="Arial" w:hAnsi="Arial"/>
          <w:rtl/>
        </w:rPr>
        <w:t xml:space="preserve">דמו פעיל (Live Demo) להנהלה ולבעלי עניין.</w:t>
      </w:r>
    </w:p>
    <w:p>
      <w:pPr>
        <w:pStyle w:val="ListParagraph"/>
        <w:numPr>
          <w:ilvl w:val="0"/>
          <w:numId w:val="2"/>
        </w:numPr>
        <w:bidi/>
        <w:spacing w:after="40" w:before="40"/>
        <w:jc w:val="right"/>
      </w:pPr>
      <w:r>
        <w:rPr>
          <w:rFonts w:ascii="Arial" w:cs="Arial" w:eastAsia="Arial" w:hAnsi="Arial"/>
          <w:rtl/>
        </w:rPr>
        <w:t xml:space="preserve">מסמך סיכום והמלצות להמשך, לרבות העברת ידע לצוות מאוחדת.</w:t>
      </w:r>
    </w:p>
    <w:p>
      <w:pPr>
        <w:pStyle w:val="Heading2"/>
        <w:bidi/>
        <w:spacing w:after="110" w:before="220"/>
        <w:jc w:val="right"/>
      </w:pPr>
      <w:r>
        <w:rPr>
          <w:rFonts w:ascii="Arial" w:cs="Arial" w:eastAsia="Arial" w:hAnsi="Arial"/>
          <w:b/>
          <w:bCs/>
          <w:color w:val="2D7A8C"/>
          <w:sz w:val="26"/>
          <w:szCs w:val="26"/>
          <w:rtl/>
        </w:rPr>
        <w:t xml:space="preserve">עלות ה-POC</w:t>
      </w:r>
    </w:p>
    <w:tbl>
      <w:tblPr>
        <w:bidiVisual/>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1880"/>
        <w:gridCol w:w="2880"/>
      </w:tblGrid>
      <w:tr>
        <w:trPr>
          <w:tblHeader/>
        </w:trPr>
        <w:tc>
          <w:tcPr>
            <w:tcW w:type="dxa" w:w="360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פריט</w:t>
            </w:r>
          </w:p>
        </w:tc>
        <w:tc>
          <w:tcPr>
            <w:tcW w:type="dxa" w:w="188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כמות</w:t>
            </w:r>
          </w:p>
        </w:tc>
        <w:tc>
          <w:tcPr>
            <w:tcW w:type="dxa" w:w="288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סך הכל</w:t>
            </w:r>
          </w:p>
        </w:tc>
      </w:tr>
      <w:tr>
        <w:tc>
          <w:tcPr>
            <w:tcW w:type="dxa" w:w="360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right"/>
            </w:pPr>
            <w:r>
              <w:rPr>
                <w:rFonts w:ascii="Arial" w:cs="Arial" w:eastAsia="Arial" w:hAnsi="Arial"/>
                <w:rtl/>
              </w:rPr>
              <w:t xml:space="preserve">תעריף לשעת עבודה</w:t>
            </w:r>
          </w:p>
        </w:tc>
        <w:tc>
          <w:tcPr>
            <w:tcW w:type="dxa" w:w="188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100 שעות</w:t>
            </w:r>
          </w:p>
        </w:tc>
        <w:tc>
          <w:tcPr>
            <w:tcW w:type="dxa" w:w="288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₪550</w:t>
            </w:r>
          </w:p>
        </w:tc>
      </w:tr>
      <w:tr>
        <w:tc>
          <w:tcPr>
            <w:tcW w:type="dxa" w:w="360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right"/>
            </w:pPr>
            <w:r>
              <w:rPr>
                <w:rFonts w:ascii="Arial" w:cs="Arial" w:eastAsia="Arial" w:hAnsi="Arial"/>
                <w:b/>
                <w:bCs/>
                <w:rtl/>
              </w:rPr>
              <w:t xml:space="preserve">סה״כ לפרויקט POC (לפני מע״מ)</w:t>
            </w:r>
          </w:p>
        </w:tc>
        <w:tc>
          <w:tcPr>
            <w:tcW w:type="dxa" w:w="188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center"/>
            </w:pPr>
            <w:r>
              <w:rPr>
                <w:rFonts w:ascii="Arial" w:cs="Arial" w:eastAsia="Arial" w:hAnsi="Arial"/>
                <w:b/>
                <w:bCs/>
                <w:rtl/>
              </w:rPr>
              <w:t xml:space="preserve">100 שעות</w:t>
            </w:r>
          </w:p>
        </w:tc>
        <w:tc>
          <w:tcPr>
            <w:tcW w:type="dxa" w:w="2880"/>
            <w:tcBorders>
              <w:top w:val="single" w:color="BFBFBF" w:sz="4"/>
              <w:left w:val="single" w:color="BFBFBF" w:sz="4"/>
              <w:bottom w:val="single" w:color="BFBFBF" w:sz="4"/>
              <w:right w:val="single" w:color="BFBFBF" w:sz="4"/>
            </w:tcBorders>
            <w:shd w:fill="F2F6F8" w:val="clear"/>
            <w:tcMar>
              <w:top w:type="dxa" w:w="110"/>
              <w:left w:type="dxa" w:w="140"/>
              <w:bottom w:type="dxa" w:w="110"/>
              <w:right w:type="dxa" w:w="140"/>
            </w:tcMar>
            <w:vAlign w:val="center"/>
          </w:tcPr>
          <w:p>
            <w:pPr>
              <w:bidi/>
              <w:spacing w:after="80" w:before="80"/>
              <w:jc w:val="center"/>
            </w:pPr>
            <w:r>
              <w:rPr>
                <w:rFonts w:ascii="Arial" w:cs="Arial" w:eastAsia="Arial" w:hAnsi="Arial"/>
                <w:b/>
                <w:bCs/>
                <w:rtl/>
              </w:rPr>
              <w:t xml:space="preserve">₪55,000</w:t>
            </w:r>
          </w:p>
        </w:tc>
      </w:tr>
    </w:tbl>
    <w:p>
      <w:r>
        <w:t xml:space="preserve"/>
      </w:r>
    </w:p>
    <w:p>
      <w:pPr>
        <w:pStyle w:val="ListParagraph"/>
        <w:numPr>
          <w:ilvl w:val="0"/>
          <w:numId w:val="2"/>
        </w:numPr>
        <w:bidi/>
        <w:spacing w:after="40" w:before="40"/>
        <w:jc w:val="right"/>
      </w:pPr>
      <w:r>
        <w:rPr>
          <w:rFonts w:ascii="Arial" w:cs="Arial" w:eastAsia="Arial" w:hAnsi="Arial"/>
          <w:rtl/>
        </w:rPr>
        <w:t xml:space="preserve">המחירים אינם כוללים מע״מ. המע״מ יתווסף בהתאם לחוק.</w:t>
      </w:r>
    </w:p>
    <w:p>
      <w:pPr>
        <w:pStyle w:val="ListParagraph"/>
        <w:numPr>
          <w:ilvl w:val="0"/>
          <w:numId w:val="2"/>
        </w:numPr>
        <w:bidi/>
        <w:spacing w:after="40" w:before="40"/>
        <w:jc w:val="right"/>
      </w:pPr>
      <w:r>
        <w:rPr>
          <w:rFonts w:ascii="Arial" w:cs="Arial" w:eastAsia="Arial" w:hAnsi="Arial"/>
          <w:rtl/>
        </w:rPr>
        <w:t xml:space="preserve">עלות רישיון Camunda (כמפורט בסעיף הרישוי) אינה כלולה בעלות ה-POC.</w:t>
      </w:r>
    </w:p>
    <w:p>
      <w:pPr>
        <w:pStyle w:val="ListParagraph"/>
        <w:numPr>
          <w:ilvl w:val="0"/>
          <w:numId w:val="2"/>
        </w:numPr>
        <w:bidi/>
        <w:spacing w:after="40" w:before="40"/>
        <w:jc w:val="right"/>
      </w:pPr>
      <w:r>
        <w:rPr>
          <w:rFonts w:ascii="Arial" w:cs="Arial" w:eastAsia="Arial" w:hAnsi="Arial"/>
          <w:rtl/>
        </w:rPr>
        <w:t xml:space="preserve">תקופת ה-POC: 6 שבועות מיום חתימת ההזמנה.</w:t>
      </w:r>
    </w:p>
    <w:p>
      <w:pPr>
        <w:pStyle w:val="ListParagraph"/>
        <w:numPr>
          <w:ilvl w:val="0"/>
          <w:numId w:val="2"/>
        </w:numPr>
        <w:bidi/>
        <w:spacing w:after="40" w:before="40"/>
        <w:jc w:val="right"/>
      </w:pPr>
      <w:r>
        <w:rPr>
          <w:rFonts w:ascii="Arial" w:cs="Arial" w:eastAsia="Arial" w:hAnsi="Arial"/>
          <w:rtl/>
        </w:rPr>
        <w:t xml:space="preserve">תנאי תשלום עבור ה-POC: שוטף + 30, חשבונית חודשית על בסיס שעות בפועל.</w:t>
      </w:r>
    </w:p>
    <w:p>
      <w:pPr>
        <w:pStyle w:val="Heading1"/>
        <w:bidi/>
        <w:spacing w:after="160" w:before="320"/>
        <w:jc w:val="right"/>
      </w:pPr>
      <w:r>
        <w:rPr>
          <w:rFonts w:ascii="Arial" w:cs="Arial" w:eastAsia="Arial" w:hAnsi="Arial"/>
          <w:b/>
          <w:bCs/>
          <w:color w:val="2D7A8C"/>
          <w:sz w:val="32"/>
          <w:szCs w:val="32"/>
          <w:rtl/>
        </w:rPr>
        <w:t xml:space="preserve">למה Enterprise Success Plan מתאים למאוחדת</w:t>
      </w:r>
    </w:p>
    <w:p>
      <w:pPr>
        <w:bidi/>
        <w:spacing w:after="80" w:before="80"/>
        <w:jc w:val="right"/>
      </w:pPr>
      <w:r>
        <w:rPr>
          <w:rFonts w:ascii="Arial" w:cs="Arial" w:eastAsia="Arial" w:hAnsi="Arial"/>
          <w:rtl/>
        </w:rPr>
        <w:t xml:space="preserve">בהתחשב במורכבות הסביבה של מאוחדת – פריסת On-Premise, ארכיטקטורת תזמור מולטי-סוכנים (Multi-Agent), שימושים קליניים ודרישות זמינות גבוהה – חבילת ה-Enterprise Success Plan היא ההתאמה הנכונה. היא מציבה לרשות מאוחדת מומחי Camunda ייעודיים מהיום הראשון, מבטיחה SLA מהיר לקריאות L1/L2, ומספקת ליווי טכני (TAM) ועסקי (CSM) לכל אורך מחזור החיים של הפלטפורמה.</w:t>
      </w:r>
    </w:p>
    <w:p>
      <w:pPr>
        <w:pStyle w:val="Heading1"/>
        <w:bidi/>
        <w:spacing w:after="160" w:before="320"/>
        <w:jc w:val="right"/>
      </w:pPr>
      <w:r>
        <w:rPr>
          <w:rFonts w:ascii="Arial" w:cs="Arial" w:eastAsia="Arial" w:hAnsi="Arial"/>
          <w:b/>
          <w:bCs/>
          <w:color w:val="2D7A8C"/>
          <w:sz w:val="32"/>
          <w:szCs w:val="32"/>
          <w:rtl/>
        </w:rPr>
        <w:t xml:space="preserve">תנאים מסחריים</w:t>
      </w:r>
    </w:p>
    <w:p>
      <w:pPr>
        <w:pStyle w:val="ListParagraph"/>
        <w:numPr>
          <w:ilvl w:val="0"/>
          <w:numId w:val="2"/>
        </w:numPr>
        <w:bidi/>
        <w:spacing w:after="40" w:before="40"/>
        <w:jc w:val="right"/>
      </w:pPr>
      <w:r>
        <w:rPr>
          <w:rFonts w:ascii="Arial" w:cs="Arial" w:eastAsia="Arial" w:hAnsi="Arial"/>
          <w:rtl/>
        </w:rPr>
        <w:t xml:space="preserve">הודעה לעיתונות (Press Release): עם חתימת ההסכם, הצדדים יפרסמו הודעה משותפת על שיתוף הפעולה.</w:t>
      </w:r>
    </w:p>
    <w:p>
      <w:pPr>
        <w:pStyle w:val="ListParagraph"/>
        <w:numPr>
          <w:ilvl w:val="0"/>
          <w:numId w:val="2"/>
        </w:numPr>
        <w:bidi/>
        <w:spacing w:after="40" w:before="40"/>
        <w:jc w:val="right"/>
      </w:pPr>
      <w:r>
        <w:rPr>
          <w:rFonts w:ascii="Arial" w:cs="Arial" w:eastAsia="Arial" w:hAnsi="Arial"/>
          <w:rtl/>
        </w:rPr>
        <w:t xml:space="preserve">חבילת Enterprise Success Plan כלולה בעלות הרישוי כמפורט בסעיף הרישוי.</w:t>
      </w:r>
    </w:p>
    <w:p>
      <w:pPr>
        <w:pStyle w:val="ListParagraph"/>
        <w:numPr>
          <w:ilvl w:val="0"/>
          <w:numId w:val="2"/>
        </w:numPr>
        <w:bidi/>
        <w:spacing w:after="40" w:before="40"/>
        <w:jc w:val="right"/>
      </w:pPr>
      <w:r>
        <w:rPr>
          <w:rFonts w:ascii="Arial" w:cs="Arial" w:eastAsia="Arial" w:hAnsi="Arial"/>
          <w:rtl/>
        </w:rPr>
        <w:t xml:space="preserve">סעיף חידוש (Flat Renewal): במידה ומאוחדת תחדש את ההתקשרות באותה מדרגת PI בתום אחת משנות החוזה, Camunda שומרת על הזכות להעלאה של עד 5% על דמי הבסיס.</w:t>
      </w:r>
    </w:p>
    <w:p>
      <w:pPr>
        <w:pStyle w:val="ListParagraph"/>
        <w:numPr>
          <w:ilvl w:val="0"/>
          <w:numId w:val="2"/>
        </w:numPr>
        <w:bidi/>
        <w:spacing w:after="40" w:before="40"/>
        <w:jc w:val="right"/>
      </w:pPr>
      <w:r>
        <w:rPr>
          <w:rFonts w:ascii="Arial" w:cs="Arial" w:eastAsia="Arial" w:hAnsi="Arial"/>
          <w:rtl/>
        </w:rPr>
        <w:t xml:space="preserve">תוקף ההצעה: 31 באוקטובר 2026. במקרה של פתיחת משא ומתן, ניתן להקדים את מועד החתימה.</w:t>
      </w:r>
    </w:p>
    <w:p>
      <w:pPr>
        <w:pStyle w:val="ListParagraph"/>
        <w:numPr>
          <w:ilvl w:val="0"/>
          <w:numId w:val="2"/>
        </w:numPr>
        <w:bidi/>
        <w:spacing w:after="40" w:before="40"/>
        <w:jc w:val="right"/>
      </w:pPr>
      <w:r>
        <w:rPr>
          <w:rFonts w:ascii="Arial" w:cs="Arial" w:eastAsia="Arial" w:hAnsi="Arial"/>
          <w:rtl/>
        </w:rPr>
        <w:t xml:space="preserve">יש לחתום על הסכם רישוי מול Camunda. תנאי תשלום עבור הרישוי – שוטף + 60.</w:t>
      </w:r>
    </w:p>
    <w:p>
      <w:pPr>
        <w:pStyle w:val="Heading1"/>
        <w:bidi/>
        <w:spacing w:after="160" w:before="320"/>
        <w:jc w:val="right"/>
      </w:pPr>
      <w:r>
        <w:rPr>
          <w:rFonts w:ascii="Arial" w:cs="Arial" w:eastAsia="Arial" w:hAnsi="Arial"/>
          <w:b/>
          <w:bCs/>
          <w:color w:val="2D7A8C"/>
          <w:sz w:val="32"/>
          <w:szCs w:val="32"/>
          <w:rtl/>
        </w:rPr>
        <w:t xml:space="preserve">תנאים משפטיים</w:t>
      </w:r>
    </w:p>
    <w:p>
      <w:pPr>
        <w:bidi/>
        <w:spacing w:after="80" w:before="80"/>
        <w:jc w:val="right"/>
      </w:pPr>
      <w:r>
        <w:rPr>
          <w:rFonts w:ascii="Arial" w:cs="Arial" w:eastAsia="Arial" w:hAnsi="Arial"/>
          <w:b/>
          <w:bCs/>
          <w:rtl/>
        </w:rPr>
        <w:t xml:space="preserve">הצעה זו כפופה ל-</w:t>
      </w:r>
      <w:r>
        <w:rPr>
          <w:rFonts w:ascii="Arial" w:cs="Arial" w:eastAsia="Arial" w:hAnsi="Arial"/>
          <w:b/>
          <w:bCs/>
        </w:rPr>
        <w:t xml:space="preserve">Camunda Minimum Terms (Reseller)</w:t>
      </w:r>
      <w:r>
        <w:rPr>
          <w:rFonts w:ascii="Arial" w:cs="Arial" w:eastAsia="Arial" w:hAnsi="Arial"/>
          <w:b/>
          <w:bCs/>
          <w:rtl/>
        </w:rPr>
        <w:t xml:space="preserve"> – התנאים המסחריים המינימליים של Camunda עבור ערוץ השותפים. המסמך מצורף להצעה זו כנספח נפרד וזמין גם בקישור הבא:</w:t>
      </w:r>
    </w:p>
    <w:p>
      <w:pPr>
        <w:bidi/>
        <w:spacing w:after="80" w:before="80"/>
        <w:jc w:val="left"/>
      </w:pPr>
      <w:hyperlink w:history="1" r:id="rIdl_uylywr33pcvdacnct7q">
        <w:r>
          <w:rPr>
            <w:rFonts w:ascii="Arial" w:cs="Arial" w:eastAsia="Arial" w:hAnsi="Arial"/>
            <w:color w:val="0563C1"/>
            <w:sz w:val="20"/>
            <w:szCs w:val="20"/>
            <w:u w:val="single"/>
          </w:rPr>
          <w:t xml:space="preserve">https://legal.camunda.com/licensing-and-other-legal-terms#minimum-terms-reseller</w:t>
        </w:r>
      </w:hyperlink>
    </w:p>
    <w:p>
      <w:pPr>
        <w:bidi/>
        <w:spacing w:after="80" w:before="80"/>
        <w:jc w:val="right"/>
      </w:pPr>
      <w:r>
        <w:rPr>
          <w:rFonts w:ascii="Arial" w:cs="Arial" w:eastAsia="Arial" w:hAnsi="Arial"/>
          <w:i/>
          <w:iCs/>
          <w:rtl/>
        </w:rPr>
        <w:t xml:space="preserve">חתימה על הסכם הרישוי מהווה אישור הסכמה לתנאים אלו. בכל מקרה של סתירה בין הצעה זו לבין תנאי ה-</w:t>
      </w:r>
      <w:r>
        <w:rPr>
          <w:rFonts w:ascii="Arial" w:cs="Arial" w:eastAsia="Arial" w:hAnsi="Arial"/>
          <w:i/>
          <w:iCs/>
        </w:rPr>
        <w:t xml:space="preserve">Minimum Terms (Reseller)</w:t>
      </w:r>
      <w:r>
        <w:rPr>
          <w:rFonts w:ascii="Arial" w:cs="Arial" w:eastAsia="Arial" w:hAnsi="Arial"/>
          <w:i/>
          <w:iCs/>
          <w:rtl/>
        </w:rPr>
        <w:t xml:space="preserve"> של Camunda – יגברו תנאי ה-</w:t>
      </w:r>
      <w:r>
        <w:rPr>
          <w:rFonts w:ascii="Arial" w:cs="Arial" w:eastAsia="Arial" w:hAnsi="Arial"/>
          <w:i/>
          <w:iCs/>
        </w:rPr>
        <w:t xml:space="preserve">Minimum Terms</w:t>
      </w:r>
      <w:r>
        <w:rPr>
          <w:rFonts w:ascii="Arial" w:cs="Arial" w:eastAsia="Arial" w:hAnsi="Arial"/>
          <w:i/>
          <w:iCs/>
          <w:rtl/>
        </w:rPr>
        <w:t xml:space="preserve">.</w:t>
      </w:r>
    </w:p>
    <w:p>
      <w:pPr>
        <w:pStyle w:val="Heading1"/>
        <w:bidi/>
        <w:spacing w:after="160" w:before="320"/>
        <w:jc w:val="right"/>
      </w:pPr>
      <w:r>
        <w:rPr>
          <w:rFonts w:ascii="Arial" w:cs="Arial" w:eastAsia="Arial" w:hAnsi="Arial"/>
          <w:b/>
          <w:bCs/>
          <w:color w:val="2D7A8C"/>
          <w:sz w:val="32"/>
          <w:szCs w:val="32"/>
          <w:rtl/>
        </w:rPr>
        <w:t xml:space="preserve">פרטי קשר</w:t>
      </w:r>
    </w:p>
    <w:tbl>
      <w:tblPr>
        <w:bidiVisual/>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180"/>
        <w:gridCol w:w="4180"/>
      </w:tblGrid>
      <w:tr>
        <w:tc>
          <w:tcPr>
            <w:tcW w:type="dxa" w:w="418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NG Workshop</w:t>
            </w:r>
          </w:p>
        </w:tc>
        <w:tc>
          <w:tcPr>
            <w:tcW w:type="dxa" w:w="4180"/>
            <w:tcBorders>
              <w:top w:val="single" w:color="BFBFBF" w:sz="4"/>
              <w:left w:val="single" w:color="BFBFBF" w:sz="4"/>
              <w:bottom w:val="single" w:color="BFBFBF" w:sz="4"/>
              <w:right w:val="single" w:color="BFBFBF" w:sz="4"/>
            </w:tcBorders>
            <w:shd w:fill="2D7A8C" w:val="clear"/>
            <w:tcMar>
              <w:top w:type="dxa" w:w="110"/>
              <w:left w:type="dxa" w:w="140"/>
              <w:bottom w:type="dxa" w:w="110"/>
              <w:right w:type="dxa" w:w="140"/>
            </w:tcMar>
            <w:vAlign w:val="center"/>
          </w:tcPr>
          <w:p>
            <w:pPr>
              <w:bidi/>
              <w:spacing w:after="80" w:before="80"/>
              <w:jc w:val="center"/>
            </w:pPr>
            <w:r>
              <w:rPr>
                <w:rFonts w:ascii="Arial" w:cs="Arial" w:eastAsia="Arial" w:hAnsi="Arial"/>
                <w:b/>
                <w:bCs/>
                <w:color w:val="FFFFFF"/>
                <w:rtl/>
              </w:rPr>
              <w:t xml:space="preserve">קופת חולים מאוחדת</w:t>
            </w:r>
          </w:p>
        </w:tc>
      </w:tr>
      <w:tr>
        <w:tc>
          <w:tcPr>
            <w:tcW w:type="dxa" w:w="418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Guy Elisha</w:t>
            </w:r>
          </w:p>
          <w:p>
            <w:pPr>
              <w:bidi/>
              <w:spacing w:after="80" w:before="80"/>
              <w:jc w:val="center"/>
            </w:pPr>
            <w:r>
              <w:rPr>
                <w:rFonts w:ascii="Arial" w:cs="Arial" w:eastAsia="Arial" w:hAnsi="Arial"/>
              </w:rPr>
              <w:t xml:space="preserve">guy@ngworkshop.co.il</w:t>
            </w:r>
          </w:p>
        </w:tc>
        <w:tc>
          <w:tcPr>
            <w:tcW w:type="dxa" w:w="4180"/>
            <w:tcBorders>
              <w:top w:val="single" w:color="BFBFBF" w:sz="4"/>
              <w:left w:val="single" w:color="BFBFBF" w:sz="4"/>
              <w:bottom w:val="single" w:color="BFBFBF" w:sz="4"/>
              <w:right w:val="single" w:color="BFBFBF" w:sz="4"/>
            </w:tcBorders>
            <w:tcMar>
              <w:top w:type="dxa" w:w="110"/>
              <w:left w:type="dxa" w:w="140"/>
              <w:bottom w:type="dxa" w:w="110"/>
              <w:right w:type="dxa" w:w="140"/>
            </w:tcMar>
            <w:vAlign w:val="center"/>
          </w:tcPr>
          <w:p>
            <w:pPr>
              <w:bidi/>
              <w:spacing w:after="80" w:before="80"/>
              <w:jc w:val="center"/>
            </w:pPr>
            <w:r>
              <w:rPr>
                <w:rFonts w:ascii="Arial" w:cs="Arial" w:eastAsia="Arial" w:hAnsi="Arial"/>
                <w:rtl/>
              </w:rPr>
              <w:t xml:space="preserve">יקי / רות</w:t>
            </w:r>
          </w:p>
        </w:tc>
      </w:tr>
    </w:tbl>
    <w:p>
      <w:r>
        <w:t xml:space="preserve"/>
      </w:r>
    </w:p>
    <w:p>
      <w:r>
        <w:t xml:space="preserve"/>
      </w:r>
    </w:p>
    <w:p>
      <w:pPr>
        <w:tabs>
          <w:tab w:val="center" w:pos="4500"/>
        </w:tabs>
        <w:bidi/>
        <w:spacing w:after="80" w:before="80"/>
        <w:jc w:val="center"/>
      </w:pPr>
      <w:r>
        <w:rPr>
          <w:rFonts w:ascii="Arial" w:cs="Arial" w:eastAsia="Arial" w:hAnsi="Arial"/>
          <w:rtl/>
        </w:rPr>
        <w:t xml:space="preserve">________________________</w:t>
      </w:r>
      <w:r>
        <w:t xml:space="preserve">	</w:t>
      </w:r>
      <w:r>
        <w:rPr>
          <w:rFonts w:ascii="Arial" w:cs="Arial" w:eastAsia="Arial" w:hAnsi="Arial"/>
          <w:rtl/>
        </w:rPr>
        <w:t xml:space="preserve">________________________</w:t>
      </w:r>
    </w:p>
    <w:p>
      <w:pPr>
        <w:tabs>
          <w:tab w:val="center" w:pos="4500"/>
        </w:tabs>
        <w:bidi/>
        <w:spacing w:after="80" w:before="80"/>
        <w:jc w:val="center"/>
      </w:pPr>
      <w:r>
        <w:rPr>
          <w:rFonts w:ascii="Arial" w:cs="Arial" w:eastAsia="Arial" w:hAnsi="Arial"/>
          <w:rtl/>
        </w:rPr>
        <w:t xml:space="preserve">חתימה – NG Workshop</w:t>
      </w:r>
      <w:r>
        <w:t xml:space="preserve">	</w:t>
      </w:r>
      <w:r>
        <w:rPr>
          <w:rFonts w:ascii="Arial" w:cs="Arial" w:eastAsia="Arial" w:hAnsi="Arial"/>
          <w:rtl/>
        </w:rPr>
        <w:t xml:space="preserve">חתימה – קופת חולים מאוחדת</w:t>
      </w:r>
    </w:p>
    <w:sectPr>
      <w:headerReference w:type="default" r:id="rId7"/>
      <w:footerReference w:type="default" r:id="rId8"/>
      <w:pgSz w:w="11906" w:h="16838" w:orient="portrait"/>
      <w:pgMar w:top="1440" w:right="720" w:bottom="108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tl/>
      </w:rPr>
      <w:t xml:space="preserve">הצעת מחיר – קופת חולים מאוחדת | NG Workshop  |  עמוד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tl/>
      </w:rPr>
      <w:t xml:space="preserve"> מתוך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val="false"/>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4186"/>
      <w:gridCol w:w="6279"/>
    </w:tblGrid>
    <w:tr>
      <w:trPr>
        <w:trHeight w:val="360" w:hRule="exact"/>
      </w:trPr>
      <w:tc>
        <w:tcPr>
          <w:tcW w:type="dxa" w:w="4186"/>
          <w:tcBorders>
            <w:top w:val="none" w:color="FFFFFF" w:sz="0"/>
            <w:left w:val="none" w:color="FFFFFF" w:sz="0"/>
            <w:bottom w:val="none" w:color="FFFFFF" w:sz="0"/>
            <w:right w:val="none" w:color="FFFFFF" w:sz="0"/>
          </w:tcBorders>
          <w:shd w:fill="1F3D6E" w:val="clear"/>
          <w:tcMar>
            <w:top w:type="dxa" w:w="0"/>
            <w:left w:type="dxa" w:w="0"/>
            <w:bottom w:type="dxa" w:w="0"/>
            <w:right w:type="dxa" w:w="0"/>
          </w:tcMar>
        </w:tcPr>
        <w:p>
          <w:r>
            <w:rPr>
              <w:sz w:val="12"/>
              <w:szCs w:val="12"/>
            </w:rPr>
            <w:t xml:space="preserve"> </w:t>
          </w:r>
        </w:p>
      </w:tc>
      <w:tc>
        <w:tcPr>
          <w:tcW w:type="dxa" w:w="6279"/>
          <w:tcBorders>
            <w:top w:val="none" w:color="FFFFFF" w:sz="0"/>
            <w:left w:val="none" w:color="FFFFFF" w:sz="0"/>
            <w:bottom w:val="none" w:color="FFFFFF" w:sz="0"/>
            <w:right w:val="none" w:color="FFFFFF" w:sz="0"/>
          </w:tcBorders>
          <w:shd w:fill="8BC53F" w:val="clear"/>
          <w:tcMar>
            <w:top w:type="dxa" w:w="0"/>
            <w:left w:type="dxa" w:w="0"/>
            <w:bottom w:type="dxa" w:w="0"/>
            <w:right w:type="dxa" w:w="0"/>
          </w:tcMar>
        </w:tcPr>
        <w:p>
          <w:r>
            <w:rPr>
              <w:sz w:val="12"/>
              <w:szCs w:val="12"/>
            </w:rPr>
            <w:t xml:space="preserve"> </w:t>
          </w:r>
        </w:p>
      </w:tc>
    </w:tr>
  </w:tbl>
  <w:p>
    <w:pPr>
      <w:spacing w:after="80" w:before="80"/>
      <w:jc w:val="center"/>
    </w:pPr>
    <w:r>
      <w:drawing>
        <wp:inline distT="0" distB="0" distL="0" distR="0">
          <wp:extent cx="2095500" cy="457200"/>
          <wp:effectExtent t="0" r="0" b="0" l="0"/>
          <wp:docPr id="1" name="ng_logo" descr="NG Workshop logo" title="NG 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D7A8C"/>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D7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_uylywr33pcvdacnct7q" Type="http://schemas.openxmlformats.org/officeDocument/2006/relationships/hyperlink" Target="https://legal.camunda.com/licensing-and-other-legal-terms#minimum-terms-resell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ccca5eba11a650aaa9d0715c3dce30f56044ed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הצעת מחיר – קופת חולים מאוחדת – Camunda Enterprise + 3-Year Strategic Plan</dc:title>
  <dc:creator>NG Workshop</dc:creator>
  <cp:lastModifiedBy>Un-named</cp:lastModifiedBy>
  <cp:revision>1</cp:revision>
  <dcterms:created xsi:type="dcterms:W3CDTF">2026-05-05T07:09:59.162Z</dcterms:created>
  <dcterms:modified xsi:type="dcterms:W3CDTF">2026-05-05T07:09:59.167Z</dcterms:modified>
</cp:coreProperties>
</file>

<file path=docProps/custom.xml><?xml version="1.0" encoding="utf-8"?>
<Properties xmlns="http://schemas.openxmlformats.org/officeDocument/2006/custom-properties" xmlns:vt="http://schemas.openxmlformats.org/officeDocument/2006/docPropsVTypes"/>
</file>