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jc w:val="right"/>
      </w:pPr>
      <w:r>
        <w:rPr>
          <w:b/>
          <w:bCs/>
          <w:sz w:val="40"/>
          <w:szCs w:val="40"/>
          <w:rtl/>
        </w:rPr>
        <w:t xml:space="preserve">סיכום פגישה — Camunda וסלא (SLE)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shd w:fill="EFEFEF" w:val="clear"/>
          </w:tcPr>
          <w:p>
            <w:pPr>
              <w:bidi/>
              <w:jc w:val="right"/>
            </w:pPr>
            <w:r>
              <w:rPr>
                <w:b/>
                <w:bCs/>
                <w:rtl/>
              </w:rPr>
              <w:t xml:space="preserve">לכבוד</w:t>
            </w:r>
          </w:p>
        </w:tc>
        <w:tc>
          <w:tcPr>
            <w:tcW w:type="dxa" w:w="7226"/>
          </w:tcPr>
          <w:p>
            <w:pPr>
              <w:bidi/>
              <w:jc w:val="right"/>
            </w:pPr>
            <w:r>
              <w:rPr>
                <w:rtl/>
              </w:rPr>
              <w:t xml:space="preserve">[להשלים]</w:t>
            </w:r>
          </w:p>
        </w:tc>
      </w:tr>
      <w:tr>
        <w:tc>
          <w:tcPr>
            <w:tcW w:type="dxa" w:w="1800"/>
            <w:shd w:fill="EFEFEF" w:val="clear"/>
          </w:tcPr>
          <w:p>
            <w:pPr>
              <w:bidi/>
              <w:jc w:val="right"/>
            </w:pPr>
            <w:r>
              <w:rPr>
                <w:b/>
                <w:bCs/>
                <w:rtl/>
              </w:rPr>
              <w:t xml:space="preserve">תאריך</w:t>
            </w:r>
          </w:p>
        </w:tc>
        <w:tc>
          <w:tcPr>
            <w:tcW w:type="dxa" w:w="7226"/>
          </w:tcPr>
          <w:p>
            <w:pPr>
              <w:bidi/>
              <w:jc w:val="right"/>
            </w:pPr>
            <w:r>
              <w:rPr>
                <w:rtl/>
              </w:rPr>
              <w:t xml:space="preserve">[להשלים]</w:t>
            </w:r>
          </w:p>
        </w:tc>
      </w:tr>
      <w:tr>
        <w:tc>
          <w:tcPr>
            <w:tcW w:type="dxa" w:w="1800"/>
            <w:shd w:fill="EFEFEF" w:val="clear"/>
          </w:tcPr>
          <w:p>
            <w:pPr>
              <w:bidi/>
              <w:jc w:val="right"/>
            </w:pPr>
            <w:r>
              <w:rPr>
                <w:b/>
                <w:bCs/>
                <w:rtl/>
              </w:rPr>
              <w:t xml:space="preserve">מאת</w:t>
            </w:r>
          </w:p>
        </w:tc>
        <w:tc>
          <w:tcPr>
            <w:tcW w:type="dxa" w:w="7226"/>
          </w:tcPr>
          <w:p>
            <w:pPr>
              <w:bidi/>
              <w:jc w:val="right"/>
            </w:pPr>
            <w:r>
              <w:rPr>
                <w:rtl/>
              </w:rPr>
              <w:t xml:space="preserve">NG Workshop</w:t>
            </w:r>
          </w:p>
        </w:tc>
      </w:tr>
    </w:tbl>
    <w:p>
      <w:pPr>
        <w:spacing w:after="200"/>
      </w:pPr>
    </w:p>
    <w:p>
      <w:pPr>
        <w:bidi/>
        <w:spacing w:after="120"/>
        <w:jc w:val="right"/>
      </w:pPr>
      <w:r>
        <w:rPr>
          <w:b w:val="false"/>
          <w:bCs w:val="false"/>
          <w:i w:val="false"/>
          <w:iCs w:val="false"/>
          <w:rtl/>
        </w:rPr>
        <w:t xml:space="preserve">להלן תמצית הנקודות המרכזיות שעלו בפגישה:</w:t>
      </w:r>
    </w:p>
    <w:p>
      <w:pPr>
        <w:pStyle w:val="ListParagraph"/>
        <w:numPr>
          <w:ilvl w:val="0"/>
          <w:numId w:val="2"/>
        </w:numPr>
        <w:bidi/>
        <w:spacing w:after="140"/>
        <w:jc w:val="right"/>
      </w:pPr>
      <w:r>
        <w:rPr>
          <w:b/>
          <w:bCs/>
          <w:rtl/>
        </w:rPr>
        <w:t xml:space="preserve">ממשקים למשרד הבריאות ולחברות התרופות (תופעות לוואי): </w:t>
      </w:r>
      <w:r>
        <w:rPr>
          <w:b w:val="false"/>
          <w:bCs w:val="false"/>
          <w:rtl/>
        </w:rPr>
        <w:t xml:space="preserve">מעבר לדיווח הקיים ליצרן/בעל הרישום, נדרש גם דיווח ישיר למשרד הבריאות (פורטל ייעודי, לפי נוהל 6) — שני ממשקים מקבילים, כל אחד עם SLA ופורמט משלו. לוחות הזמנים המדויקים ואופן ההגשה טעונים אימות מול הצוות הרגולטורי של סלא.</w:t>
      </w:r>
    </w:p>
    <w:p>
      <w:pPr>
        <w:pStyle w:val="ListParagraph"/>
        <w:numPr>
          <w:ilvl w:val="0"/>
          <w:numId w:val="2"/>
        </w:numPr>
        <w:bidi/>
        <w:spacing w:after="140"/>
        <w:jc w:val="right"/>
      </w:pPr>
      <w:r>
        <w:rPr>
          <w:b/>
          <w:bCs/>
          <w:rtl/>
        </w:rPr>
        <w:t xml:space="preserve">נקודה אסטרטגית — הלקח מהמתחרה: </w:t>
      </w:r>
      <w:r>
        <w:rPr>
          <w:b w:val="false"/>
          <w:bCs w:val="false"/>
          <w:rtl/>
        </w:rPr>
        <w:t xml:space="preserve">העובדה שלחברה מתחרה בתחום לא הצליח פרויקט הסבה דומה מחזקת את הטענה שכדאי לגשת לפרויקט מזווית שונה. שימוש נכון במנוע תהליכים ארגוני (Camunda) מאפשר מעבר בטוח והדרגתי יותר, תוך שמירה רציפה על עמידה בדרישות הרגולציה. בנוסף, מנוע כזה נותן גמישות משמעותית כאשר דרישות רגולטוריות משתנות — עדכון בתהליך או בטבלת החלטה, לא פרויקט פיתוח מחדש — ומוריד משמעותית את העומס מצוותי הפיתוח.</w:t>
      </w:r>
    </w:p>
    <w:p>
      <w:pPr>
        <w:pStyle w:val="ListParagraph"/>
        <w:numPr>
          <w:ilvl w:val="0"/>
          <w:numId w:val="2"/>
        </w:numPr>
        <w:bidi/>
        <w:spacing w:after="140"/>
        <w:jc w:val="right"/>
      </w:pPr>
      <w:r>
        <w:rPr>
          <w:b/>
          <w:bCs/>
          <w:rtl/>
        </w:rPr>
        <w:t xml:space="preserve">המסר המרכזי מהדמו: </w:t>
      </w:r>
      <w:r>
        <w:rPr>
          <w:b w:val="false"/>
          <w:bCs w:val="false"/>
          <w:rtl/>
        </w:rPr>
        <w:t xml:space="preserve">Camunda לא מחליפה את ה-ERP — היא שכבת אורקסטרציה מעליו, המתאמת בין ה-ERP, המחסן והיצרן.</w:t>
      </w:r>
    </w:p>
    <w:p>
      <w:pPr>
        <w:pStyle w:val="ListParagraph"/>
        <w:numPr>
          <w:ilvl w:val="0"/>
          <w:numId w:val="2"/>
        </w:numPr>
        <w:bidi/>
        <w:spacing w:after="140"/>
        <w:jc w:val="right"/>
      </w:pPr>
      <w:r>
        <w:rPr>
          <w:b/>
          <w:bCs/>
          <w:rtl/>
        </w:rPr>
        <w:t xml:space="preserve">שני תרחישי דמו שהוצגו: </w:t>
      </w:r>
      <w:r>
        <w:rPr>
          <w:b w:val="false"/>
          <w:bCs w:val="false"/>
          <w:rtl/>
        </w:rPr>
        <w:t xml:space="preserve">(1) אורקסטרציה בין Priority ל-AS/400 — ריקול אצווה, קליטת SKU, דיווח תופעת לוואי. (2) invoice-to-cash — חריגת אשראי, מחלוקת חשבונית, סולם גבייה (טבלת החלטה שסמנכ"ל הכספים עורך בעצמו).</w:t>
      </w:r>
    </w:p>
    <w:p>
      <w:pPr>
        <w:pStyle w:val="ListParagraph"/>
        <w:numPr>
          <w:ilvl w:val="0"/>
          <w:numId w:val="2"/>
        </w:numPr>
        <w:bidi/>
        <w:spacing w:after="140"/>
        <w:jc w:val="right"/>
      </w:pPr>
      <w:r>
        <w:rPr>
          <w:b/>
          <w:bCs/>
          <w:rtl/>
        </w:rPr>
        <w:t xml:space="preserve">Dynamics 365 מול Camunda: </w:t>
      </w:r>
      <w:r>
        <w:rPr>
          <w:b w:val="false"/>
          <w:bCs w:val="false"/>
          <w:rtl/>
        </w:rPr>
        <w:t xml:space="preserve">workflow ב-Dynamics 365 (Power Automate) צמוד ל-Dataverse ולעולם Microsoft; Camunda אגנוסטית ל-ERP (BPMN/DMN) ולכן שכבת האורקסטרציה נשארת יציבה גם אם ייבחר Dynamics 365 במקום Priority.</w:t>
      </w:r>
    </w:p>
    <w:p>
      <w:pPr>
        <w:pStyle w:val="ListParagraph"/>
        <w:numPr>
          <w:ilvl w:val="0"/>
          <w:numId w:val="2"/>
        </w:numPr>
        <w:bidi/>
        <w:spacing w:after="140"/>
        <w:jc w:val="right"/>
      </w:pPr>
      <w:r>
        <w:rPr>
          <w:b/>
          <w:bCs/>
          <w:rtl/>
        </w:rPr>
        <w:t xml:space="preserve">הורדת Camunda Modeler: </w:t>
      </w:r>
      <w:r>
        <w:rPr>
          <w:b w:val="false"/>
          <w:bCs w:val="false"/>
          <w:rtl/>
        </w:rPr>
      </w:r>
    </w:p>
    <w:p>
      <w:pPr>
        <w:bidi/>
        <w:spacing w:after="140"/>
        <w:ind w:right="720"/>
        <w:jc w:val="right"/>
      </w:pPr>
      <w:hyperlink w:history="1" r:id="rIdapm-g2f_qntbksdkbhkzl">
        <w:r>
          <w:rPr>
            <w:rStyle w:val="Hyperlink"/>
          </w:rPr>
          <w:t xml:space="preserve">https://camunda.com/download/modeler/</w:t>
        </w:r>
      </w:hyperlink>
    </w:p>
    <w:p>
      <w:pPr>
        <w:pStyle w:val="ListParagraph"/>
        <w:numPr>
          <w:ilvl w:val="0"/>
          <w:numId w:val="2"/>
        </w:numPr>
        <w:bidi/>
        <w:spacing w:after="140"/>
        <w:jc w:val="right"/>
      </w:pPr>
      <w:r>
        <w:rPr>
          <w:b/>
          <w:bCs/>
          <w:rtl/>
        </w:rPr>
        <w:t xml:space="preserve">צעדים הבאים: </w:t>
      </w:r>
      <w:r>
        <w:rPr>
          <w:b w:val="false"/>
          <w:bCs w:val="false"/>
          <w:rtl/>
        </w:rPr>
        <w:t xml:space="preserve">[להשלים]</w:t>
      </w:r>
    </w:p>
    <w:p>
      <w:pPr>
        <w:spacing w:after="300"/>
      </w:pPr>
    </w:p>
    <w:p>
      <w:pPr>
        <w:bidi/>
        <w:spacing w:after="40"/>
        <w:jc w:val="right"/>
      </w:pPr>
      <w:r>
        <w:rPr>
          <w:b w:val="false"/>
          <w:bCs w:val="false"/>
          <w:i w:val="false"/>
          <w:iCs w:val="false"/>
          <w:rtl/>
        </w:rPr>
        <w:t xml:space="preserve">בברכה,</w:t>
      </w:r>
    </w:p>
    <w:p>
      <w:pPr>
        <w:bidi/>
        <w:spacing w:after="120"/>
        <w:jc w:val="right"/>
      </w:pPr>
      <w:r>
        <w:rPr>
          <w:b w:val="false"/>
          <w:bCs w:val="false"/>
          <w:i w:val="false"/>
          <w:iCs w:val="false"/>
          <w:rtl/>
        </w:rPr>
        <w:t xml:space="preserve">[להשלים]</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pm-g2f_qntbksdkbhkzl" Type="http://schemas.openxmlformats.org/officeDocument/2006/relationships/hyperlink" Target="https://camunda.com/download/modeler/"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2026-08-26T09:48:54.659Z</dcterms:created>
  <dcterms:modified xsi:type="dcterms:W3CDTF">2026-08-26T09:48:54.659Z</dcterms:modified>
</cp:coreProperties>
</file>

<file path=docProps/custom.xml><?xml version="1.0" encoding="utf-8"?>
<Properties xmlns="http://schemas.openxmlformats.org/officeDocument/2006/custom-properties" xmlns:vt="http://schemas.openxmlformats.org/officeDocument/2006/docPropsVTypes"/>
</file>