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ab5dd0b7b022e0e3b4332f7f482ca1588b7b75a"/>
    <w:p>
      <w:pPr>
        <w:pStyle w:val="Title"/>
        <w:spacing w:before="0" w:after="160"/>
        <w:jc w:val="center"/>
        <w:keepNext/>
        <w:keepLines/>
        <w:widowControl w:val="1"/>
      </w:pPr>
      <w:r>
        <w:t xml:space="preserve">CoEval: Ranking Language Models for Custom Tasks Without Labeled Data or Trustworthy Benchmarks</w:t>
      </w:r>
    </w:p>
    <w:p>
      <w:pPr>
        <w:pStyle w:val="Subtitle"/>
        <w:spacing w:before="0" w:after="40"/>
        <w:jc w:val="center"/>
        <w:keepNext/>
        <w:keepLines/>
        <w:widowControl w:val="1"/>
      </w:pPr>
      <w:r>
        <w:rPr>
          <w:rFonts w:ascii="Times New Roman" w:hAnsi="Times New Roman"/>
          <w:b/>
          <w:i w:val="0"/>
          <w:sz w:val="22"/>
        </w:rPr>
        <w:t xml:space="preserve">Alexander Apartsin</w:t>
      </w:r>
    </w:p>
    <w:p>
      <w:pPr>
        <w:pStyle w:val="Subtitle"/>
        <w:spacing w:before="0" w:after="160"/>
        <w:jc w:val="center"/>
        <w:keepNext w:val="0"/>
        <w:keepLines/>
        <w:widowControl w:val="1"/>
      </w:pPr>
      <w:r>
        <w:rPr>
          <w:rFonts w:ascii="Times New Roman" w:hAnsi="Times New Roman"/>
          <w:b w:val="0"/>
          <w:i/>
          <w:sz w:val="19"/>
        </w:rPr>
        <w:t xml:space="preserve">Holon Institute of Technology, Israel</w:t>
      </w:r>
    </w:p>
    <w:p>
      <w:pPr>
        <w:pStyle w:val="Subtitle"/>
        <w:spacing w:before="0" w:after="40"/>
        <w:jc w:val="center"/>
        <w:keepNext/>
        <w:keepLines/>
        <w:widowControl w:val="1"/>
      </w:pPr>
      <w:r>
        <w:rPr>
          <w:rFonts w:ascii="Times New Roman" w:hAnsi="Times New Roman"/>
          <w:b/>
          <w:i w:val="0"/>
          <w:sz w:val="22"/>
        </w:rPr>
        <w:t xml:space="preserve">Yehudit Aperstein</w:t>
      </w:r>
    </w:p>
    <w:p>
      <w:pPr>
        <w:pStyle w:val="Subtitle"/>
        <w:spacing w:before="0" w:after="160"/>
        <w:jc w:val="center"/>
        <w:keepNext w:val="0"/>
        <w:keepLines/>
        <w:widowControl w:val="1"/>
      </w:pPr>
      <w:r>
        <w:rPr>
          <w:rFonts w:ascii="Times New Roman" w:hAnsi="Times New Roman"/>
          <w:b w:val="0"/>
          <w:i/>
          <w:sz w:val="19"/>
        </w:rPr>
        <w:t xml:space="preserve">Afeka Tel Aviv Academic College of Engineering, Israel</w:t>
      </w:r>
    </w:p>
    <w:bookmarkEnd w:id="9"/>
    <w:bookmarkStart w:id="10" w:name="abstract"/>
    <w:p>
      <w:pPr>
        <w:pStyle w:val="AbstractLabel"/>
        <w:jc w:val="center"/>
        <w:keepNext/>
        <w:keepLines/>
        <w:widowControl w:val="1"/>
      </w:pPr>
      <w:r>
        <w:t xml:space="preserve">Abstract</w:t>
      </w:r>
    </w:p>
    <w:p>
      <w:pPr>
        <w:pStyle w:val="FirstParagraph"/>
        <w:jc w:val="both"/>
        <w:sectPr w:rsidR="00FC693F" w:rsidRPr="0006063C" w:rsidSect="00034616">
          <w:footerReference w:type="default" r:id="rId9"/>
          <w:type w:val="continuous"/>
          <w:pgSz w:h="15840" w:w="12240"/>
          <w:pgMar w:bottom="1080" w:footer="720" w:gutter="0" w:header="720" w:left="1080" w:right="1080" w:top="1080"/>
          <w:cols w:num="1" w:space="288"/>
          <w:docGrid w:linePitch="360"/>
        </w:sectPr>
        <w:keepNext w:val="0"/>
        <w:keepLines w:val="0"/>
        <w:widowControl w:val="1"/>
      </w:pPr>
      <w:r>
        <w:t xml:space="preserve">Choosing or ranking language models for a specific application is hardest when</w:t>
      </w:r>
      <w:r>
        <w:t xml:space="preserve"> </w:t>
      </w:r>
      <w:r>
        <w:rPr>
          <w:i/>
          <w:iCs/>
        </w:rPr>
        <w:t xml:space="preserve">no task-specific labeled data</w:t>
      </w:r>
      <w:r>
        <w:t xml:space="preserve"> </w:t>
      </w:r>
      <w:r>
        <w:t xml:space="preserve">exists and</w:t>
      </w:r>
      <w:r>
        <w:t xml:space="preserve"> </w:t>
      </w:r>
      <w:r>
        <w:rPr>
          <w:i/>
          <w:iCs/>
        </w:rPr>
        <w:t xml:space="preserve">standard public benchmarks cannot be trusted</w:t>
      </w:r>
      <w:r>
        <w:t xml:space="preserve">, their items having likely leaked into pretraining so</w:t>
      </w:r>
      <w:r>
        <w:t xml:space="preserve"> </w:t>
      </w:r>
      <w:r>
        <w:t xml:space="preserve">scores reflect memorization rather than fitness. We present</w:t>
      </w:r>
      <w:r>
        <w:t xml:space="preserve"> </w:t>
      </w:r>
      <w:r>
        <w:rPr>
          <w:b/>
          <w:bCs/>
        </w:rPr>
        <w:t xml:space="preserve">CoEval</w:t>
      </w:r>
      <w:r>
        <w:t xml:space="preserve">, an open-source, reusable framework</w:t>
      </w:r>
      <w:r>
        <w:t xml:space="preserve"> </w:t>
      </w:r>
      <w:r>
        <w:t xml:space="preserve">that closes this gap end to end: from only a description of a task or domain, teacher models synthesize a fresh,</w:t>
      </w:r>
      <w:r>
        <w:t xml:space="preserve"> </w:t>
      </w:r>
      <w:r>
        <w:t xml:space="preserve">attribute-controlled benchmark with</w:t>
      </w:r>
      <w:r>
        <w:t xml:space="preserve"> </w:t>
      </w:r>
      <w:r>
        <w:rPr>
          <w:i/>
          <w:iCs/>
        </w:rPr>
        <w:t xml:space="preserve">no human labels</w:t>
      </w:r>
      <w:r>
        <w:t xml:space="preserve">, contamination-free because items are generated anew on</w:t>
      </w:r>
      <w:r>
        <w:t xml:space="preserve"> </w:t>
      </w:r>
      <w:r>
        <w:t xml:space="preserve">each run, and a cross-family judge ensemble ranks candidate models with no human raters. Validated where ground truth</w:t>
      </w:r>
      <w:r>
        <w:t xml:space="preserve"> </w:t>
      </w:r>
      <w:r>
        <w:t xml:space="preserve">exists, CoEval recovers the true model ranking and tracks ground-truth correctness at</w:t>
      </w:r>
      <w:r>
        <w:t xml:space="preserve"> </w:t>
      </w:r>
      <m:oMath>
        <m:r>
          <m:t>h</m:t>
        </m:r>
        <m:r>
          <m:t>o</m:t>
        </m:r>
        <m:r>
          <m:rPr>
            <m:sty m:val="p"/>
          </m:rPr>
          <m:t>=</m:t>
        </m:r>
        <m:r>
          <m:t>0.86</m:t>
        </m:r>
      </m:oMath>
      <w:r>
        <w:t xml:space="preserve">. The label-free</w:t>
      </w:r>
      <w:r>
        <w:t xml:space="preserve"> </w:t>
      </w:r>
      <w:r>
        <w:t xml:space="preserve">judging needs no human calibration because judge-panel</w:t>
      </w:r>
      <w:r>
        <w:t xml:space="preserve"> </w:t>
      </w:r>
      <w:r>
        <w:rPr>
          <w:i/>
          <w:iCs/>
        </w:rPr>
        <w:t xml:space="preserve">composition</w:t>
      </w:r>
      <w:r>
        <w:t xml:space="preserve"> </w:t>
      </w:r>
      <w:r>
        <w:t xml:space="preserve">(vendor diversity), not</w:t>
      </w:r>
      <w:r>
        <w:t xml:space="preserve"> </w:t>
      </w:r>
      <w:r>
        <w:rPr>
          <w:i/>
          <w:iCs/>
        </w:rPr>
        <w:t xml:space="preserve">size</w:t>
      </w:r>
      <w:r>
        <w:t xml:space="preserve">,</w:t>
      </w:r>
      <w:r>
        <w:t xml:space="preserve"> </w:t>
      </w:r>
      <w:r>
        <w:t xml:space="preserve">drives reliability: a small, well-chosen cross-family panel is most reliable, while a single judge can be</w:t>
      </w:r>
      <w:r>
        <w:t xml:space="preserve"> </w:t>
      </w:r>
      <w:r>
        <w:t xml:space="preserve">anti-correlated with ground truth (judge-choice regret</w:t>
      </w:r>
      <w:r>
        <w:t xml:space="preserve"> </w:t>
      </w:r>
      <m:oMath>
        <m:r>
          <m:t>0.35</m:t>
        </m:r>
      </m:oMath>
      <w:r>
        <w:t xml:space="preserve">) and the ensemble never is. Generated items show</w:t>
      </w:r>
      <w:r>
        <w:t xml:space="preserve"> </w:t>
      </w:r>
      <m:oMath>
        <m:r>
          <m:t>0.0000</m:t>
        </m:r>
      </m:oMath>
      <w:r>
        <w:t xml:space="preserve"> </w:t>
      </w:r>
      <w:r>
        <w:t xml:space="preserve">verbatim 13-gram overlap with five major public benchmarks; the panel cancels verbosity bias and precludes</w:t>
      </w:r>
      <w:r>
        <w:t xml:space="preserve"> </w:t>
      </w:r>
      <w:r>
        <w:t xml:space="preserve">same-family self-preference. A four-task study produced 7,978 evaluations for USD 5.89. The same declarative pipeline</w:t>
      </w:r>
      <w:r>
        <w:t xml:space="preserve"> </w:t>
      </w:r>
      <w:r>
        <w:t xml:space="preserve">applies to any domain and is cheap enough to re-run on every model release: a label-free, contamination-free</w:t>
      </w:r>
      <w:r>
        <w:t xml:space="preserve"> </w:t>
      </w:r>
      <w:r>
        <w:t xml:space="preserve">leaderboard any team can regenerate for its own application.</w:t>
      </w:r>
    </w:p>
    <w:bookmarkEnd w:id="10"/>
    <w:bookmarkStart w:id="11" w:name="introduction"/>
    <w:p>
      <w:pPr>
        <w:pStyle w:val="Heading2"/>
        <w:keepNext/>
        <w:keepLines/>
        <w:widowControl w:val="1"/>
      </w:pPr>
      <w:r>
        <w:t xml:space="preserve">1. Introduction</w:t>
      </w:r>
    </w:p>
    <w:p>
      <w:pPr>
        <w:pStyle w:val="FirstParagraph"/>
        <w:jc w:val="both"/>
        <w:keepNext w:val="0"/>
        <w:keepLines w:val="0"/>
        <w:widowControl w:val="1"/>
      </w:pPr>
      <w:r>
        <w:t xml:space="preserve">A practitioner choosing a language model for a specific application (summarizing clinical notes, answering</w:t>
      </w:r>
      <w:r>
        <w:t xml:space="preserve"> </w:t>
      </w:r>
      <w:r>
        <w:t xml:space="preserve">questions over an internal knowledge base, triaging support tickets for a particular product) faces a</w:t>
      </w:r>
      <w:r>
        <w:t xml:space="preserve"> </w:t>
      </w:r>
      <w:r>
        <w:t xml:space="preserve">deceptively simple question:</w:t>
      </w:r>
      <w:r>
        <w:t xml:space="preserve"> </w:t>
      </w:r>
      <w:r>
        <w:rPr>
          <w:i/>
          <w:iCs/>
        </w:rPr>
        <w:t xml:space="preserve">which model is best for my use case?</w:t>
      </w:r>
      <w:r>
        <w:t xml:space="preserve"> </w:t>
      </w:r>
      <w:r>
        <w:t xml:space="preserve">Answering it well requires an evaluation</w:t>
      </w:r>
      <w:r>
        <w:t xml:space="preserve"> </w:t>
      </w:r>
      <w:r>
        <w:t xml:space="preserve">set that reflects that use case, and two common conditions make this hard. First, there is often</w:t>
      </w:r>
      <w:r>
        <w:t xml:space="preserve"> </w:t>
      </w:r>
      <w:r>
        <w:rPr>
          <w:i/>
          <w:iCs/>
        </w:rPr>
        <w:t xml:space="preserve">no task-specific</w:t>
      </w:r>
      <w:r>
        <w:rPr>
          <w:i/>
          <w:iCs/>
        </w:rPr>
        <w:t xml:space="preserve"> </w:t>
      </w:r>
      <w:r>
        <w:rPr>
          <w:i/>
          <w:iCs/>
        </w:rPr>
        <w:t xml:space="preserve">labeled data</w:t>
      </w:r>
      <w:r>
        <w:t xml:space="preserve">: building a representative benchmark by hand is slow and costly, and for a new or proprietary domain</w:t>
      </w:r>
      <w:r>
        <w:t xml:space="preserve"> </w:t>
      </w:r>
      <w:r>
        <w:t xml:space="preserve">it may not exist at all. Second, even where a related public benchmark exists, its numbers may not be trustworthy:</w:t>
      </w:r>
      <w:r>
        <w:t xml:space="preserve"> </w:t>
      </w:r>
      <w:r>
        <w:t xml:space="preserve">popular benchmarks are increasingly</w:t>
      </w:r>
      <w:r>
        <w:t xml:space="preserve"> </w:t>
      </w:r>
      <w:r>
        <w:rPr>
          <w:i/>
          <w:iCs/>
        </w:rPr>
        <w:t xml:space="preserve">contaminated</w:t>
      </w:r>
      <w:r>
        <w:t xml:space="preserve">, their items having leaked into pretraining corpora, so a</w:t>
      </w:r>
      <w:r>
        <w:t xml:space="preserve"> </w:t>
      </w:r>
      <w:r>
        <w:t xml:space="preserve">high score can reflect memorization rather than capability [</w:t>
      </w:r>
      <w:hyperlink w:anchor="r12">
        <w:r>
          <w:rPr>
            <w:rStyle w:val="Hyperlink"/>
          </w:rPr>
          <w:t xml:space="preserve">12</w:t>
        </w:r>
      </w:hyperlink>
      <w:r>
        <w:t xml:space="preserve">,</w:t>
      </w:r>
      <w:r>
        <w:t xml:space="preserve"> </w:t>
      </w:r>
      <w:hyperlink w:anchor="r13">
        <w:r>
          <w:rPr>
            <w:rStyle w:val="Hyperlink"/>
          </w:rPr>
          <w:t xml:space="preserve">13</w:t>
        </w:r>
      </w:hyperlink>
      <w:r>
        <w:t xml:space="preserve">].</w:t>
      </w:r>
      <w:r>
        <w:t xml:space="preserve"> </w:t>
      </w:r>
      <w:r>
        <w:t xml:space="preserve">When both hold, with no data</w:t>
      </w:r>
      <w:r>
        <w:t xml:space="preserve"> </w:t>
      </w:r>
      <w:r>
        <w:rPr>
          <w:i/>
          <w:iCs/>
        </w:rPr>
        <w:t xml:space="preserve">and</w:t>
      </w:r>
      <w:r>
        <w:t xml:space="preserve"> </w:t>
      </w:r>
      <w:r>
        <w:t xml:space="preserve">no benchmark one can trust, the practitioner is stuck.</w:t>
      </w:r>
      <w:r>
        <w:t xml:space="preserve"> </w:t>
      </w:r>
      <w:r>
        <w:rPr>
          <w:b/>
          <w:bCs/>
        </w:rPr>
        <w:t xml:space="preserve">CoEval</w:t>
      </w:r>
      <w:r>
        <w:t xml:space="preserve"> </w:t>
      </w:r>
      <w:r>
        <w:t xml:space="preserve">is built for exactly this situation: it generates a fresh, domain-targeted evaluation from a task description and</w:t>
      </w:r>
      <w:r>
        <w:t xml:space="preserve"> </w:t>
      </w:r>
      <w:r>
        <w:t xml:space="preserve">ranks candidate models on it, with no labels and no contaminated items.</w:t>
      </w:r>
    </w:p>
    <w:p>
      <w:pPr>
        <w:pStyle w:val="BodyText"/>
        <w:jc w:val="both"/>
        <w:keepNext w:val="0"/>
        <w:keepLines w:val="0"/>
        <w:widowControl w:val="1"/>
      </w:pPr>
      <w:r>
        <w:t xml:space="preserve">The evaluation of large language models is dominated by static, human-curated benchmarks. While these have driven a</w:t>
      </w:r>
      <w:r>
        <w:t xml:space="preserve"> </w:t>
      </w:r>
      <w:r>
        <w:t xml:space="preserve">decade of measurable progress, three structural weaknesses now limit their usefulness for real deployments. First,</w:t>
      </w:r>
      <w:r>
        <w:t xml:space="preserve"> </w:t>
      </w:r>
      <w:r>
        <w:t xml:space="preserve">static benchmarks are</w:t>
      </w:r>
      <w:r>
        <w:t xml:space="preserve"> </w:t>
      </w:r>
      <w:r>
        <w:rPr>
          <w:i/>
          <w:iCs/>
        </w:rPr>
        <w:t xml:space="preserve">non-extensible</w:t>
      </w:r>
      <w:r>
        <w:t xml:space="preserve">: extending a benchmark to a new capability, domain, or difficulty band</w:t>
      </w:r>
      <w:r>
        <w:t xml:space="preserve"> </w:t>
      </w:r>
      <w:r>
        <w:t xml:space="preserve">requires fresh human annotation, which is slow and expensive. Second, they are</w:t>
      </w:r>
      <w:r>
        <w:t xml:space="preserve"> </w:t>
      </w:r>
      <w:r>
        <w:rPr>
          <w:i/>
          <w:iCs/>
        </w:rPr>
        <w:t xml:space="preserve">contamination-prone</w:t>
      </w:r>
      <w:r>
        <w:t xml:space="preserve">: as models</w:t>
      </w:r>
      <w:r>
        <w:t xml:space="preserve"> </w:t>
      </w:r>
      <w:r>
        <w:t xml:space="preserve">ingest ever-larger web crawls, public test items leak into pretraining corpora, and measured performance reflects</w:t>
      </w:r>
      <w:r>
        <w:t xml:space="preserve"> </w:t>
      </w:r>
      <w:r>
        <w:t xml:space="preserve">memorization rather than generalization [</w:t>
      </w:r>
      <w:hyperlink w:anchor="r12">
        <w:r>
          <w:rPr>
            <w:rStyle w:val="Hyperlink"/>
          </w:rPr>
          <w:t xml:space="preserve">12</w:t>
        </w:r>
      </w:hyperlink>
      <w:r>
        <w:t xml:space="preserve">,</w:t>
      </w:r>
      <w:r>
        <w:t xml:space="preserve"> </w:t>
      </w:r>
      <w:hyperlink w:anchor="r13">
        <w:r>
          <w:rPr>
            <w:rStyle w:val="Hyperlink"/>
          </w:rPr>
          <w:t xml:space="preserve">13</w:t>
        </w:r>
      </w:hyperlink>
      <w:r>
        <w:t xml:space="preserve">]. Third, they are</w:t>
      </w:r>
      <w:r>
        <w:t xml:space="preserve"> </w:t>
      </w:r>
      <w:r>
        <w:rPr>
          <w:i/>
          <w:iCs/>
        </w:rPr>
        <w:t xml:space="preserve">generic</w:t>
      </w:r>
      <w:r>
        <w:t xml:space="preserve">: a fixed benchmark measures an average-case distribution that rarely matches the input distribution,</w:t>
      </w:r>
      <w:r>
        <w:t xml:space="preserve"> </w:t>
      </w:r>
      <w:r>
        <w:t xml:space="preserve">scoring criteria, or edge cases of any particular production system.</w:t>
      </w:r>
    </w:p>
    <w:p>
      <w:pPr>
        <w:pStyle w:val="BodyText"/>
        <w:jc w:val="both"/>
        <w:keepNext w:val="0"/>
        <w:keepLines w:val="0"/>
        <w:widowControl w:val="1"/>
      </w:pPr>
      <w:r>
        <w:t xml:space="preserve">LLM-as-judge evaluation [</w:t>
      </w:r>
      <w:hyperlink w:anchor="r1">
        <w:r>
          <w:rPr>
            <w:rStyle w:val="Hyperlink"/>
          </w:rPr>
          <w:t xml:space="preserve">1</w:t>
        </w:r>
      </w:hyperlink>
      <w:r>
        <w:t xml:space="preserve">,</w:t>
      </w:r>
      <w:r>
        <w:t xml:space="preserve"> </w:t>
      </w:r>
      <w:hyperlink w:anchor="r2">
        <w:r>
          <w:rPr>
            <w:rStyle w:val="Hyperlink"/>
          </w:rPr>
          <w:t xml:space="preserve">2</w:t>
        </w:r>
      </w:hyperlink>
      <w:r>
        <w:t xml:space="preserve">] addresses the cost and extensibility of</w:t>
      </w:r>
      <w:r>
        <w:t xml:space="preserve"> </w:t>
      </w:r>
      <w:r>
        <w:t xml:space="preserve">scoring: a capable model grades free-form responses against a rubric at a fraction of the cost of human raters. But a</w:t>
      </w:r>
      <w:r>
        <w:t xml:space="preserve"> </w:t>
      </w:r>
      <w:r>
        <w:t xml:space="preserve">single judge is not a neutral instrument. Judges exhibit</w:t>
      </w:r>
      <w:r>
        <w:t xml:space="preserve"> </w:t>
      </w:r>
      <w:r>
        <w:rPr>
          <w:i/>
          <w:iCs/>
        </w:rPr>
        <w:t xml:space="preserve">positional bias</w:t>
      </w:r>
      <w:r>
        <w:t xml:space="preserve"> </w:t>
      </w:r>
      <w:r>
        <w:t xml:space="preserve">(preferring the first option in a</w:t>
      </w:r>
      <w:r>
        <w:t xml:space="preserve"> </w:t>
      </w:r>
      <w:r>
        <w:t xml:space="preserve">pairwise comparison),</w:t>
      </w:r>
      <w:r>
        <w:t xml:space="preserve"> </w:t>
      </w:r>
      <w:r>
        <w:rPr>
          <w:i/>
          <w:iCs/>
        </w:rPr>
        <w:t xml:space="preserve">verbosity bias</w:t>
      </w:r>
      <w:r>
        <w:t xml:space="preserve"> </w:t>
      </w:r>
      <w:r>
        <w:t xml:space="preserve">(rewarding longer answers irrespective of quality)</w:t>
      </w:r>
      <w:r>
        <w:t xml:space="preserve"> </w:t>
      </w:r>
      <w:r>
        <w:t xml:space="preserve">[</w:t>
      </w:r>
      <w:hyperlink w:anchor="r8">
        <w:r>
          <w:rPr>
            <w:rStyle w:val="Hyperlink"/>
          </w:rPr>
          <w:t xml:space="preserve">8</w:t>
        </w:r>
      </w:hyperlink>
      <w:r>
        <w:t xml:space="preserve">], and</w:t>
      </w:r>
      <w:r>
        <w:t xml:space="preserve"> </w:t>
      </w:r>
      <w:r>
        <w:rPr>
          <w:i/>
          <w:iCs/>
        </w:rPr>
        <w:t xml:space="preserve">self-preference bias</w:t>
      </w:r>
      <w:r>
        <w:t xml:space="preserve"> </w:t>
      </w:r>
      <w:r>
        <w:t xml:space="preserve">(scoring outputs from their own model family more</w:t>
      </w:r>
      <w:r>
        <w:t xml:space="preserve"> </w:t>
      </w:r>
      <w:r>
        <w:t xml:space="preserve">favorably). A measurement built on a single biased instrument inherits that instrument's distortions wholesale.</w:t>
      </w:r>
    </w:p>
    <w:p>
      <w:pPr>
        <w:pStyle w:val="BodyText"/>
        <w:jc w:val="both"/>
        <w:keepNext w:val="0"/>
        <w:keepLines w:val="0"/>
        <w:widowControl w:val="1"/>
      </w:pPr>
      <w:r>
        <w:t xml:space="preserve">We argue that both problems, the rigidity of static benchmarks and the bias of single judges, are best</w:t>
      </w:r>
      <w:r>
        <w:t xml:space="preserve"> </w:t>
      </w:r>
      <w:r>
        <w:t xml:space="preserve">solved together, by a system that</w:t>
      </w:r>
      <w:r>
        <w:t xml:space="preserve"> </w:t>
      </w:r>
      <w:r>
        <w:rPr>
          <w:i/>
          <w:iCs/>
        </w:rPr>
        <w:t xml:space="preserve">generates</w:t>
      </w:r>
      <w:r>
        <w:t xml:space="preserve"> </w:t>
      </w:r>
      <w:r>
        <w:t xml:space="preserve">the evaluation set as carefully as it</w:t>
      </w:r>
      <w:r>
        <w:t xml:space="preserve"> </w:t>
      </w:r>
      <w:r>
        <w:rPr>
          <w:i/>
          <w:iCs/>
        </w:rPr>
        <w:t xml:space="preserve">scores</w:t>
      </w:r>
      <w:r>
        <w:t xml:space="preserve"> </w:t>
      </w:r>
      <w:r>
        <w:t xml:space="preserve">it. We</w:t>
      </w:r>
      <w:r>
        <w:t xml:space="preserve"> </w:t>
      </w:r>
      <w:r>
        <w:t xml:space="preserve">present</w:t>
      </w:r>
      <w:r>
        <w:t xml:space="preserve"> </w:t>
      </w:r>
      <w:r>
        <w:rPr>
          <w:b/>
          <w:bCs/>
        </w:rPr>
        <w:t xml:space="preserve">CoEval</w:t>
      </w:r>
      <w:r>
        <w:t xml:space="preserve">, a declarative and reproducible framework that:</w:t>
      </w:r>
    </w:p>
    <w:p>
      <w:pPr>
        <w:pStyle w:val="Compact"/>
        <w:numPr>
          <w:ilvl w:val="0"/>
          <w:numId w:val="1001"/>
        </w:numPr>
        <w:jc w:val="both"/>
        <w:keepNext w:val="0"/>
        <w:keepLines w:val="0"/>
        <w:widowControl w:val="1"/>
      </w:pPr>
      <w:r>
        <w:rPr>
          <w:b/>
          <w:bCs/>
        </w:rPr>
        <w:t xml:space="preserve">(1) Self-generating, contamination-resistant benchmarks.</w:t>
      </w:r>
      <w:r>
        <w:t xml:space="preserve"> </w:t>
      </w:r>
      <w:r>
        <w:t xml:space="preserve">A teacher model synthesizes an</w:t>
      </w:r>
      <w:r>
        <w:t xml:space="preserve"> </w:t>
      </w:r>
      <w:r>
        <w:t xml:space="preserve">attribute-stratified benchmark targeted at a declared domain. Because items are freshly generated per run, they</w:t>
      </w:r>
      <w:r>
        <w:t xml:space="preserve"> </w:t>
      </w:r>
      <w:r>
        <w:t xml:space="preserve">are resistant to leakage into a student's training data by construction.</w:t>
      </w:r>
    </w:p>
    <w:p>
      <w:pPr>
        <w:pStyle w:val="Compact"/>
        <w:numPr>
          <w:ilvl w:val="0"/>
          <w:numId w:val="1001"/>
        </w:numPr>
        <w:jc w:val="both"/>
        <w:keepNext w:val="0"/>
        <w:keepLines w:val="0"/>
        <w:widowControl w:val="1"/>
      </w:pPr>
      <w:r>
        <w:rPr>
          <w:b/>
          <w:bCs/>
        </w:rPr>
        <w:t xml:space="preserve">(2) Composition over size in cross-family judge ensembles.</w:t>
      </w:r>
      <w:r>
        <w:t xml:space="preserve"> </w:t>
      </w:r>
      <w:r>
        <w:t xml:space="preserve">Responses are scored by judges drawn</w:t>
      </w:r>
      <w:r>
        <w:t xml:space="preserve"> </w:t>
      </w:r>
      <w:r>
        <w:t xml:space="preserve">from distinct model vendors. Our central finding is that</w:t>
      </w:r>
      <w:r>
        <w:t xml:space="preserve"> </w:t>
      </w:r>
      <w:r>
        <w:rPr>
          <w:i/>
          <w:iCs/>
        </w:rPr>
        <w:t xml:space="preserve">composition</w:t>
      </w:r>
      <w:r>
        <w:t xml:space="preserve"> </w:t>
      </w:r>
      <w:r>
        <w:t xml:space="preserve">(vendor diversity), not panel</w:t>
      </w:r>
      <w:r>
        <w:t xml:space="preserve"> </w:t>
      </w:r>
      <w:r>
        <w:rPr>
          <w:i/>
          <w:iCs/>
        </w:rPr>
        <w:t xml:space="preserve">size</w:t>
      </w:r>
      <w:r>
        <w:t xml:space="preserve">, is the decisive reliability lever: adding low-agreement judges can</w:t>
      </w:r>
      <w:r>
        <w:t xml:space="preserve"> </w:t>
      </w:r>
      <w:r>
        <w:rPr>
          <w:i/>
          <w:iCs/>
        </w:rPr>
        <w:t xml:space="preserve">reduce</w:t>
      </w:r>
      <w:r>
        <w:t xml:space="preserve"> </w:t>
      </w:r>
      <w:r>
        <w:t xml:space="preserve">reliability, a</w:t>
      </w:r>
      <w:r>
        <w:t xml:space="preserve"> </w:t>
      </w:r>
      <w:r>
        <w:t xml:space="preserve">result that reframes how judge panels should be assembled.</w:t>
      </w:r>
    </w:p>
    <w:p>
      <w:pPr>
        <w:pStyle w:val="Compact"/>
        <w:numPr>
          <w:ilvl w:val="0"/>
          <w:numId w:val="1001"/>
        </w:numPr>
        <w:jc w:val="both"/>
        <w:keepNext w:val="0"/>
        <w:keepLines w:val="0"/>
        <w:widowControl w:val="1"/>
      </w:pPr>
      <w:r>
        <w:rPr>
          <w:b/>
          <w:bCs/>
        </w:rPr>
        <w:t xml:space="preserve">(3) Bias-cancelling aggregation.</w:t>
      </w:r>
      <w:r>
        <w:t xml:space="preserve"> </w:t>
      </w:r>
      <w:r>
        <w:t xml:space="preserve">Consensus aggregation across a vendor-diverse panel cancels</w:t>
      </w:r>
      <w:r>
        <w:t xml:space="preserve"> </w:t>
      </w:r>
      <w:r>
        <w:t xml:space="preserve">verbosity bias that individual judges carry with mixed sign, and the vendor-disjoint design structurally precludes</w:t>
      </w:r>
      <w:r>
        <w:t xml:space="preserve"> </w:t>
      </w:r>
      <w:r>
        <w:t xml:space="preserve">same-family self-preference.</w:t>
      </w:r>
    </w:p>
    <w:p>
      <w:pPr>
        <w:pStyle w:val="Compact"/>
        <w:numPr>
          <w:ilvl w:val="0"/>
          <w:numId w:val="1001"/>
        </w:numPr>
        <w:jc w:val="both"/>
        <w:keepNext w:val="0"/>
        <w:keepLines w:val="0"/>
        <w:widowControl w:val="1"/>
      </w:pPr>
      <w:r>
        <w:rPr>
          <w:b/>
          <w:bCs/>
        </w:rPr>
        <w:t xml:space="preserve">(4) A reusable, open framework, not a one-off benchmark.</w:t>
      </w:r>
      <w:r>
        <w:t xml:space="preserve"> </w:t>
      </w:r>
      <w:r>
        <w:t xml:space="preserve">CoEval is model-agnostic and</w:t>
      </w:r>
      <w:r>
        <w:t xml:space="preserve"> </w:t>
      </w:r>
      <w:r>
        <w:t xml:space="preserve">task-agnostic: any model reachable through a broad range of provider interfaces (cloud, open-weight, or local) can</w:t>
      </w:r>
      <w:r>
        <w:t xml:space="preserve"> </w:t>
      </w:r>
      <w:r>
        <w:t xml:space="preserve">serve as teacher, student, or judge, and a task or domain is supplied declaratively at whatever level of detail the</w:t>
      </w:r>
      <w:r>
        <w:t xml:space="preserve"> </w:t>
      </w:r>
      <w:r>
        <w:t xml:space="preserve">practitioner has, from a one-line objective that the framework expands into a complete configuration, through a</w:t>
      </w:r>
      <w:r>
        <w:t xml:space="preserve"> </w:t>
      </w:r>
      <w:r>
        <w:t xml:space="preserve">minimal task description, to a fully hand-written specification. The</w:t>
      </w:r>
      <w:r>
        <w:t xml:space="preserve"> </w:t>
      </w:r>
      <w:r>
        <w:rPr>
          <w:i/>
          <w:iCs/>
        </w:rPr>
        <w:t xml:space="preserve">same</w:t>
      </w:r>
      <w:r>
        <w:t xml:space="preserve"> </w:t>
      </w:r>
      <w:r>
        <w:t xml:space="preserve">pipeline applies unchanged to any</w:t>
      </w:r>
      <w:r>
        <w:t xml:space="preserve"> </w:t>
      </w:r>
      <w:r>
        <w:t xml:space="preserve">domain and is cheap enough to re-run on every model release, so a team obtains a renewable, application-specific</w:t>
      </w:r>
      <w:r>
        <w:t xml:space="preserve"> </w:t>
      </w:r>
      <w:r>
        <w:t xml:space="preserve">benchmark rather than a fixed leaderboard. Ranking candidate models on a custom use case requires only this</w:t>
      </w:r>
      <w:r>
        <w:t xml:space="preserve"> </w:t>
      </w:r>
      <w:r>
        <w:t xml:space="preserve">specification, and CoEval recovers the correct ground-truth ranking wherever one exists to check against</w:t>
      </w:r>
      <w:r>
        <w:t xml:space="preserve"> </w:t>
      </w:r>
      <w:r>
        <w:t xml:space="preserve">(Section 5.1, Table 3). The whole pipeline is open-source and reproducible from a single declarative</w:t>
      </w:r>
      <w:r>
        <w:t xml:space="preserve"> </w:t>
      </w:r>
      <w:r>
        <w:t xml:space="preserve">configuration file.</w:t>
      </w:r>
    </w:p>
    <w:p>
      <w:pPr>
        <w:pStyle w:val="FirstParagraph"/>
        <w:jc w:val="both"/>
        <w:keepNext w:val="0"/>
        <w:keepLines w:val="0"/>
        <w:widowControl w:val="1"/>
      </w:pPr>
      <w:r>
        <w:t xml:space="preserve">CoEval requires no human annotation. In a four-task medium-scale study it produced 7,978 valid evaluations for</w:t>
      </w:r>
      <w:r>
        <w:t xml:space="preserve"> </w:t>
      </w:r>
      <w:r>
        <w:t xml:space="preserve">USD 5.89 end-to-end. The remainder of this paper formalizes the framework (Section 3), describes the experimental</w:t>
      </w:r>
      <w:r>
        <w:t xml:space="preserve"> </w:t>
      </w:r>
      <w:r>
        <w:t xml:space="preserve">setup (Section 4), and reports our empirical results (Section 5): ground-truth correlation, the</w:t>
      </w:r>
      <w:r>
        <w:t xml:space="preserve"> </w:t>
      </w:r>
      <w:r>
        <w:t xml:space="preserve">composition-over-size reliability finding, verbosity-bias cancellation, the cross-family self-preference design</w:t>
      </w:r>
      <w:r>
        <w:t xml:space="preserve"> </w:t>
      </w:r>
      <w:r>
        <w:t xml:space="preserve">property, rubric generalization, contamination resistance, cost, and end-to-end domain case studies on three custom verticals.</w:t>
      </w:r>
    </w:p>
    <w:bookmarkEnd w:id="11"/>
    <w:bookmarkStart w:id="14" w:name="related-work"/>
    <w:p>
      <w:pPr>
        <w:pStyle w:val="Heading2"/>
        <w:keepNext/>
        <w:keepLines/>
        <w:widowControl w:val="1"/>
      </w:pPr>
      <w:r>
        <w:t xml:space="preserve">2. Related Work</w:t>
      </w:r>
    </w:p>
    <w:p>
      <w:pPr>
        <w:pStyle w:val="FirstParagraph"/>
        <w:jc w:val="both"/>
        <w:keepNext w:val="0"/>
        <w:keepLines w:val="0"/>
        <w:widowControl w:val="1"/>
      </w:pPr>
      <w:r>
        <w:t xml:space="preserve">CoEval sits at the intersection of three lines of work, each motivated by one half of the practitioner's problem.</w:t>
      </w:r>
      <w:r>
        <w:t xml:space="preserve"> </w:t>
      </w:r>
      <w:r>
        <w:t xml:space="preserve">(i) A growing body of evidence shows that</w:t>
      </w:r>
      <w:r>
        <w:t xml:space="preserve"> </w:t>
      </w:r>
      <w:r>
        <w:rPr>
          <w:i/>
          <w:iCs/>
        </w:rPr>
        <w:t xml:space="preserve">public benchmarks cannot be taken at face value</w:t>
      </w:r>
      <w:r>
        <w:t xml:space="preserve">: their items</w:t>
      </w:r>
      <w:r>
        <w:t xml:space="preserve"> </w:t>
      </w:r>
      <w:r>
        <w:t xml:space="preserve">leak into pretraining corpora and inflate scores through memorization (GSM1k [</w:t>
      </w:r>
      <w:hyperlink w:anchor="r12">
        <w:r>
          <w:rPr>
            <w:rStyle w:val="Hyperlink"/>
          </w:rPr>
          <w:t xml:space="preserve">12</w:t>
        </w:r>
      </w:hyperlink>
      <w:r>
        <w:t xml:space="preserve">],</w:t>
      </w:r>
      <w:r>
        <w:t xml:space="preserve"> </w:t>
      </w:r>
      <w:r>
        <w:t xml:space="preserve">contamination surveys [</w:t>
      </w:r>
      <w:hyperlink w:anchor="r13">
        <w:r>
          <w:rPr>
            <w:rStyle w:val="Hyperlink"/>
          </w:rPr>
          <w:t xml:space="preserve">13</w:t>
        </w:r>
      </w:hyperlink>
      <w:r>
        <w:t xml:space="preserve">]), which has driven continuously-refreshed</w:t>
      </w:r>
      <w:r>
        <w:t xml:space="preserve"> </w:t>
      </w:r>
      <w:r>
        <w:rPr>
          <w:i/>
          <w:iCs/>
        </w:rPr>
        <w:t xml:space="preserve">live</w:t>
      </w:r>
      <w:r>
        <w:t xml:space="preserve"> </w:t>
      </w:r>
      <w:r>
        <w:t xml:space="preserve">benchmarks (LiveBench [</w:t>
      </w:r>
      <w:hyperlink w:anchor="r22">
        <w:r>
          <w:rPr>
            <w:rStyle w:val="Hyperlink"/>
          </w:rPr>
          <w:t xml:space="preserve">22</w:t>
        </w:r>
      </w:hyperlink>
      <w:r>
        <w:t xml:space="preserve">], LiveCodeBench [</w:t>
      </w:r>
      <w:hyperlink w:anchor="r23">
        <w:r>
          <w:rPr>
            <w:rStyle w:val="Hyperlink"/>
          </w:rPr>
          <w:t xml:space="preserve">23</w:t>
        </w:r>
      </w:hyperlink>
      <w:r>
        <w:t xml:space="preserve">]) and</w:t>
      </w:r>
      <w:r>
        <w:t xml:space="preserve"> </w:t>
      </w:r>
      <w:r>
        <w:t xml:space="preserve">exposed leakage on the judge side as well (Preference Leakage [</w:t>
      </w:r>
      <w:hyperlink w:anchor="r15">
        <w:r>
          <w:rPr>
            <w:rStyle w:val="Hyperlink"/>
          </w:rPr>
          <w:t xml:space="preserve">15</w:t>
        </w:r>
      </w:hyperlink>
      <w:r>
        <w:t xml:space="preserve">]). (ii) When no</w:t>
      </w:r>
      <w:r>
        <w:t xml:space="preserve"> </w:t>
      </w:r>
      <w:r>
        <w:t xml:space="preserve">labeled data exists,</w:t>
      </w:r>
      <w:r>
        <w:t xml:space="preserve"> </w:t>
      </w:r>
      <w:r>
        <w:rPr>
          <w:i/>
          <w:iCs/>
        </w:rPr>
        <w:t xml:space="preserve">automated benchmark generation</w:t>
      </w:r>
      <w:r>
        <w:t xml:space="preserve"> </w:t>
      </w:r>
      <w:r>
        <w:t xml:space="preserve">synthesizes evaluation items directly (AutoBencher</w:t>
      </w:r>
      <w:r>
        <w:t xml:space="preserve"> </w:t>
      </w:r>
      <w:r>
        <w:t xml:space="preserve">[</w:t>
      </w:r>
      <w:hyperlink w:anchor="r9">
        <w:r>
          <w:rPr>
            <w:rStyle w:val="Hyperlink"/>
          </w:rPr>
          <w:t xml:space="preserve">9</w:t>
        </w:r>
      </w:hyperlink>
      <w:r>
        <w:t xml:space="preserve">], BenchAgents [</w:t>
      </w:r>
      <w:hyperlink w:anchor="r10">
        <w:r>
          <w:rPr>
            <w:rStyle w:val="Hyperlink"/>
          </w:rPr>
          <w:t xml:space="preserve">10</w:t>
        </w:r>
      </w:hyperlink>
      <w:r>
        <w:t xml:space="preserve">], YourBench</w:t>
      </w:r>
      <w:r>
        <w:t xml:space="preserve"> </w:t>
      </w:r>
      <w:r>
        <w:t xml:space="preserve">[</w:t>
      </w:r>
      <w:hyperlink w:anchor="r11">
        <w:r>
          <w:rPr>
            <w:rStyle w:val="Hyperlink"/>
          </w:rPr>
          <w:t xml:space="preserve">11</w:t>
        </w:r>
      </w:hyperlink>
      <w:r>
        <w:t xml:space="preserve">], domain-specific construction [</w:t>
      </w:r>
      <w:hyperlink w:anchor="r25">
        <w:r>
          <w:rPr>
            <w:rStyle w:val="Hyperlink"/>
          </w:rPr>
          <w:t xml:space="preserve">25</w:t>
        </w:r>
      </w:hyperlink>
      <w:r>
        <w:t xml:space="preserve">]).</w:t>
      </w:r>
      <w:r>
        <w:t xml:space="preserve"> </w:t>
      </w:r>
      <w:r>
        <w:t xml:space="preserve">(iii) </w:t>
      </w:r>
      <w:r>
        <w:rPr>
          <w:i/>
          <w:iCs/>
        </w:rPr>
        <w:t xml:space="preserve">LLM-as-judge</w:t>
      </w:r>
      <w:r>
        <w:t xml:space="preserve"> </w:t>
      </w:r>
      <w:r>
        <w:t xml:space="preserve">methods (G-Eval [</w:t>
      </w:r>
      <w:hyperlink w:anchor="r2">
        <w:r>
          <w:rPr>
            <w:rStyle w:val="Hyperlink"/>
          </w:rPr>
          <w:t xml:space="preserve">2</w:t>
        </w:r>
      </w:hyperlink>
      <w:r>
        <w:t xml:space="preserve">], Prometheus 2</w:t>
      </w:r>
      <w:r>
        <w:t xml:space="preserve"> </w:t>
      </w:r>
      <w:r>
        <w:t xml:space="preserve">[</w:t>
      </w:r>
      <w:hyperlink w:anchor="r3">
        <w:r>
          <w:rPr>
            <w:rStyle w:val="Hyperlink"/>
          </w:rPr>
          <w:t xml:space="preserve">3</w:t>
        </w:r>
      </w:hyperlink>
      <w:r>
        <w:t xml:space="preserve">], panels [</w:t>
      </w:r>
      <w:hyperlink w:anchor="r5">
        <w:r>
          <w:rPr>
            <w:rStyle w:val="Hyperlink"/>
          </w:rPr>
          <w:t xml:space="preserve">5</w:t>
        </w:r>
      </w:hyperlink>
      <w:r>
        <w:t xml:space="preserve">]) provide label-free scoring but inherit</w:t>
      </w:r>
      <w:r>
        <w:t xml:space="preserve"> </w:t>
      </w:r>
      <w:r>
        <w:t xml:space="preserve">individual-judge biases. CoEval is, to our knowledge, the first to combine all three: contamination-free,</w:t>
      </w:r>
      <w:r>
        <w:t xml:space="preserve"> </w:t>
      </w:r>
      <w:r>
        <w:t xml:space="preserve">label-free, domain-targeted generation with a reliability-controlled cross-family judge ensemble, into a single</w:t>
      </w:r>
      <w:r>
        <w:t xml:space="preserve"> </w:t>
      </w:r>
      <w:r>
        <w:t xml:space="preserve">tool aimed at the no-data, untrusted-benchmark regime. We detail each line below.</w:t>
      </w:r>
    </w:p>
    <w:bookmarkStart w:id="12" w:name="llm-as-judge-and-judge-panels"/>
    <w:p>
      <w:pPr>
        <w:pStyle w:val="Heading3"/>
        <w:keepNext/>
        <w:keepLines/>
        <w:widowControl w:val="1"/>
      </w:pPr>
      <w:r>
        <w:t xml:space="preserve">2.1 LLM-as-judge and judge panels</w:t>
      </w:r>
    </w:p>
    <w:p>
      <w:pPr>
        <w:pStyle w:val="FirstParagraph"/>
        <w:jc w:val="both"/>
        <w:keepNext w:val="0"/>
        <w:keepLines w:val="0"/>
        <w:widowControl w:val="1"/>
      </w:pPr>
      <w:r>
        <w:t xml:space="preserve">MT-Bench and Chatbot Arena [</w:t>
      </w:r>
      <w:hyperlink w:anchor="r1">
        <w:r>
          <w:rPr>
            <w:rStyle w:val="Hyperlink"/>
          </w:rPr>
          <w:t xml:space="preserve">1</w:t>
        </w:r>
      </w:hyperlink>
      <w:r>
        <w:t xml:space="preserve">] established LLM-as-judge as a scalable proxy for human</w:t>
      </w:r>
      <w:r>
        <w:t xml:space="preserve"> </w:t>
      </w:r>
      <w:r>
        <w:t xml:space="preserve">preference, and documented its biases. G-Eval [</w:t>
      </w:r>
      <w:hyperlink w:anchor="r2">
        <w:r>
          <w:rPr>
            <w:rStyle w:val="Hyperlink"/>
          </w:rPr>
          <w:t xml:space="preserve">2</w:t>
        </w:r>
      </w:hyperlink>
      <w:r>
        <w:t xml:space="preserve">] uses a single strong model with</w:t>
      </w:r>
      <w:r>
        <w:t xml:space="preserve"> </w:t>
      </w:r>
      <w:r>
        <w:t xml:space="preserve">chain-of-thought to score generation quality against a user-supplied rubric, while Prometheus 2</w:t>
      </w:r>
      <w:r>
        <w:t xml:space="preserve"> </w:t>
      </w:r>
      <w:r>
        <w:t xml:space="preserve">[</w:t>
      </w:r>
      <w:hyperlink w:anchor="r3">
        <w:r>
          <w:rPr>
            <w:rStyle w:val="Hyperlink"/>
          </w:rPr>
          <w:t xml:space="preserve">3</w:t>
        </w:r>
      </w:hyperlink>
      <w:r>
        <w:t xml:space="preserve">] trains a dedicated open evaluator. These approaches are</w:t>
      </w:r>
      <w:r>
        <w:t xml:space="preserve"> </w:t>
      </w:r>
      <w:r>
        <w:rPr>
          <w:i/>
          <w:iCs/>
        </w:rPr>
        <w:t xml:space="preserve">single-judge</w:t>
      </w:r>
      <w:r>
        <w:t xml:space="preserve">: they</w:t>
      </w:r>
      <w:r>
        <w:t xml:space="preserve"> </w:t>
      </w:r>
      <w:r>
        <w:t xml:space="preserve">require the user to provide the rubric and inherit one model's biases. CoEval instead</w:t>
      </w:r>
      <w:r>
        <w:t xml:space="preserve"> </w:t>
      </w:r>
      <w:r>
        <w:rPr>
          <w:i/>
          <w:iCs/>
        </w:rPr>
        <w:t xml:space="preserve">generates</w:t>
      </w:r>
      <w:r>
        <w:t xml:space="preserve"> </w:t>
      </w:r>
      <w:r>
        <w:t xml:space="preserve">the rubric</w:t>
      </w:r>
      <w:r>
        <w:t xml:space="preserve"> </w:t>
      </w:r>
      <w:r>
        <w:t xml:space="preserve">automatically from the task definition and aggregates across a diverse panel. FLAMe [</w:t>
      </w:r>
      <w:hyperlink w:anchor="r4">
        <w:r>
          <w:rPr>
            <w:rStyle w:val="Hyperlink"/>
          </w:rPr>
          <w:t xml:space="preserve">4</w:t>
        </w:r>
      </w:hyperlink>
      <w:r>
        <w:t xml:space="preserve">]</w:t>
      </w:r>
      <w:r>
        <w:t xml:space="preserve"> </w:t>
      </w:r>
      <w:r>
        <w:t xml:space="preserve">and JudgeBench [</w:t>
      </w:r>
      <w:hyperlink w:anchor="r6">
        <w:r>
          <w:rPr>
            <w:rStyle w:val="Hyperlink"/>
          </w:rPr>
          <w:t xml:space="preserve">6</w:t>
        </w:r>
      </w:hyperlink>
      <w:r>
        <w:t xml:space="preserve">] study the reliability of judge models, and BiGGen-Bench</w:t>
      </w:r>
      <w:r>
        <w:t xml:space="preserve"> </w:t>
      </w:r>
      <w:r>
        <w:t xml:space="preserve">[</w:t>
      </w:r>
      <w:hyperlink w:anchor="r7">
        <w:r>
          <w:rPr>
            <w:rStyle w:val="Hyperlink"/>
          </w:rPr>
          <w:t xml:space="preserve">7</w:t>
        </w:r>
      </w:hyperlink>
      <w:r>
        <w:t xml:space="preserve">] introduces instance-specific evaluation criteria; CoEval is complementary, adding a</w:t>
      </w:r>
      <w:r>
        <w:t xml:space="preserve"> </w:t>
      </w:r>
      <w:r>
        <w:t xml:space="preserve">cross-family aggregation layer and live agreement monitoring on top of any such judges.</w:t>
      </w:r>
    </w:p>
    <w:p>
      <w:pPr>
        <w:pStyle w:val="BodyText"/>
        <w:jc w:val="both"/>
        <w:keepNext w:val="0"/>
        <w:keepLines w:val="0"/>
        <w:widowControl w:val="1"/>
      </w:pPr>
      <w:r>
        <w:t xml:space="preserve">Closest to our judging design is</w:t>
      </w:r>
      <w:r>
        <w:t xml:space="preserve"> </w:t>
      </w:r>
      <w:r>
        <w:rPr>
          <w:i/>
          <w:iCs/>
        </w:rPr>
        <w:t xml:space="preserve">Replacing Judges with Juries</w:t>
      </w:r>
      <w:r>
        <w:t xml:space="preserve"> </w:t>
      </w:r>
      <w:r>
        <w:t xml:space="preserve">(PoLL) [</w:t>
      </w:r>
      <w:hyperlink w:anchor="r5">
        <w:r>
          <w:rPr>
            <w:rStyle w:val="Hyperlink"/>
          </w:rPr>
          <w:t xml:space="preserve">5</w:t>
        </w:r>
      </w:hyperlink>
      <w:r>
        <w:t xml:space="preserve">], which</w:t>
      </w:r>
      <w:r>
        <w:t xml:space="preserve"> </w:t>
      </w:r>
      <w:r>
        <w:t xml:space="preserve">shows a panel of smaller judges can rival a single large judge while reducing intra-model bias and cost. CoEval shares</w:t>
      </w:r>
      <w:r>
        <w:t xml:space="preserve"> </w:t>
      </w:r>
      <w:r>
        <w:t xml:space="preserve">the panel philosophy but extends it in three ways: (i) it couples the panel to</w:t>
      </w:r>
      <w:r>
        <w:t xml:space="preserve"> </w:t>
      </w:r>
      <w:r>
        <w:rPr>
          <w:i/>
          <w:iCs/>
        </w:rPr>
        <w:t xml:space="preserve">attribute-controlled,</w:t>
      </w:r>
      <w:r>
        <w:rPr>
          <w:i/>
          <w:iCs/>
        </w:rPr>
        <w:t xml:space="preserve"> </w:t>
      </w:r>
      <w:r>
        <w:rPr>
          <w:i/>
          <w:iCs/>
        </w:rPr>
        <w:t xml:space="preserve">contamination-free generation</w:t>
      </w:r>
      <w:r>
        <w:t xml:space="preserve"> </w:t>
      </w:r>
      <w:r>
        <w:t xml:space="preserve">rather than scoring a fixed set; (ii) it enforces explicit</w:t>
      </w:r>
      <w:r>
        <w:t xml:space="preserve"> </w:t>
      </w:r>
      <w:r>
        <w:rPr>
          <w:i/>
          <w:iCs/>
        </w:rPr>
        <w:t xml:space="preserve">cross-family</w:t>
      </w:r>
      <w:r>
        <w:t xml:space="preserve"> </w:t>
      </w:r>
      <w:r>
        <w:t xml:space="preserve">composition and reports the finding that composition dominates size; and (iii) it adds role separation</w:t>
      </w:r>
      <w:r>
        <w:t xml:space="preserve"> </w:t>
      </w:r>
      <w:r>
        <w:t xml:space="preserve">(teacher/student/judge) with self-preference monitoring built in. ChatEval [</w:t>
      </w:r>
      <w:hyperlink w:anchor="r21">
        <w:r>
          <w:rPr>
            <w:rStyle w:val="Hyperlink"/>
          </w:rPr>
          <w:t xml:space="preserve">21</w:t>
        </w:r>
      </w:hyperlink>
      <w:r>
        <w:t xml:space="preserve">] and</w:t>
      </w:r>
      <w:r>
        <w:t xml:space="preserve"> </w:t>
      </w:r>
      <w:r>
        <w:t xml:space="preserve">meta-judge frameworks [</w:t>
      </w:r>
      <w:hyperlink w:anchor="r26">
        <w:r>
          <w:rPr>
            <w:rStyle w:val="Hyperlink"/>
          </w:rPr>
          <w:t xml:space="preserve">26</w:t>
        </w:r>
      </w:hyperlink>
      <w:r>
        <w:t xml:space="preserve">] improve reliability through intra-pool multi-agent</w:t>
      </w:r>
      <w:r>
        <w:t xml:space="preserve"> </w:t>
      </w:r>
      <w:r>
        <w:t xml:space="preserve">deliberation; CoEval instead rotates models</w:t>
      </w:r>
      <w:r>
        <w:t xml:space="preserve"> </w:t>
      </w:r>
      <w:r>
        <w:rPr>
          <w:i/>
          <w:iCs/>
        </w:rPr>
        <w:t xml:space="preserve">across vendors</w:t>
      </w:r>
      <w:r>
        <w:t xml:space="preserve">, targeting cross-family bias cancellation rather</w:t>
      </w:r>
      <w:r>
        <w:t xml:space="preserve"> </w:t>
      </w:r>
      <w:r>
        <w:t xml:space="preserve">than intra-pool debate alone.</w:t>
      </w:r>
    </w:p>
    <w:p>
      <w:pPr>
        <w:pStyle w:val="BodyText"/>
        <w:jc w:val="both"/>
        <w:keepNext w:val="0"/>
        <w:keepLines w:val="0"/>
        <w:widowControl w:val="1"/>
      </w:pPr>
      <w:r>
        <w:t xml:space="preserve">Our cross-family design is directly motivated by recent evidence that judge–generator relatedness is itself a</w:t>
      </w:r>
      <w:r>
        <w:t xml:space="preserve"> </w:t>
      </w:r>
      <w:r>
        <w:t xml:space="preserve">contamination vector.</w:t>
      </w:r>
      <w:r>
        <w:t xml:space="preserve"> </w:t>
      </w:r>
      <w:r>
        <w:rPr>
          <w:i/>
          <w:iCs/>
        </w:rPr>
        <w:t xml:space="preserve">Preference Leakage</w:t>
      </w:r>
      <w:r>
        <w:t xml:space="preserve"> </w:t>
      </w:r>
      <w:r>
        <w:t xml:space="preserve">[</w:t>
      </w:r>
      <w:hyperlink w:anchor="r15">
        <w:r>
          <w:rPr>
            <w:rStyle w:val="Hyperlink"/>
          </w:rPr>
          <w:t xml:space="preserve">15</w:t>
        </w:r>
      </w:hyperlink>
      <w:r>
        <w:t xml:space="preserve">] shows that a judge sharing a model,</w:t>
      </w:r>
      <w:r>
        <w:t xml:space="preserve"> </w:t>
      </w:r>
      <w:r>
        <w:t xml:space="preserve">lineage, or vendor family with the generator silently inflates scores, and</w:t>
      </w:r>
      <w:r>
        <w:t xml:space="preserve"> </w:t>
      </w:r>
      <w:r>
        <w:rPr>
          <w:i/>
          <w:iCs/>
        </w:rPr>
        <w:t xml:space="preserve">Play Favorites</w:t>
      </w:r>
      <w:r>
        <w:t xml:space="preserve"> </w:t>
      </w:r>
      <w:r>
        <w:t xml:space="preserve">[</w:t>
      </w:r>
      <w:hyperlink w:anchor="r16">
        <w:r>
          <w:rPr>
            <w:rStyle w:val="Hyperlink"/>
          </w:rPr>
          <w:t xml:space="preserve">16</w:t>
        </w:r>
      </w:hyperlink>
      <w:r>
        <w:t xml:space="preserve">] measures this same-family bias statistically, finding that frontier models favor</w:t>
      </w:r>
      <w:r>
        <w:t xml:space="preserve"> </w:t>
      </w:r>
      <w:r>
        <w:t xml:space="preserve">same-family outputs. Self-preference has been characterized mechanistically [</w:t>
      </w:r>
      <w:hyperlink w:anchor="r18">
        <w:r>
          <w:rPr>
            <w:rStyle w:val="Hyperlink"/>
          </w:rPr>
          <w:t xml:space="preserve">18</w:t>
        </w:r>
      </w:hyperlink>
      <w:r>
        <w:t xml:space="preserve">] and</w:t>
      </w:r>
      <w:r>
        <w:t xml:space="preserve"> </w:t>
      </w:r>
      <w:r>
        <w:t xml:space="preserve">partly attributed to legitimate capability rather than pure bias [</w:t>
      </w:r>
      <w:hyperlink w:anchor="r24">
        <w:r>
          <w:rPr>
            <w:rStyle w:val="Hyperlink"/>
          </w:rPr>
          <w:t xml:space="preserve">24</w:t>
        </w:r>
      </w:hyperlink>
      <w:r>
        <w:t xml:space="preserve">]. Broad bias</w:t>
      </w:r>
      <w:r>
        <w:t xml:space="preserve"> </w:t>
      </w:r>
      <w:r>
        <w:t xml:space="preserve">taxonomies [</w:t>
      </w:r>
      <w:hyperlink w:anchor="r17">
        <w:r>
          <w:rPr>
            <w:rStyle w:val="Hyperlink"/>
          </w:rPr>
          <w:t xml:space="preserve">17</w:t>
        </w:r>
      </w:hyperlink>
      <w:r>
        <w:t xml:space="preserve">] and recent surveys [</w:t>
      </w:r>
      <w:hyperlink w:anchor="r19">
        <w:r>
          <w:rPr>
            <w:rStyle w:val="Hyperlink"/>
          </w:rPr>
          <w:t xml:space="preserve">19</w:t>
        </w:r>
      </w:hyperlink>
      <w:r>
        <w:t xml:space="preserve">,</w:t>
      </w:r>
      <w:r>
        <w:t xml:space="preserve"> </w:t>
      </w:r>
      <w:hyperlink w:anchor="r20">
        <w:r>
          <w:rPr>
            <w:rStyle w:val="Hyperlink"/>
          </w:rPr>
          <w:t xml:space="preserve">20</w:t>
        </w:r>
      </w:hyperlink>
      <w:r>
        <w:t xml:space="preserve">]</w:t>
      </w:r>
      <w:r>
        <w:t xml:space="preserve"> </w:t>
      </w:r>
      <w:r>
        <w:t xml:space="preserve">catalogue position, verbosity, and self-enhancement biases on fixed benchmarks. Where these works</w:t>
      </w:r>
      <w:r>
        <w:t xml:space="preserve"> </w:t>
      </w:r>
      <w:r>
        <w:rPr>
          <w:i/>
          <w:iCs/>
        </w:rPr>
        <w:t xml:space="preserve">measure</w:t>
      </w:r>
      <w:r>
        <w:t xml:space="preserve"> </w:t>
      </w:r>
      <w:r>
        <w:t xml:space="preserve">or</w:t>
      </w:r>
      <w:r>
        <w:t xml:space="preserve"> </w:t>
      </w:r>
      <w:r>
        <w:rPr>
          <w:i/>
          <w:iCs/>
        </w:rPr>
        <w:t xml:space="preserve">post-hoc correct</w:t>
      </w:r>
      <w:r>
        <w:t xml:space="preserve"> </w:t>
      </w:r>
      <w:r>
        <w:t xml:space="preserve">the biases of individual judges, CoEval treats cross-family composition as a</w:t>
      </w:r>
      <w:r>
        <w:t xml:space="preserve"> </w:t>
      </w:r>
      <w:r>
        <w:rPr>
          <w:i/>
          <w:iCs/>
        </w:rPr>
        <w:t xml:space="preserve">design</w:t>
      </w:r>
      <w:r>
        <w:rPr>
          <w:i/>
          <w:iCs/>
        </w:rPr>
        <w:t xml:space="preserve"> </w:t>
      </w:r>
      <w:r>
        <w:rPr>
          <w:i/>
          <w:iCs/>
        </w:rPr>
        <w:t xml:space="preserve">constraint</w:t>
      </w:r>
      <w:r>
        <w:t xml:space="preserve"> </w:t>
      </w:r>
      <w:r>
        <w:t xml:space="preserve">that cancels same-family preference at the aggregation level, and pairs it with</w:t>
      </w:r>
      <w:r>
        <w:t xml:space="preserve"> </w:t>
      </w:r>
      <w:r>
        <w:t xml:space="preserve">contamination-free item generation, so both items and judges are bias-hardened rather than only the scoring step.</w:t>
      </w:r>
    </w:p>
    <w:p>
      <w:pPr>
        <w:pStyle w:val="BodyText"/>
        <w:jc w:val="both"/>
        <w:keepNext w:val="0"/>
        <w:keepLines w:val="0"/>
        <w:widowControl w:val="1"/>
      </w:pPr>
      <w:r>
        <w:t xml:space="preserve">A parallel and very recent line of work makes judge aggregation itself</w:t>
      </w:r>
      <w:r>
        <w:t xml:space="preserve"> </w:t>
      </w:r>
      <w:r>
        <w:rPr>
          <w:i/>
          <w:iCs/>
        </w:rPr>
        <w:t xml:space="preserve">label-free and reliability-aware</w:t>
      </w:r>
      <w:r>
        <w:t xml:space="preserve">.</w:t>
      </w:r>
      <w:r>
        <w:t xml:space="preserve"> </w:t>
      </w:r>
      <w:r>
        <w:t xml:space="preserve">Judge-aware jury methods learn a per-judge reliability parameter jointly with the model ranking from pairwise</w:t>
      </w:r>
      <w:r>
        <w:t xml:space="preserve"> </w:t>
      </w:r>
      <w:r>
        <w:t xml:space="preserve">comparisons (the judge-discriminator Bradley–Terry model of [</w:t>
      </w:r>
      <w:hyperlink w:anchor="r27">
        <w:r>
          <w:rPr>
            <w:rStyle w:val="Hyperlink"/>
          </w:rPr>
          <w:t xml:space="preserve">27</w:t>
        </w:r>
      </w:hyperlink>
      <w:r>
        <w:t xml:space="preserve">] and the judge-aware ranking</w:t>
      </w:r>
      <w:r>
        <w:t xml:space="preserve"> </w:t>
      </w:r>
      <w:r>
        <w:t xml:space="preserve">framework of [</w:t>
      </w:r>
      <w:hyperlink w:anchor="r29">
        <w:r>
          <w:rPr>
            <w:rStyle w:val="Hyperlink"/>
          </w:rPr>
          <w:t xml:space="preserve">29</w:t>
        </w:r>
      </w:hyperlink>
      <w:r>
        <w:t xml:space="preserve">]), and confounder-aware aggregation [</w:t>
      </w:r>
      <w:hyperlink w:anchor="r28">
        <w:r>
          <w:rPr>
            <w:rStyle w:val="Hyperlink"/>
          </w:rPr>
          <w:t xml:space="preserve">28</w:t>
        </w:r>
      </w:hyperlink>
      <w:r>
        <w:t xml:space="preserve">] separates true</w:t>
      </w:r>
      <w:r>
        <w:t xml:space="preserve"> </w:t>
      </w:r>
      <w:r>
        <w:t xml:space="preserve">quality from shared judge confounders without ground-truth labels. CoEval's unsupervised reliability-weighted</w:t>
      </w:r>
      <w:r>
        <w:t xml:space="preserve"> </w:t>
      </w:r>
      <w:r>
        <w:t xml:space="preserve">aggregator (Section 5.2) shares this label-free goal, and our contribution is not the aggregator in isolation but</w:t>
      </w:r>
      <w:r>
        <w:t xml:space="preserve"> </w:t>
      </w:r>
      <w:r>
        <w:t xml:space="preserve">its</w:t>
      </w:r>
      <w:r>
        <w:t xml:space="preserve"> </w:t>
      </w:r>
      <w:r>
        <w:rPr>
          <w:i/>
          <w:iCs/>
        </w:rPr>
        <w:t xml:space="preserve">integration</w:t>
      </w:r>
      <w:r>
        <w:t xml:space="preserve"> </w:t>
      </w:r>
      <w:r>
        <w:t xml:space="preserve">with the rest of the loop: these methods assume a fixed, externally supplied item set, scored</w:t>
      </w:r>
      <w:r>
        <w:t xml:space="preserve"> </w:t>
      </w:r>
      <w:r>
        <w:t xml:space="preserve">as pairwise comparisons by a single-vendor judge pool, whereas CoEval supplies the items themselves (generated de novo</w:t>
      </w:r>
      <w:r>
        <w:t xml:space="preserve"> </w:t>
      </w:r>
      <w:r>
        <w:t xml:space="preserve">and contamination-free) and scores them as rubric-anchored absolute scores from a</w:t>
      </w:r>
      <w:r>
        <w:t xml:space="preserve"> </w:t>
      </w:r>
      <w:r>
        <w:rPr>
          <w:i/>
          <w:iCs/>
        </w:rPr>
        <w:t xml:space="preserve">vendor-disjoint</w:t>
      </w:r>
      <w:r>
        <w:t xml:space="preserve"> </w:t>
      </w:r>
      <w:r>
        <w:t xml:space="preserve">panel, so</w:t>
      </w:r>
      <w:r>
        <w:t xml:space="preserve"> </w:t>
      </w:r>
      <w:r>
        <w:t xml:space="preserve">the item supply and the judge pool are both bias-hardened rather than only the aggregation step. Owning the whole loop</w:t>
      </w:r>
      <w:r>
        <w:t xml:space="preserve"> </w:t>
      </w:r>
      <w:r>
        <w:t xml:space="preserve">is what surfaces the</w:t>
      </w:r>
      <w:r>
        <w:t xml:space="preserve"> </w:t>
      </w:r>
      <w:r>
        <w:rPr>
          <w:i/>
          <w:iCs/>
        </w:rPr>
        <w:t xml:space="preserve">judge-choice regret</w:t>
      </w:r>
      <w:r>
        <w:t xml:space="preserve"> </w:t>
      </w:r>
      <w:r>
        <w:t xml:space="preserve">of Section 5.2: a single judge can be anti-correlated with</w:t>
      </w:r>
      <w:r>
        <w:t xml:space="preserve"> </w:t>
      </w:r>
      <w:r>
        <w:t xml:space="preserve">ground truth where the cross-family ensemble is the low-regret choice.</w:t>
      </w:r>
    </w:p>
    <w:bookmarkEnd w:id="12"/>
    <w:bookmarkStart w:id="13" w:name="Xb32479c805d15c252b37c445ef1c1ed998e3523"/>
    <w:p>
      <w:pPr>
        <w:pStyle w:val="Heading3"/>
        <w:keepNext/>
        <w:keepLines/>
        <w:widowControl w:val="1"/>
      </w:pPr>
      <w:r>
        <w:t xml:space="preserve">2.2 Automated and contamination-resistant benchmark generation</w:t>
      </w:r>
    </w:p>
    <w:p>
      <w:pPr>
        <w:pStyle w:val="FirstParagraph"/>
        <w:jc w:val="both"/>
        <w:keepNext w:val="0"/>
        <w:keepLines w:val="0"/>
        <w:widowControl w:val="1"/>
      </w:pPr>
      <w:r>
        <w:t xml:space="preserve">AutoBencher [</w:t>
      </w:r>
      <w:hyperlink w:anchor="r9">
        <w:r>
          <w:rPr>
            <w:rStyle w:val="Hyperlink"/>
          </w:rPr>
          <w:t xml:space="preserve">9</w:t>
        </w:r>
      </w:hyperlink>
      <w:r>
        <w:t xml:space="preserve">] searches for benchmark questions that optimize difficulty and novelty,</w:t>
      </w:r>
      <w:r>
        <w:t xml:space="preserve"> </w:t>
      </w:r>
      <w:r>
        <w:t xml:space="preserve">but evaluates with a</w:t>
      </w:r>
      <w:r>
        <w:t xml:space="preserve"> </w:t>
      </w:r>
      <w:r>
        <w:rPr>
          <w:i/>
          <w:iCs/>
        </w:rPr>
        <w:t xml:space="preserve">single</w:t>
      </w:r>
      <w:r>
        <w:t xml:space="preserve"> </w:t>
      </w:r>
      <w:r>
        <w:t xml:space="preserve">judge and does not enforce cross-family scoring or role separation. CoEval adds a</w:t>
      </w:r>
      <w:r>
        <w:t xml:space="preserve"> </w:t>
      </w:r>
      <w:r>
        <w:t xml:space="preserve">cross-family multi-judge layer, explicit teacher/student/judge role separation, and continuous inter-judge agreement</w:t>
      </w:r>
      <w:r>
        <w:t xml:space="preserve"> </w:t>
      </w:r>
      <w:r>
        <w:t xml:space="preserve">monitoring. BenchAgents [</w:t>
      </w:r>
      <w:hyperlink w:anchor="r10">
        <w:r>
          <w:rPr>
            <w:rStyle w:val="Hyperlink"/>
          </w:rPr>
          <w:t xml:space="preserve">10</w:t>
        </w:r>
      </w:hyperlink>
      <w:r>
        <w:t xml:space="preserve">] and YourBench [</w:t>
      </w:r>
      <w:hyperlink w:anchor="r11">
        <w:r>
          <w:rPr>
            <w:rStyle w:val="Hyperlink"/>
          </w:rPr>
          <w:t xml:space="preserve">11</w:t>
        </w:r>
      </w:hyperlink>
      <w:r>
        <w:t xml:space="preserve">] likewise</w:t>
      </w:r>
      <w:r>
        <w:t xml:space="preserve"> </w:t>
      </w:r>
      <w:r>
        <w:t xml:space="preserve">automate benchmark construction; CoEval's distinguishing feature is attribute-</w:t>
      </w:r>
      <w:r>
        <w:rPr>
          <w:i/>
          <w:iCs/>
        </w:rPr>
        <w:t xml:space="preserve">stratified</w:t>
      </w:r>
      <w:r>
        <w:t xml:space="preserve"> </w:t>
      </w:r>
      <w:r>
        <w:t xml:space="preserve">coverage: the</w:t>
      </w:r>
      <w:r>
        <w:t xml:space="preserve"> </w:t>
      </w:r>
      <w:r>
        <w:t xml:space="preserve">sampler allocates a per-stratum floor of items to each declared attribute combination, coupled to bias-cancelled</w:t>
      </w:r>
      <w:r>
        <w:t xml:space="preserve"> </w:t>
      </w:r>
      <w:r>
        <w:t xml:space="preserve">scoring. The contamination motivation is sharpened by GSM1k</w:t>
      </w:r>
      <w:r>
        <w:t xml:space="preserve"> </w:t>
      </w:r>
      <w:r>
        <w:t xml:space="preserve">[</w:t>
      </w:r>
      <w:hyperlink w:anchor="r12">
        <w:r>
          <w:rPr>
            <w:rStyle w:val="Hyperlink"/>
          </w:rPr>
          <w:t xml:space="preserve">12</w:t>
        </w:r>
      </w:hyperlink>
      <w:r>
        <w:t xml:space="preserve">], which exposed memorization on grade-school arithmetic, and by recent surveys of</w:t>
      </w:r>
      <w:r>
        <w:t xml:space="preserve"> </w:t>
      </w:r>
      <w:r>
        <w:t xml:space="preserve">data contamination in LLMs [</w:t>
      </w:r>
      <w:hyperlink w:anchor="r13">
        <w:r>
          <w:rPr>
            <w:rStyle w:val="Hyperlink"/>
          </w:rPr>
          <w:t xml:space="preserve">13</w:t>
        </w:r>
      </w:hyperlink>
      <w:r>
        <w:t xml:space="preserve">]. Live benchmarks such as LiveBench</w:t>
      </w:r>
      <w:r>
        <w:t xml:space="preserve"> </w:t>
      </w:r>
      <w:r>
        <w:t xml:space="preserve">[</w:t>
      </w:r>
      <w:hyperlink w:anchor="r22">
        <w:r>
          <w:rPr>
            <w:rStyle w:val="Hyperlink"/>
          </w:rPr>
          <w:t xml:space="preserve">22</w:t>
        </w:r>
      </w:hyperlink>
      <w:r>
        <w:t xml:space="preserve">] and LiveCodeBench [</w:t>
      </w:r>
      <w:hyperlink w:anchor="r23">
        <w:r>
          <w:rPr>
            <w:rStyle w:val="Hyperlink"/>
          </w:rPr>
          <w:t xml:space="preserve">23</w:t>
        </w:r>
      </w:hyperlink>
      <w:r>
        <w:t xml:space="preserve">] limit leakage by continuously</w:t>
      </w:r>
      <w:r>
        <w:t xml:space="preserve"> </w:t>
      </w:r>
      <w:r>
        <w:t xml:space="preserve">releasing fresh, time-windowed items, but rely on human-curated questions with objective answers and avoid LLM judges;</w:t>
      </w:r>
      <w:r>
        <w:t xml:space="preserve"> </w:t>
      </w:r>
      <w:r>
        <w:t xml:space="preserve">CoEval extends contamination resistance to</w:t>
      </w:r>
      <w:r>
        <w:t xml:space="preserve"> </w:t>
      </w:r>
      <w:r>
        <w:rPr>
          <w:i/>
          <w:iCs/>
        </w:rPr>
        <w:t xml:space="preserve">open-ended, judge-scored</w:t>
      </w:r>
      <w:r>
        <w:t xml:space="preserve"> </w:t>
      </w:r>
      <w:r>
        <w:t xml:space="preserve">tasks by generating fresh,</w:t>
      </w:r>
      <w:r>
        <w:t xml:space="preserve"> </w:t>
      </w:r>
      <w:r>
        <w:t xml:space="preserve">attribute-controlled items on demand. Two recent generators are closest to our item-synthesis step: CHASE</w:t>
      </w:r>
      <w:r>
        <w:t xml:space="preserve"> </w:t>
      </w:r>
      <w:r>
        <w:t xml:space="preserve">[</w:t>
      </w:r>
      <w:hyperlink w:anchor="r30">
        <w:r>
          <w:rPr>
            <w:rStyle w:val="Hyperlink"/>
          </w:rPr>
          <w:t xml:space="preserve">30</w:t>
        </w:r>
      </w:hyperlink>
      <w:r>
        <w:t xml:space="preserve">] composes challenging problems bottom-up from verifiable sub-tasks with no human involvement,</w:t>
      </w:r>
      <w:r>
        <w:t xml:space="preserve"> </w:t>
      </w:r>
      <w:r>
        <w:t xml:space="preserve">and DataMorgana [</w:t>
      </w:r>
      <w:hyperlink w:anchor="r31">
        <w:r>
          <w:rPr>
            <w:rStyle w:val="Hyperlink"/>
          </w:rPr>
          <w:t xml:space="preserve">31</w:t>
        </w:r>
      </w:hyperlink>
      <w:r>
        <w:t xml:space="preserve">] produces configuration-driven synthetic question–answer sets with</w:t>
      </w:r>
      <w:r>
        <w:t xml:space="preserve"> </w:t>
      </w:r>
      <w:r>
        <w:t xml:space="preserve">controllable category distributions, close to our attribute-stratified sampling. Both stop at item generation; CoEval</w:t>
      </w:r>
      <w:r>
        <w:t xml:space="preserve"> </w:t>
      </w:r>
      <w:r>
        <w:t xml:space="preserve">differs by closing the loop to a model</w:t>
      </w:r>
      <w:r>
        <w:t xml:space="preserve"> </w:t>
      </w:r>
      <w:r>
        <w:rPr>
          <w:i/>
          <w:iCs/>
        </w:rPr>
        <w:t xml:space="preserve">ranking</w:t>
      </w:r>
      <w:r>
        <w:t xml:space="preserve">, adding the vendor-disjoint judge panel and label-free</w:t>
      </w:r>
      <w:r>
        <w:t xml:space="preserve"> </w:t>
      </w:r>
      <w:r>
        <w:t xml:space="preserve">aggregation that turn fresh items into a defensible leaderboard. A recent survey of the move from static to dynamic</w:t>
      </w:r>
      <w:r>
        <w:t xml:space="preserve"> </w:t>
      </w:r>
      <w:r>
        <w:t xml:space="preserve">contamination-resistant benchmarks [</w:t>
      </w:r>
      <w:hyperlink w:anchor="r32">
        <w:r>
          <w:rPr>
            <w:rStyle w:val="Hyperlink"/>
          </w:rPr>
          <w:t xml:space="preserve">32</w:t>
        </w:r>
      </w:hyperlink>
      <w:r>
        <w:t xml:space="preserve">] situates this shift. Dynabench [</w:t>
      </w:r>
      <w:hyperlink w:anchor="r14">
        <w:r>
          <w:rPr>
            <w:rStyle w:val="Hyperlink"/>
          </w:rPr>
          <w:t xml:space="preserve">14</w:t>
        </w:r>
      </w:hyperlink>
      <w:r>
        <w:t xml:space="preserve">]</w:t>
      </w:r>
      <w:r>
        <w:t xml:space="preserve"> </w:t>
      </w:r>
      <w:r>
        <w:t xml:space="preserve">proposed dynamic, human-in-the-loop renewal; CoEval automates renewal without humans. Constructing domain-specific evaluation sets for LLM judges</w:t>
      </w:r>
      <w:r>
        <w:t xml:space="preserve"> </w:t>
      </w:r>
      <w:r>
        <w:t xml:space="preserve">[</w:t>
      </w:r>
      <w:hyperlink w:anchor="r25">
        <w:r>
          <w:rPr>
            <w:rStyle w:val="Hyperlink"/>
          </w:rPr>
          <w:t xml:space="preserve">25</w:t>
        </w:r>
      </w:hyperlink>
      <w:r>
        <w:t xml:space="preserve">] targets verticals such as medicine and law; CoEval generates such domain-targeted</w:t>
      </w:r>
      <w:r>
        <w:t xml:space="preserve"> </w:t>
      </w:r>
      <w:r>
        <w:t xml:space="preserve">items automatically within the same pipeline. Length-Controlled AlpacaEval [</w:t>
      </w:r>
      <w:hyperlink w:anchor="r8">
        <w:r>
          <w:rPr>
            <w:rStyle w:val="Hyperlink"/>
          </w:rPr>
          <w:t xml:space="preserve">8</w:t>
        </w:r>
      </w:hyperlink>
      <w:r>
        <w:t xml:space="preserve">] debiases for</w:t>
      </w:r>
      <w:r>
        <w:t xml:space="preserve"> </w:t>
      </w:r>
      <w:r>
        <w:t xml:space="preserve">verbosity post hoc on a single judge; CoEval instead cancels verbosity bias through panel diversity (Section 5.3).</w:t>
      </w:r>
    </w:p>
    <w:bookmarkEnd w:id="13"/>
    <w:bookmarkEnd w:id="14"/>
    <w:bookmarkStart w:id="22" w:name="the-coeval-framework"/>
    <w:p>
      <w:pPr>
        <w:pStyle w:val="Heading2"/>
        <w:keepNext/>
        <w:keepLines/>
        <w:widowControl w:val="1"/>
      </w:pPr>
      <w:r>
        <w:t xml:space="preserve">3. The CoEval Framework</w:t>
      </w:r>
    </w:p>
    <w:p>
      <w:pPr>
        <w:pStyle w:val="FirstParagraph"/>
        <w:jc w:val="both"/>
        <w:sectPr w:rsidR="00FC693F" w:rsidRPr="0006063C" w:rsidSect="00034616">
          <w:type w:val="continuous"/>
          <w:pgSz w:h="15840" w:w="12240"/>
          <w:pgMar w:bottom="1080" w:footer="720" w:gutter="0" w:header="720" w:left="1080" w:right="1080" w:top="1080"/>
          <w:cols w:num="2" w:space="288" w:equalWidth="1"/>
          <w:docGrid w:linePitch="360"/>
        </w:sectPr>
        <w:keepNext w:val="0"/>
        <w:keepLines w:val="0"/>
        <w:widowControl w:val="1"/>
      </w:pPr>
      <w:r>
        <w:t xml:space="preserve">CoEval executes a declarative, five-phase pipeline specified in a single declarative configuration. The conceptual core is a</w:t>
      </w:r>
      <w:r>
        <w:t xml:space="preserve"> </w:t>
      </w:r>
      <w:r>
        <w:t xml:space="preserve">separation of three roles, an attribute-stratified generation procedure, and a cross-family aggregation-and-reliability</w:t>
      </w:r>
      <w:r>
        <w:t xml:space="preserve"> </w:t>
      </w:r>
      <w:r>
        <w:t xml:space="preserve">layer.</w:t>
      </w:r>
    </w:p>
    <w:p>
      <w:pPr>
        <w:pStyle w:val="BodyText"/>
        <w:jc w:val="center"/>
        <w:keepNext/>
        <w:keepLines/>
        <w:widowControl w:val="1"/>
      </w:pPr>
      <w:r>
        <w:drawing>
          <wp:inline>
            <wp:extent cx="6400800" cy="2067876"/>
            <wp:effectExtent b="0" l="0" r="0" t="0"/>
            <wp:docPr descr="CoEval five-phase pipeline with teacher, student, and judge role bands" title="" id="16" name="Picture"/>
            <a:graphic>
              <a:graphicData uri="http://schemas.openxmlformats.org/drawingml/2006/picture">
                <pic:pic>
                  <pic:nvPicPr>
                    <pic:cNvPr descr="figures/f1_architecture.png" id="17" name="Picture"/>
                    <pic:cNvPicPr>
                      <a:picLocks noChangeArrowheads="1" noChangeAspect="1"/>
                    </pic:cNvPicPr>
                  </pic:nvPicPr>
                  <pic:blipFill>
                    <a:blip r:embed="rId15"/>
                    <a:stretch>
                      <a:fillRect/>
                    </a:stretch>
                  </pic:blipFill>
                  <pic:spPr bwMode="auto">
                    <a:xfrm>
                      <a:off x="0" y="0"/>
                      <a:ext cx="6400800" cy="2067876"/>
                    </a:xfrm>
                    <a:prstGeom prst="rect">
                      <a:avLst/>
                    </a:prstGeom>
                    <a:noFill/>
                    <a:ln w="9525">
                      <a:noFill/>
                      <a:headEnd/>
                      <a:tailEnd/>
                    </a:ln>
                  </pic:spPr>
                </pic:pic>
              </a:graphicData>
            </a:graphic>
          </wp:inline>
        </w:drawing>
      </w:r>
    </w:p>
    <w:p>
      <w:pPr>
        <w:pStyle w:val="ImageCaption"/>
        <w:spacing w:before="80" w:after="120" w:line="240" w:lineRule="auto"/>
        <w:jc w:val="center"/>
        <w:sectPr w:rsidR="00FC693F" w:rsidRPr="0006063C" w:rsidSect="00034616">
          <w:type w:val="continuous"/>
          <w:pgSz w:h="15840" w:w="12240"/>
          <w:pgMar w:bottom="1080" w:footer="720" w:gutter="0" w:header="720" w:left="1080" w:right="1080" w:top="1080"/>
          <w:cols w:num="1" w:space="288"/>
          <w:docGrid w:linePitch="360"/>
        </w:sectPr>
        <w:keepNext w:val="0"/>
        <w:keepLines/>
        <w:widowControl w:val="1"/>
      </w:pPr>
      <w:r>
        <w:rPr>
          <w:b/>
          <w:bCs/>
        </w:rPr>
        <w:t xml:space="preserve">Figure 1.</w:t>
      </w:r>
      <w:r>
        <w:t xml:space="preserve"> </w:t>
      </w:r>
      <w:r>
        <w:t xml:space="preserve">The CoEval pipeline. A single pool of models rotates through three roles:</w:t>
      </w:r>
      <w:r>
        <w:t xml:space="preserve"> </w:t>
      </w:r>
      <w:r>
        <w:t xml:space="preserve">teachers map attributes, construct rubrics, and generate fresh benchmark items (Phases 1–3); students</w:t>
      </w:r>
      <w:r>
        <w:t xml:space="preserve"> </w:t>
      </w:r>
      <w:r>
        <w:t xml:space="preserve">produce candidate responses (Phase 4); and a cross-family judge ensemble scores them (Phase 5). The entire</w:t>
      </w:r>
      <w:r>
        <w:t xml:space="preserve"> </w:t>
      </w:r>
      <w:r>
        <w:t xml:space="preserve">run is specified in one declarative configuration.</w:t>
      </w:r>
    </w:p>
    <w:bookmarkStart w:id="18" w:name="teacher-student-and-judge-roles"/>
    <w:p>
      <w:pPr>
        <w:pStyle w:val="Heading3"/>
        <w:keepNext/>
        <w:keepLines/>
        <w:widowControl w:val="1"/>
      </w:pPr>
      <w:r>
        <w:t xml:space="preserve">3.1 Teacher, student, and judge roles</w:t>
      </w:r>
    </w:p>
    <w:p>
      <w:pPr>
        <w:pStyle w:val="FirstParagraph"/>
        <w:jc w:val="both"/>
        <w:keepNext w:val="0"/>
        <w:keepLines w:val="0"/>
        <w:widowControl w:val="1"/>
      </w:pPr>
      <w:r>
        <w:t xml:space="preserve">CoEval factorizes evaluation into three disjoint model roles. The</w:t>
      </w:r>
      <w:r>
        <w:t xml:space="preserve"> </w:t>
      </w:r>
      <w:r>
        <w:rPr>
          <w:b/>
          <w:bCs/>
        </w:rPr>
        <w:t xml:space="preserve">teacher</w:t>
      </w:r>
      <w:r>
        <w:t xml:space="preserve"> </w:t>
      </w:r>
      <w:r>
        <w:t xml:space="preserve">synthesizes domain-targeted</w:t>
      </w:r>
      <w:r>
        <w:t xml:space="preserve"> </w:t>
      </w:r>
      <w:r>
        <w:t xml:space="preserve">benchmark items (prompts and reference responses) conditioned on declared target attributes. The</w:t>
      </w:r>
      <w:r>
        <w:t xml:space="preserve"> </w:t>
      </w:r>
      <w:r>
        <w:rPr>
          <w:b/>
          <w:bCs/>
        </w:rPr>
        <w:t xml:space="preserve">student</w:t>
      </w:r>
      <w:r>
        <w:t xml:space="preserve"> </w:t>
      </w:r>
      <w:r>
        <w:t xml:space="preserve">models are the systems under evaluation; they produce responses to the generated prompts. The</w:t>
      </w:r>
      <w:r>
        <w:t xml:space="preserve"> </w:t>
      </w:r>
      <w:r>
        <w:rPr>
          <w:b/>
          <w:bCs/>
        </w:rPr>
        <w:t xml:space="preserve">judges</w:t>
      </w:r>
      <w:r>
        <w:t xml:space="preserve"> </w:t>
      </w:r>
      <w:r>
        <w:t xml:space="preserve">score student responses against an automatically generated rubric. Role separation is the foundation for bias control:</w:t>
      </w:r>
      <w:r>
        <w:t xml:space="preserve"> </w:t>
      </w:r>
      <w:r>
        <w:t xml:space="preserve">because the judge set is explicitly disjoint in</w:t>
      </w:r>
      <w:r>
        <w:t xml:space="preserve"> </w:t>
      </w:r>
      <w:r>
        <w:rPr>
          <w:i/>
          <w:iCs/>
        </w:rPr>
        <w:t xml:space="preserve">vendor family</w:t>
      </w:r>
      <w:r>
        <w:t xml:space="preserve"> </w:t>
      </w:r>
      <w:r>
        <w:t xml:space="preserve">from the student under test, CoEval structurally</w:t>
      </w:r>
      <w:r>
        <w:t xml:space="preserve"> </w:t>
      </w:r>
      <w:r>
        <w:t xml:space="preserve">precludes a model from scoring its own family, closing the self-preference channel by design (Section 5.4). A</w:t>
      </w:r>
      <w:r>
        <w:t xml:space="preserve"> </w:t>
      </w:r>
      <w:r>
        <w:t xml:space="preserve">virtual</w:t>
      </w:r>
      <w:r>
        <w:t xml:space="preserve"> </w:t>
      </w:r>
      <w:r>
        <w:rPr>
          <w:rStyle w:val="VerbatimChar"/>
        </w:rPr>
        <w:t xml:space="preserve">benchmark</w:t>
      </w:r>
      <w:r>
        <w:t xml:space="preserve"> </w:t>
      </w:r>
      <w:r>
        <w:t xml:space="preserve">teacher can also</w:t>
      </w:r>
      <w:r>
        <w:t xml:space="preserve"> </w:t>
      </w:r>
      <w:r>
        <w:t xml:space="preserve">inject items from an existing dataset, allowing CoEval scores to be grounded against native metrics (Section 5.1).</w:t>
      </w:r>
    </w:p>
    <w:bookmarkEnd w:id="18"/>
    <w:bookmarkStart w:id="19" w:name="attribute-stratified-generation"/>
    <w:p>
      <w:pPr>
        <w:pStyle w:val="Heading3"/>
        <w:keepNext/>
        <w:keepLines/>
        <w:widowControl w:val="1"/>
      </w:pPr>
      <w:r>
        <w:t xml:space="preserve">3.2 Attribute-stratified generation</w:t>
      </w:r>
    </w:p>
    <w:p>
      <w:pPr>
        <w:pStyle w:val="FirstParagraph"/>
        <w:jc w:val="both"/>
        <w:keepNext w:val="0"/>
        <w:keepLines w:val="0"/>
        <w:widowControl w:val="1"/>
      </w:pPr>
      <w:r>
        <w:t xml:space="preserve">Rather than sampling items uniformly, CoEval defines a set of</w:t>
      </w:r>
      <w:r>
        <w:t xml:space="preserve"> </w:t>
      </w:r>
      <w:r>
        <w:rPr>
          <w:i/>
          <w:iCs/>
        </w:rPr>
        <w:t xml:space="preserve">target attributes</w:t>
      </w:r>
      <w:r>
        <w:t xml:space="preserve"> </w:t>
      </w:r>
      <w:r>
        <w:t xml:space="preserve">(e.g., difficulty band, topic,</w:t>
      </w:r>
      <w:r>
        <w:t xml:space="preserve"> </w:t>
      </w:r>
      <w:r>
        <w:t xml:space="preserve">input length, reasoning type) and stratifies generation across their cross product. Let</w:t>
      </w:r>
      <w:r>
        <w:t xml:space="preserve"> </w:t>
      </w:r>
      <m:oMath>
        <m:r>
          <m:rPr>
            <m:scr m:val="script"/>
            <m:sty m:val="p"/>
          </m:rPr>
          <m:t>S</m:t>
        </m:r>
      </m:oMath>
      <w:r>
        <w:t xml:space="preserve"> </w:t>
      </w:r>
      <w:r>
        <w:t xml:space="preserve">be the set of</w:t>
      </w:r>
      <w:r>
        <w:t xml:space="preserve"> </w:t>
      </w:r>
      <w:r>
        <w:t xml:space="preserve">strata induced by the chosen attributes and</w:t>
      </w:r>
      <w:r>
        <w:t xml:space="preserve"> </w:t>
      </w:r>
      <m:oMath>
        <m:r>
          <m:t>N</m:t>
        </m:r>
      </m:oMath>
      <w:r>
        <w:t xml:space="preserve"> </w:t>
      </w:r>
      <w:r>
        <w:t xml:space="preserve">the benchmark budget. CoEval's sampler guarantees that every stratum</w:t>
      </w:r>
      <w:r>
        <w:t xml:space="preserve"> </w:t>
      </w:r>
      <m:oMath>
        <m:r>
          <m:t>s</m:t>
        </m:r>
        <m:r>
          <m:rPr>
            <m:sty m:val="p"/>
          </m:rPr>
          <m:t>∈</m:t>
        </m:r>
        <m:r>
          <m:rPr>
            <m:scr m:val="script"/>
            <m:sty m:val="p"/>
          </m:rPr>
          <m:t>S</m:t>
        </m:r>
      </m:oMath>
      <w:r>
        <w:t xml:space="preserve"> </w:t>
      </w:r>
      <w:r>
        <w:t xml:space="preserve">receives at least</w:t>
      </w:r>
    </w:p>
    <w:p>
      <w:pPr>
        <w:pStyle w:val="BodyText"/>
      </w:pPr>
      <m:oMathPara>
        <m:oMathParaPr>
          <m:jc m:val="center"/>
        </m:oMathParaPr>
        <m:oMath>
          <m:sSub>
            <m:e>
              <m:r>
                <m:t>n</m:t>
              </m:r>
            </m:e>
            <m:sub>
              <m:r>
                <m:t>s</m:t>
              </m:r>
            </m:sub>
          </m:sSub>
          <m:r>
            <m:t> </m:t>
          </m:r>
          <m:r>
            <m:rPr>
              <m:sty m:val="p"/>
            </m:rPr>
            <m:t>≥</m:t>
          </m:r>
          <m:r>
            <m:t> </m:t>
          </m:r>
          <m:d>
            <m:dPr>
              <m:begChr m:val="⌊"/>
              <m:sepChr m:val=""/>
              <m:endChr m:val="⌋"/>
              <m:grow/>
            </m:dPr>
            <m:e>
              <m:f>
                <m:fPr>
                  <m:type m:val="bar"/>
                </m:fPr>
                <m:num>
                  <m:r>
                    <m:t>N</m:t>
                  </m:r>
                </m:num>
                <m:den>
                  <m:r>
                    <m:rPr>
                      <m:sty m:val="p"/>
                    </m:rPr>
                    <m:t>|</m:t>
                  </m:r>
                  <m:r>
                    <m:rPr>
                      <m:scr m:val="script"/>
                      <m:sty m:val="p"/>
                    </m:rPr>
                    <m:t>S</m:t>
                  </m:r>
                  <m:r>
                    <m:rPr>
                      <m:sty m:val="p"/>
                    </m:rPr>
                    <m:t>|</m:t>
                  </m:r>
                </m:den>
              </m:f>
            </m:e>
          </m:d>
          <m:r>
            <m:t> </m:t>
          </m:r>
          <m:r>
            <m:rPr>
              <m:nor/>
              <m:sty m:val="p"/>
            </m:rPr>
            <m:t>items</m:t>
          </m:r>
          <m:r>
            <m:rPr>
              <m:sty m:val="p"/>
            </m:rPr>
            <m:t>,</m:t>
          </m:r>
        </m:oMath>
      </m:oMathPara>
    </w:p>
    <w:p>
      <w:pPr>
        <w:pStyle w:val="FirstParagraph"/>
        <w:jc w:val="both"/>
        <w:keepNext w:val="0"/>
        <w:keepLines w:val="0"/>
        <w:widowControl w:val="1"/>
      </w:pPr>
      <w:r>
        <w:t xml:space="preserve">with remaining items distributed to balance the marginal attribute distributions. This stratification ensures that</w:t>
      </w:r>
      <w:r>
        <w:t xml:space="preserve"> </w:t>
      </w:r>
      <w:r>
        <w:t xml:space="preserve">edge-case and minority regions of the deployment distribution are explicitly covered rather than swamped by the bulk of</w:t>
      </w:r>
      <w:r>
        <w:t xml:space="preserve"> </w:t>
      </w:r>
      <w:r>
        <w:t xml:space="preserve">the distribution. The floor above is a guarantee on the</w:t>
      </w:r>
      <w:r>
        <w:t xml:space="preserve"> </w:t>
      </w:r>
      <w:r>
        <w:rPr>
          <w:i/>
          <w:iCs/>
        </w:rPr>
        <w:t xml:space="preserve">sampler</w:t>
      </w:r>
      <w:r>
        <w:t xml:space="preserve">; CoEval emits a coverage report recording the realized per-stratum counts, so that coverage of edge-case strata is auditable. Because items are generated fresh on</w:t>
      </w:r>
      <w:r>
        <w:t xml:space="preserve"> </w:t>
      </w:r>
      <w:r>
        <w:t xml:space="preserve">each run from the attribute specification, the resulting benchmark cannot have been seen during any student's</w:t>
      </w:r>
      <w:r>
        <w:t xml:space="preserve"> </w:t>
      </w:r>
      <w:r>
        <w:t xml:space="preserve">pretraining. Contamination-resistance is a structural property of generation, not a post-hoc filter.</w:t>
      </w:r>
    </w:p>
    <w:bookmarkEnd w:id="19"/>
    <w:bookmarkStart w:id="20" w:name="X0942ce5d8c067f73a4447ce531e20e150caab8b"/>
    <w:p>
      <w:pPr>
        <w:pStyle w:val="Heading3"/>
        <w:keepNext/>
        <w:keepLines/>
        <w:widowControl w:val="1"/>
      </w:pPr>
      <w:r>
        <w:t xml:space="preserve">3.3 The cross-family judge ensemble and aggregation</w:t>
      </w:r>
    </w:p>
    <w:p>
      <w:pPr>
        <w:pStyle w:val="FirstParagraph"/>
        <w:jc w:val="both"/>
        <w:keepNext w:val="0"/>
        <w:keepLines w:val="0"/>
        <w:widowControl w:val="1"/>
      </w:pPr>
      <w:r>
        <w:t xml:space="preserve">Each judge</w:t>
      </w:r>
      <w:r>
        <w:t xml:space="preserve"> </w:t>
      </w:r>
      <m:oMath>
        <m:r>
          <m:t>j</m:t>
        </m:r>
      </m:oMath>
      <w:r>
        <w:t xml:space="preserve"> </w:t>
      </w:r>
      <w:r>
        <w:t xml:space="preserve">assigns a raw quality score to student response</w:t>
      </w:r>
      <w:r>
        <w:t xml:space="preserve"> </w:t>
      </w:r>
      <m:oMath>
        <m:r>
          <m:t>i</m:t>
        </m:r>
      </m:oMath>
      <w:r>
        <w:t xml:space="preserve">, which CoEval normalizes onto a common</w:t>
      </w:r>
      <w:r>
        <w:t xml:space="preserve"> </w:t>
      </w:r>
      <m:oMath>
        <m:r>
          <m:rPr>
            <m:sty m:val="p"/>
          </m:rPr>
          <m:t>[</m:t>
        </m:r>
        <m:r>
          <m:t>0</m:t>
        </m:r>
        <m:r>
          <m:rPr>
            <m:sty m:val="p"/>
          </m:rPr>
          <m:t>,</m:t>
        </m:r>
        <m:r>
          <m:t>1</m:t>
        </m:r>
        <m:r>
          <m:rPr>
            <m:sty m:val="p"/>
          </m:rPr>
          <m:t>]</m:t>
        </m:r>
      </m:oMath>
      <w:r>
        <w:t xml:space="preserve"> </w:t>
      </w:r>
      <w:r>
        <w:t xml:space="preserve">scale via an affine mapping from the judge's rubric range, yielding</w:t>
      </w:r>
      <w:r>
        <w:t xml:space="preserve"> </w:t>
      </w:r>
      <m:oMath>
        <m:sSub>
          <m:e>
            <m:r>
              <m:t>s</m:t>
            </m:r>
          </m:e>
          <m:sub>
            <m:r>
              <m:t>i</m:t>
            </m:r>
            <m:r>
              <m:t>j</m:t>
            </m:r>
          </m:sub>
        </m:sSub>
      </m:oMath>
      <w:r>
        <w:t xml:space="preserve">. The</w:t>
      </w:r>
      <w:r>
        <w:t xml:space="preserve"> </w:t>
      </w:r>
      <w:r>
        <w:rPr>
          <w:b/>
          <w:bCs/>
        </w:rPr>
        <w:t xml:space="preserve">ensemble score</w:t>
      </w:r>
      <w:r>
        <w:t xml:space="preserve"> </w:t>
      </w:r>
      <w:r>
        <w:t xml:space="preserve">for item</w:t>
      </w:r>
      <w:r>
        <w:t xml:space="preserve"> </w:t>
      </w:r>
      <m:oMath>
        <m:r>
          <m:t>i</m:t>
        </m:r>
      </m:oMath>
      <w:r>
        <w:t xml:space="preserve"> </w:t>
      </w:r>
      <w:r>
        <w:t xml:space="preserve">is the mean over the judge panel</w:t>
      </w:r>
      <w:r>
        <w:t xml:space="preserve"> </w:t>
      </w:r>
      <m:oMath>
        <m:r>
          <m:t>J</m:t>
        </m:r>
      </m:oMath>
      <w:r>
        <w:t xml:space="preserve">:</w:t>
      </w:r>
    </w:p>
    <w:p>
      <w:pPr>
        <w:pStyle w:val="BodyText"/>
      </w:pPr>
      <m:oMathPara>
        <m:oMathParaPr>
          <m:jc m:val="center"/>
        </m:oMathParaPr>
        <m:oMath>
          <m:sSub>
            <m:e>
              <m:acc>
                <m:accPr>
                  <m:chr m:val="‾"/>
                </m:accPr>
                <m:e>
                  <m:r>
                    <m:t>s</m:t>
                  </m:r>
                </m:e>
              </m:acc>
            </m:e>
            <m:sub>
              <m:r>
                <m:t>i</m:t>
              </m:r>
            </m:sub>
          </m:sSub>
          <m:r>
            <m:t> </m:t>
          </m:r>
          <m:r>
            <m:rPr>
              <m:sty m:val="p"/>
            </m:rPr>
            <m:t>=</m:t>
          </m:r>
          <m:r>
            <m:t> </m:t>
          </m:r>
          <m:f>
            <m:fPr>
              <m:type m:val="bar"/>
            </m:fPr>
            <m:num>
              <m:r>
                <m:t>1</m:t>
              </m:r>
            </m:num>
            <m:den>
              <m:r>
                <m:rPr>
                  <m:sty m:val="p"/>
                </m:rPr>
                <m:t>|</m:t>
              </m:r>
              <m:r>
                <m:t>J</m:t>
              </m:r>
              <m:r>
                <m:rPr>
                  <m:sty m:val="p"/>
                </m:rPr>
                <m:t>|</m:t>
              </m:r>
            </m:den>
          </m:f>
          <m:nary>
            <m:naryPr>
              <m:chr m:val="∑"/>
              <m:limLoc m:val="undOvr"/>
              <m:subHide m:val="off"/>
              <m:supHide m:val="on"/>
            </m:naryPr>
            <m:sub>
              <m:r>
                <m:t>j</m:t>
              </m:r>
              <m:r>
                <m:rPr>
                  <m:sty m:val="p"/>
                </m:rPr>
                <m:t>∈</m:t>
              </m:r>
              <m:r>
                <m:t>J</m:t>
              </m:r>
            </m:sub>
            <m:sup>
              <m:r>
                <m:t>​</m:t>
              </m:r>
            </m:sup>
            <m:e>
              <m:sSub>
                <m:e>
                  <m:r>
                    <m:t>s</m:t>
                  </m:r>
                </m:e>
                <m:sub>
                  <m:r>
                    <m:t>i</m:t>
                  </m:r>
                  <m:r>
                    <m:t>j</m:t>
                  </m:r>
                </m:sub>
              </m:sSub>
            </m:e>
          </m:nary>
          <m:r>
            <m:rPr>
              <m:sty m:val="p"/>
            </m:rPr>
            <m:t>.</m:t>
          </m:r>
        </m:oMath>
      </m:oMathPara>
    </w:p>
    <w:p>
      <w:pPr>
        <w:pStyle w:val="FirstParagraph"/>
        <w:jc w:val="both"/>
        <w:keepNext w:val="0"/>
        <w:keepLines w:val="0"/>
        <w:widowControl w:val="1"/>
      </w:pPr>
      <w:r>
        <w:t xml:space="preserve">The panel</w:t>
      </w:r>
      <w:r>
        <w:t xml:space="preserve"> </w:t>
      </w:r>
      <m:oMath>
        <m:r>
          <m:t>J</m:t>
        </m:r>
      </m:oMath>
      <w:r>
        <w:t xml:space="preserve"> </w:t>
      </w:r>
      <w:r>
        <w:t xml:space="preserve">is assembled to maximize</w:t>
      </w:r>
      <w:r>
        <w:t xml:space="preserve"> </w:t>
      </w:r>
      <w:r>
        <w:rPr>
          <w:i/>
          <w:iCs/>
        </w:rPr>
        <w:t xml:space="preserve">vendor-family diversity</w:t>
      </w:r>
      <w:r>
        <w:t xml:space="preserve">: judges are drawn from distinct model families</w:t>
      </w:r>
      <w:r>
        <w:t xml:space="preserve"> </w:t>
      </w:r>
      <w:r>
        <w:t xml:space="preserve">so that family-correlated biases (self-preference, shared training idiosyncrasies) do not reinforce one another. When</w:t>
      </w:r>
      <w:r>
        <w:t xml:space="preserve"> </w:t>
      </w:r>
      <w:r>
        <w:t xml:space="preserve">individual judge biases have mixed sign across the panel, as we observe empirically for verbosity</w:t>
      </w:r>
      <w:r>
        <w:t xml:space="preserve"> </w:t>
      </w:r>
      <w:r>
        <w:t xml:space="preserve">(Section 5.3), the averaging in</w:t>
      </w:r>
      <w:r>
        <w:t xml:space="preserve"> </w:t>
      </w:r>
      <m:oMath>
        <m:sSub>
          <m:e>
            <m:acc>
              <m:accPr>
                <m:chr m:val="‾"/>
              </m:accPr>
              <m:e>
                <m:r>
                  <m:t>s</m:t>
                </m:r>
              </m:e>
            </m:acc>
          </m:e>
          <m:sub>
            <m:r>
              <m:t>i</m:t>
            </m:r>
          </m:sub>
        </m:sSub>
      </m:oMath>
      <w:r>
        <w:t xml:space="preserve"> </w:t>
      </w:r>
      <w:r>
        <w:t xml:space="preserve">cancels them. This is the mechanism behind our central claim</w:t>
      </w:r>
      <w:r>
        <w:t xml:space="preserve"> </w:t>
      </w:r>
      <w:r>
        <w:t xml:space="preserve">that</w:t>
      </w:r>
      <w:r>
        <w:t xml:space="preserve"> </w:t>
      </w:r>
      <w:r>
        <w:rPr>
          <w:i/>
          <w:iCs/>
        </w:rPr>
        <w:t xml:space="preserve">composition</w:t>
      </w:r>
      <w:r>
        <w:t xml:space="preserve">, not panel size, drives reliability: a large same-family panel amplifies a shared bias,</w:t>
      </w:r>
      <w:r>
        <w:t xml:space="preserve"> </w:t>
      </w:r>
      <w:r>
        <w:t xml:space="preserve">whereas a small cross-family panel cancels it. The default aggregator is the unweighted mean above, with "composition"</w:t>
      </w:r>
      <w:r>
        <w:t xml:space="preserve"> </w:t>
      </w:r>
      <w:r>
        <w:t xml:space="preserve">enforced by judge</w:t>
      </w:r>
      <w:r>
        <w:t xml:space="preserve"> </w:t>
      </w:r>
      <w:r>
        <w:rPr>
          <w:i/>
          <w:iCs/>
        </w:rPr>
        <w:t xml:space="preserve">selection</w:t>
      </w:r>
      <w:r>
        <w:t xml:space="preserve"> </w:t>
      </w:r>
      <w:r>
        <w:t xml:space="preserve">(which judges enter</w:t>
      </w:r>
      <w:r>
        <w:t xml:space="preserve"> </w:t>
      </w:r>
      <m:oMath>
        <m:r>
          <m:t>J</m:t>
        </m:r>
      </m:oMath>
      <w:r>
        <w:t xml:space="preserve">; Section 5.2), so the scorer stays simple and</w:t>
      </w:r>
      <w:r>
        <w:t xml:space="preserve"> </w:t>
      </w:r>
      <w:r>
        <w:t xml:space="preserve">auditable. CoEval additionally offers an</w:t>
      </w:r>
      <w:r>
        <w:t xml:space="preserve"> </w:t>
      </w:r>
      <w:r>
        <w:rPr>
          <w:i/>
          <w:iCs/>
        </w:rPr>
        <w:t xml:space="preserve">unsupervised reliability-weighted</w:t>
      </w:r>
      <w:r>
        <w:t xml:space="preserve"> </w:t>
      </w:r>
      <w:r>
        <w:t xml:space="preserve">aggregator that requires no ground</w:t>
      </w:r>
      <w:r>
        <w:t xml:space="preserve"> </w:t>
      </w:r>
      <w:r>
        <w:t xml:space="preserve">truth: it weights each judge by its mean agreement with the panel consensus,</w:t>
      </w:r>
      <w:r>
        <w:t xml:space="preserve"> </w:t>
      </w:r>
      <m:oMath>
        <m:sSub>
          <m:e>
            <m:r>
              <m:t>w</m:t>
            </m:r>
          </m:e>
          <m:sub>
            <m:r>
              <m:t>j</m:t>
            </m:r>
          </m:sub>
        </m:sSub>
        <m:r>
          <m:rPr>
            <m:sty m:val="p"/>
          </m:rPr>
          <m:t>∝</m:t>
        </m:r>
        <m:sSub>
          <m:e>
            <m:acc>
              <m:accPr>
                <m:chr m:val="‾"/>
              </m:accPr>
              <m:e>
                <m:r>
                  <m:t>r</m:t>
                </m:r>
              </m:e>
            </m:acc>
          </m:e>
          <m:sub>
            <m:r>
              <m:t>j</m:t>
            </m:r>
          </m:sub>
        </m:sSub>
      </m:oMath>
      <w:r>
        <w:t xml:space="preserve"> </w:t>
      </w:r>
      <w:r>
        <w:t xml:space="preserve">with</w:t>
      </w:r>
      <w:r>
        <w:t xml:space="preserve"> </w:t>
      </w:r>
      <m:oMath>
        <m:nary>
          <m:naryPr>
            <m:chr m:val="∑"/>
            <m:limLoc m:val="undOvr"/>
            <m:subHide m:val="off"/>
            <m:supHide m:val="on"/>
          </m:naryPr>
          <m:sub>
            <m:r>
              <m:t>j</m:t>
            </m:r>
          </m:sub>
          <m:sup>
            <m:r>
              <m:t>​</m:t>
            </m:r>
          </m:sup>
          <m:e>
            <m:sSub>
              <m:e>
                <m:r>
                  <m:t>w</m:t>
                </m:r>
              </m:e>
              <m:sub>
                <m:r>
                  <m:t>j</m:t>
                </m:r>
              </m:sub>
            </m:sSub>
          </m:e>
        </m:nary>
        <m:r>
          <m:rPr>
            <m:sty m:val="p"/>
          </m:rPr>
          <m:t>=</m:t>
        </m:r>
        <m:r>
          <m:t>1</m:t>
        </m:r>
      </m:oMath>
      <w:r>
        <w:t xml:space="preserve">, so a judge that disagrees with the rest of the panel is automatically down-weighted. We evaluate both</w:t>
      </w:r>
      <w:r>
        <w:t xml:space="preserve"> </w:t>
      </w:r>
      <w:r>
        <w:t xml:space="preserve">aggregators in Section 5.2.</w:t>
      </w:r>
    </w:p>
    <w:bookmarkEnd w:id="20"/>
    <w:bookmarkStart w:id="21" w:name="reliability-and-bias-metrics"/>
    <w:p>
      <w:pPr>
        <w:pStyle w:val="Heading3"/>
        <w:keepNext/>
        <w:keepLines/>
        <w:widowControl w:val="1"/>
      </w:pPr>
      <w:r>
        <w:t xml:space="preserve">3.4 Reliability and bias metrics</w:t>
      </w:r>
    </w:p>
    <w:p>
      <w:pPr>
        <w:pStyle w:val="FirstParagraph"/>
        <w:jc w:val="both"/>
        <w:keepNext w:val="0"/>
        <w:keepLines w:val="0"/>
        <w:widowControl w:val="1"/>
      </w:pPr>
      <w:r>
        <w:t xml:space="preserve">CoEval reports panel agreement with the average-measures intraclass correlation</w:t>
      </w:r>
      <w:r>
        <w:t xml:space="preserve"> </w:t>
      </w:r>
      <m:oMath>
        <m:r>
          <m:rPr>
            <m:sty m:val="p"/>
          </m:rPr>
          <m:t>I</m:t>
        </m:r>
        <m:r>
          <m:rPr>
            <m:sty m:val="p"/>
          </m:rPr>
          <m:t>C</m:t>
        </m:r>
        <m:r>
          <m:rPr>
            <m:sty m:val="p"/>
          </m:rPr>
          <m:t>C</m:t>
        </m:r>
        <m:r>
          <m:rPr>
            <m:sty m:val="p"/>
          </m:rPr>
          <m:t>(</m:t>
        </m:r>
        <m:r>
          <m:t>3</m:t>
        </m:r>
        <m:r>
          <m:rPr>
            <m:sty m:val="p"/>
          </m:rPr>
          <m:t>,</m:t>
        </m:r>
        <m:r>
          <m:t>k</m:t>
        </m:r>
        <m:r>
          <m:rPr>
            <m:sty m:val="p"/>
          </m:rPr>
          <m:t>)</m:t>
        </m:r>
      </m:oMath>
      <w:r>
        <w:t xml:space="preserve"> </w:t>
      </w:r>
      <w:r>
        <w:t xml:space="preserve">and the</w:t>
      </w:r>
      <w:r>
        <w:t xml:space="preserve"> </w:t>
      </w:r>
      <w:r>
        <w:rPr>
          <w:b/>
          <w:bCs/>
        </w:rPr>
        <w:t xml:space="preserve">Spearman–Brown</w:t>
      </w:r>
      <w:r>
        <w:t xml:space="preserve"> </w:t>
      </w:r>
      <w:r>
        <w:t xml:space="preserve">prophecy relation that governs how reliability grows with panel size,</w:t>
      </w:r>
      <w:r>
        <w:t xml:space="preserve"> </w:t>
      </w:r>
      <w:r>
        <w:t xml:space="preserve">categorical rubric agreement with Cohen's</w:t>
      </w:r>
      <w:r>
        <w:t xml:space="preserve"> </w:t>
      </w:r>
      <m:oMath>
        <m:r>
          <m:t>κ</m:t>
        </m:r>
      </m:oMath>
      <w:r>
        <w:t xml:space="preserve">, and residual bias with a Pearson confound–score correlation</w:t>
      </w:r>
      <w:r>
        <w:t xml:space="preserve"> </w:t>
      </w:r>
      <w:r>
        <w:t xml:space="preserve">carrying a nonparametric bootstrap 95% confidence interval (a CI that includes zero indicates a bias indistinguishable</w:t>
      </w:r>
      <w:r>
        <w:t xml:space="preserve"> </w:t>
      </w:r>
      <w:r>
        <w:t xml:space="preserve">from absent). The exact estimator definitions are collected in</w:t>
      </w:r>
      <w:r>
        <w:t xml:space="preserve"> </w:t>
      </w:r>
      <w:hyperlink w:anchor="appA">
        <w:r>
          <w:rPr>
            <w:rStyle w:val="Hyperlink"/>
          </w:rPr>
          <w:t xml:space="preserve">Appendix A</w:t>
        </w:r>
      </w:hyperlink>
      <w:r>
        <w:t xml:space="preserve">.</w:t>
      </w:r>
    </w:p>
    <w:bookmarkEnd w:id="21"/>
    <w:bookmarkEnd w:id="22"/>
    <w:bookmarkStart w:id="23" w:name="experimental-setup"/>
    <w:p>
      <w:pPr>
        <w:pStyle w:val="Heading2"/>
        <w:keepNext/>
        <w:keepLines/>
        <w:widowControl w:val="1"/>
      </w:pPr>
      <w:r>
        <w:t xml:space="preserve">4. Experimental Setup</w:t>
      </w:r>
    </w:p>
    <w:p>
      <w:pPr>
        <w:pStyle w:val="FirstParagraph"/>
        <w:jc w:val="both"/>
        <w:sectPr w:rsidR="00FC693F" w:rsidRPr="0006063C" w:rsidSect="00034616">
          <w:type w:val="continuous"/>
          <w:pgSz w:h="15840" w:w="12240"/>
          <w:pgMar w:bottom="1080" w:footer="720" w:gutter="0" w:header="720" w:left="1080" w:right="1080" w:top="1080"/>
          <w:cols w:num="2" w:space="288" w:equalWidth="1"/>
          <w:docGrid w:linePitch="360"/>
        </w:sectPr>
        <w:keepNext w:val="0"/>
        <w:keepLines w:val="0"/>
        <w:widowControl w:val="1"/>
      </w:pPr>
      <w:r>
        <w:t xml:space="preserve">We evaluate CoEval on a four-task medium-scale study spanning summarization, question answering, code generation, and</w:t>
      </w:r>
      <w:r>
        <w:t xml:space="preserve"> </w:t>
      </w:r>
      <w:r>
        <w:t xml:space="preserve">reasoning. The teacher generates an attribute-stratified benchmark per task; a set of student models produces responses;</w:t>
      </w:r>
      <w:r>
        <w:t xml:space="preserve"> </w:t>
      </w:r>
      <w:r>
        <w:t xml:space="preserve">and a cross-family judge ensemble, drawn from distinct vendors (OpenAI, and non-OpenAI open and proprietary</w:t>
      </w:r>
      <w:r>
        <w:t xml:space="preserve"> </w:t>
      </w:r>
      <w:r>
        <w:t xml:space="preserve">families including, e.g.,</w:t>
      </w:r>
      <w:r>
        <w:t xml:space="preserve"> </w:t>
      </w:r>
      <w:r>
        <w:rPr>
          <w:rStyle w:val="VerbatimChar"/>
        </w:rPr>
        <w:t xml:space="preserve">gpt-3.5-turbo</w:t>
      </w:r>
      <w:r>
        <w:t xml:space="preserve"> </w:t>
      </w:r>
      <w:r>
        <w:t xml:space="preserve">and</w:t>
      </w:r>
      <w:r>
        <w:t xml:space="preserve"> </w:t>
      </w:r>
      <w:r>
        <w:rPr>
          <w:rStyle w:val="VerbatimChar"/>
        </w:rPr>
        <w:t xml:space="preserve">SmolLM2</w:t>
      </w:r>
      <w:r>
        <w:t xml:space="preserve"> </w:t>
      </w:r>
      <w:r>
        <w:t xml:space="preserve">among the panel), scores every</w:t>
      </w:r>
      <w:r>
        <w:t xml:space="preserve"> </w:t>
      </w:r>
      <w:r>
        <w:t xml:space="preserve">response against the auto-generated rubric. All raw scores are normalized to</w:t>
      </w:r>
      <w:r>
        <w:t xml:space="preserve"> </w:t>
      </w:r>
      <m:oMath>
        <m:r>
          <m:rPr>
            <m:sty m:val="p"/>
          </m:rPr>
          <m:t>[</m:t>
        </m:r>
        <m:r>
          <m:t>0</m:t>
        </m:r>
        <m:r>
          <m:rPr>
            <m:sty m:val="p"/>
          </m:rPr>
          <m:t>,</m:t>
        </m:r>
        <m:r>
          <m:t>1</m:t>
        </m:r>
        <m:r>
          <m:rPr>
            <m:sty m:val="p"/>
          </m:rPr>
          <m:t>]</m:t>
        </m:r>
      </m:oMath>
      <w:r>
        <w:t xml:space="preserve"> </w:t>
      </w:r>
      <w:r>
        <w:t xml:space="preserve">before aggregation. Reliability is</w:t>
      </w:r>
      <w:r>
        <w:t xml:space="preserve"> </w:t>
      </w:r>
      <w:r>
        <w:t xml:space="preserve">reported via ICC(3,k) and Spearman–Brown; bias is quantified via Pearson correlation. Confidence intervals are</w:t>
      </w:r>
      <w:r>
        <w:t xml:space="preserve"> </w:t>
      </w:r>
      <w:r>
        <w:t xml:space="preserve">computed by a nonparametric bootstrap, using a</w:t>
      </w:r>
      <w:r>
        <w:t xml:space="preserve"> </w:t>
      </w:r>
      <w:r>
        <w:rPr>
          <w:i/>
          <w:iCs/>
        </w:rPr>
        <w:t xml:space="preserve">datapoint-clustered</w:t>
      </w:r>
      <w:r>
        <w:t xml:space="preserve"> </w:t>
      </w:r>
      <w:r>
        <w:t xml:space="preserve">resample wherever observations are nested</w:t>
      </w:r>
      <w:r>
        <w:t xml:space="preserve"> </w:t>
      </w:r>
      <w:r>
        <w:t xml:space="preserve">(multiple student responses per item), and across the family of correlation tests we control the false-discovery rate</w:t>
      </w:r>
      <w:r>
        <w:t xml:space="preserve"> </w:t>
      </w:r>
      <w:r>
        <w:t xml:space="preserve">with the Benjamini–Hochberg procedure (</w:t>
      </w:r>
      <m:oMath>
        <m:r>
          <m:t>α</m:t>
        </m:r>
        <m:r>
          <m:rPr>
            <m:sty m:val="p"/>
          </m:rPr>
          <m:t>=</m:t>
        </m:r>
        <m:r>
          <m:t>0.05</m:t>
        </m:r>
      </m:oMath>
      <w:r>
        <w:t xml:space="preserve">). The complete configuration (model identifiers,</w:t>
      </w:r>
      <w:r>
        <w:t xml:space="preserve"> </w:t>
      </w:r>
      <w:r>
        <w:t xml:space="preserve">attribute strata, and prompts) is captured in a single declarative configuration file, and all artifacts are regenerable</w:t>
      </w:r>
      <w:r>
        <w:t xml:space="preserve"> </w:t>
      </w:r>
      <w:r>
        <w:t xml:space="preserve">from that specification. The full study produced</w:t>
      </w:r>
      <w:r>
        <w:t xml:space="preserve"> </w:t>
      </w:r>
      <w:r>
        <w:rPr>
          <w:b/>
          <w:bCs/>
        </w:rPr>
        <w:t xml:space="preserve">7,978 valid evaluations</w:t>
      </w:r>
      <w:r>
        <w:t xml:space="preserve"> </w:t>
      </w:r>
      <w:r>
        <w:t xml:space="preserve">across the four tasks.</w:t>
      </w:r>
    </w:p>
    <w:p>
      <w:pPr>
        <w:pStyle w:val="TableCaption"/>
        <w:spacing w:before="120" w:after="60" w:line="240" w:lineRule="auto"/>
        <w:jc w:val="center"/>
        <w:keepNext/>
        <w:keepLines/>
        <w:widowControl w:val="1"/>
      </w:pPr>
      <w:r>
        <w:rPr>
          <w:b/>
          <w:bCs/>
        </w:rPr>
        <w:t xml:space="preserve">Table 1.</w:t>
      </w:r>
      <w:r>
        <w:t xml:space="preserve"> </w:t>
      </w:r>
      <w:r>
        <w:t xml:space="preserve">Experimental configurations. Judge panels differ by experiment because the</w:t>
      </w:r>
      <w:r>
        <w:t xml:space="preserve"> </w:t>
      </w:r>
      <w:r>
        <w:t xml:space="preserve">ground-truth anchor (5.1) uses a frontier cross-family panel while the bias and reliability studies (5.2–5.3)</w:t>
      </w:r>
      <w:r>
        <w:t xml:space="preserve"> </w:t>
      </w:r>
      <w:r>
        <w:t xml:space="preserve">use a deliberately heterogeneous panel that includes weak open-weight judges; the verticals (5.4, 5.8) reuse one</w:t>
      </w:r>
      <w:r>
        <w:t xml:space="preserve"> </w:t>
      </w:r>
      <w:r>
        <w:t xml:space="preserve">fixed cross-family panel. All students are gpt-4o-mini, gpt-3.5-turbo, and llama-3.2-3b unless noted.</w:t>
      </w:r>
    </w:p>
    <w:tbl>
      <w:tblPr>
        <w:tblStyle w:val="Table"/>
        <w:tblW w:type="pct" w:w="5000"/>
        <w:jc w:val="center"/>
        <w:tblLook w:firstRow="1" w:lastRow="0" w:firstColumn="0" w:lastColumn="0" w:noHBand="0" w:noVBand="0" w:val="0020"/>
        <w:tblCaption w:val="Table 1. Experimental configurations. Judge panels differ by experiment because the ground-truth anchor (5.1) uses a frontier cross-family panel while the bias and reliability studies (5.2–5.3) use a deliberately heterogeneous panel that includes weak open-weight judges; the verticals (5.4, 5.8) reuse one fixed cross-family panel. All students are gpt-4o-mini, gpt-3.5-turbo, and llama-3.2-3b unless noted."/>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Experiment</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Task(s)</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Judge panel</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Size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5.1 ground truth</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SciQ, ARC (exact-match QA)</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gpt-4o, claude-sonnet-4, gemini-2.5-flash</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191 items / 573 resp.</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5.1–5.2 benchmark-grounded</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code (BLEU), news + text summ. (BERTScore)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gpt-4o-mini, gpt-3.5-turbo, claude-haiku, gemini-flash</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3 tasks / 900 resp.</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5.2–5.3, App. B</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4-task medium study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gpt-4o-mini, gpt-3.5-turbo, qwen2.5-1.5b, smollm2-1.7b</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7,978 eval.</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5.4, 5.7 verticals</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drug-interaction, clinical, legal</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claude-haiku, gemini-flash, gpt-4o-mini</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40 items each</w:t>
            </w:r>
          </w:p>
        </w:tc>
      </w:tr>
      <w:tr>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5.5 contamination</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SciQ memorization</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exact-match (no LLM judge)</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200 memorized / 100 fresh</w:t>
            </w:r>
          </w:p>
        </w:tc>
      </w:tr>
    </w:tbl>
    <w:p>
      <w:pPr>
        <w:sectPr w:rsidR="00FC693F" w:rsidRPr="0006063C" w:rsidSect="00034616">
          <w:type w:val="continuous"/>
          <w:pgSz w:h="15840" w:w="12240"/>
          <w:pgMar w:bottom="1080" w:footer="720" w:gutter="0" w:header="720" w:left="1080" w:right="1080" w:top="1080"/>
          <w:cols w:num="1" w:space="288"/>
          <w:docGrid w:linePitch="360"/>
        </w:sectPr>
      </w:pPr>
    </w:p>
    <w:bookmarkEnd w:id="23"/>
    <w:bookmarkStart w:id="40" w:name="results"/>
    <w:p>
      <w:pPr>
        <w:pStyle w:val="Heading2"/>
        <w:keepNext/>
        <w:keepLines/>
        <w:widowControl w:val="1"/>
      </w:pPr>
      <w:r>
        <w:t xml:space="preserve">5. Results</w:t>
      </w:r>
    </w:p>
    <w:p>
      <w:pPr>
        <w:pStyle w:val="FirstParagraph"/>
        <w:jc w:val="both"/>
        <w:keepNext w:val="0"/>
        <w:keepLines w:val="0"/>
        <w:widowControl w:val="1"/>
      </w:pPr>
      <w:r>
        <w:t xml:space="preserve">Our experiments answer one question:</w:t>
      </w:r>
      <w:r>
        <w:t xml:space="preserve"> </w:t>
      </w:r>
      <w:r>
        <w:rPr>
          <w:i/>
          <w:iCs/>
        </w:rPr>
        <w:t xml:space="preserve">does CoEval reliably rank models for a use case when one cannot use a</w:t>
      </w:r>
      <w:r>
        <w:rPr>
          <w:i/>
          <w:iCs/>
        </w:rPr>
        <w:t xml:space="preserve"> </w:t>
      </w:r>
      <w:r>
        <w:rPr>
          <w:i/>
          <w:iCs/>
        </w:rPr>
        <w:t xml:space="preserve">standard benchmark?</w:t>
      </w:r>
      <w:r>
        <w:t xml:space="preserve"> </w:t>
      </w:r>
      <w:r>
        <w:t xml:space="preserve">We organize the evidence accordingly. Section 5.1 establishes that CoEval's label-free</w:t>
      </w:r>
      <w:r>
        <w:t xml:space="preserve"> </w:t>
      </w:r>
      <w:r>
        <w:t xml:space="preserve">scores are</w:t>
      </w:r>
      <w:r>
        <w:t xml:space="preserve"> </w:t>
      </w:r>
      <w:r>
        <w:rPr>
          <w:i/>
          <w:iCs/>
        </w:rPr>
        <w:t xml:space="preserve">trustworthy</w:t>
      </w:r>
      <w:r>
        <w:t xml:space="preserve">: they track objective ground truth (</w:t>
      </w:r>
      <m:oMath>
        <m:r>
          <m:t>ρ</m:t>
        </m:r>
        <m:r>
          <m:rPr>
            <m:sty m:val="p"/>
          </m:rPr>
          <m:t>=</m:t>
        </m:r>
        <m:r>
          <m:t>0.86</m:t>
        </m:r>
      </m:oMath>
      <w:r>
        <w:t xml:space="preserve">) and reproduce the true model</w:t>
      </w:r>
      <w:r>
        <w:t xml:space="preserve"> </w:t>
      </w:r>
      <w:r>
        <w:t xml:space="preserve">ranking (Table 3), benchmarked against a single-judge G-Eval baseline. Sections 5.2–5.4 explain</w:t>
      </w:r>
      <w:r>
        <w:t xml:space="preserve"> </w:t>
      </w:r>
      <w:r>
        <w:rPr>
          <w:i/>
          <w:iCs/>
        </w:rPr>
        <w:t xml:space="preserve">why</w:t>
      </w:r>
      <w:r>
        <w:t xml:space="preserve"> </w:t>
      </w:r>
      <w:r>
        <w:t xml:space="preserve">the judging is reliable with no human calibration: a cross-family ensemble whose composition (not size)</w:t>
      </w:r>
      <w:r>
        <w:t xml:space="preserve"> </w:t>
      </w:r>
      <w:r>
        <w:t xml:space="preserve">governs reliability (5.2), which cancels the verbosity bias every single judge carries (5.3) and structurally avoids</w:t>
      </w:r>
      <w:r>
        <w:t xml:space="preserve"> </w:t>
      </w:r>
      <w:r>
        <w:t xml:space="preserve">self-preference (5.4); the auto-generated rubrics are themselves task-specialized with a shared quality core</w:t>
      </w:r>
      <w:r>
        <w:t xml:space="preserve"> </w:t>
      </w:r>
      <w:r>
        <w:t xml:space="preserve">(</w:t>
      </w:r>
      <w:hyperlink w:anchor="appB">
        <w:r>
          <w:rPr>
            <w:rStyle w:val="Hyperlink"/>
          </w:rPr>
          <w:t xml:space="preserve">Appendix B</w:t>
        </w:r>
      </w:hyperlink>
      <w:r>
        <w:t xml:space="preserve">). Section 5.5 verifies the second condition</w:t>
      </w:r>
      <w:r>
        <w:t xml:space="preserve"> </w:t>
      </w:r>
      <w:r>
        <w:t xml:space="preserve">directly, that the generated items are</w:t>
      </w:r>
      <w:r>
        <w:t xml:space="preserve"> </w:t>
      </w:r>
      <w:r>
        <w:rPr>
          <w:i/>
          <w:iCs/>
        </w:rPr>
        <w:t xml:space="preserve">contamination-free</w:t>
      </w:r>
      <w:r>
        <w:t xml:space="preserve">, and Section 5.5 shows the process is cheap enough to re-run per use case. Section 5.7 exercises the complete tool on three custom verticals (drug interaction, clinical, legal) with no labeled data.</w:t>
      </w:r>
    </w:p>
    <w:bookmarkStart w:id="27" w:name="ground-truth-correlation"/>
    <w:p>
      <w:pPr>
        <w:pStyle w:val="Heading3"/>
        <w:keepNext/>
        <w:keepLines/>
        <w:widowControl w:val="1"/>
      </w:pPr>
      <w:r>
        <w:t xml:space="preserve">5.1 Ground-truth correlation</w:t>
      </w:r>
    </w:p>
    <w:p>
      <w:pPr>
        <w:pStyle w:val="FirstParagraph"/>
        <w:jc w:val="both"/>
        <w:sectPr w:rsidR="00FC693F" w:rsidRPr="0006063C" w:rsidSect="00034616">
          <w:type w:val="continuous"/>
          <w:pgSz w:h="15840" w:w="12240"/>
          <w:pgMar w:bottom="1080" w:footer="720" w:gutter="0" w:header="720" w:left="1080" w:right="1080" w:top="1080"/>
          <w:cols w:num="2" w:space="288" w:equalWidth="1"/>
          <w:docGrid w:linePitch="360"/>
        </w:sectPr>
        <w:keepNext w:val="0"/>
        <w:keepLines w:val="0"/>
        <w:widowControl w:val="1"/>
      </w:pPr>
      <w:r>
        <w:t xml:space="preserve">To ground CoEval scores against an objective signal, we evaluate on exact-match question answering, where ground</w:t>
      </w:r>
      <w:r>
        <w:t xml:space="preserve"> </w:t>
      </w:r>
      <w:r>
        <w:t xml:space="preserve">truth is unambiguous. SciQ and ARC-Challenge responses (task identifiers</w:t>
      </w:r>
      <w:r>
        <w:t xml:space="preserve"> </w:t>
      </w:r>
      <w:r>
        <w:rPr>
          <w:rStyle w:val="VerbatimChar"/>
        </w:rPr>
        <w:t xml:space="preserve">science_qa</w:t>
      </w:r>
      <w:r>
        <w:t xml:space="preserve"> </w:t>
      </w:r>
      <w:r>
        <w:t xml:space="preserve">and</w:t>
      </w:r>
      <w:r>
        <w:t xml:space="preserve"> </w:t>
      </w:r>
      <w:r>
        <w:rPr>
          <w:rStyle w:val="VerbatimChar"/>
        </w:rPr>
        <w:t xml:space="preserve">science_reasoning</w:t>
      </w:r>
      <w:r>
        <w:t xml:space="preserve">;</w:t>
      </w:r>
      <w:r>
        <w:t xml:space="preserve"> </w:t>
      </w:r>
      <m:oMath>
        <m:r>
          <m:t>n</m:t>
        </m:r>
        <m:r>
          <m:rPr>
            <m:sty m:val="p"/>
          </m:rPr>
          <m:t>=</m:t>
        </m:r>
        <m:r>
          <m:t>573</m:t>
        </m:r>
      </m:oMath>
      <w:r>
        <w:t xml:space="preserve"> </w:t>
      </w:r>
      <w:r>
        <w:t xml:space="preserve">from three student models over</w:t>
      </w:r>
      <w:r>
        <w:t xml:space="preserve"> </w:t>
      </w:r>
      <m:oMath>
        <m:r>
          <m:t>191</m:t>
        </m:r>
      </m:oMath>
      <w:r>
        <w:t xml:space="preserve"> </w:t>
      </w:r>
      <w:r>
        <w:t xml:space="preserve">datapoints)</w:t>
      </w:r>
      <w:r>
        <w:t xml:space="preserve"> </w:t>
      </w:r>
      <w:r>
        <w:t xml:space="preserve">are scored both by the CoEval judge ensemble and by exact-match correctness. We correlate the rubric's</w:t>
      </w:r>
      <w:r>
        <w:t xml:space="preserve"> </w:t>
      </w:r>
      <w:r>
        <w:rPr>
          <w:i/>
          <w:iCs/>
        </w:rPr>
        <w:t xml:space="preserve">accuracy</w:t>
      </w:r>
      <w:r>
        <w:t xml:space="preserve"> </w:t>
      </w:r>
      <w:r>
        <w:t xml:space="preserve">dimension, declared</w:t>
      </w:r>
      <w:r>
        <w:t xml:space="preserve"> </w:t>
      </w:r>
      <w:r>
        <w:rPr>
          <w:i/>
          <w:iCs/>
        </w:rPr>
        <w:t xml:space="preserve">a priori</w:t>
      </w:r>
      <w:r>
        <w:t xml:space="preserve"> </w:t>
      </w:r>
      <w:r>
        <w:t xml:space="preserve">as the construct matching correctness, independent of any observed</w:t>
      </w:r>
      <w:r>
        <w:t xml:space="preserve"> </w:t>
      </w:r>
      <w:r>
        <w:t xml:space="preserve">correlation, with ground truth; for transparency we also report the off-target</w:t>
      </w:r>
      <w:r>
        <w:t xml:space="preserve"> </w:t>
      </w:r>
      <w:r>
        <w:rPr>
          <w:i/>
          <w:iCs/>
        </w:rPr>
        <w:t xml:space="preserve">relevance</w:t>
      </w:r>
      <w:r>
        <w:t xml:space="preserve"> </w:t>
      </w:r>
      <w:r>
        <w:t xml:space="preserve">dimension</w:t>
      </w:r>
      <w:r>
        <w:t xml:space="preserve"> </w:t>
      </w:r>
      <w:r>
        <w:t xml:space="preserve">(</w:t>
      </w:r>
      <m:oMath>
        <m:r>
          <m:t>ρ</m:t>
        </m:r>
        <m:r>
          <m:rPr>
            <m:sty m:val="p"/>
          </m:rPr>
          <m:t>=</m:t>
        </m:r>
        <m:r>
          <m:t>0.28</m:t>
        </m:r>
      </m:oMath>
      <w:r>
        <w:t xml:space="preserve">) and the full-rubric average (</w:t>
      </w:r>
      <m:oMath>
        <m:r>
          <m:t>ρ</m:t>
        </m:r>
        <m:r>
          <m:rPr>
            <m:sty m:val="p"/>
          </m:rPr>
          <m:t>=</m:t>
        </m:r>
        <m:r>
          <m:t>0.57</m:t>
        </m:r>
      </m:oMath>
      <w:r>
        <w:t xml:space="preserve">), on which a construct-matched evaluator should, and does,</w:t>
      </w:r>
      <w:r>
        <w:t xml:space="preserve"> </w:t>
      </w:r>
      <w:r>
        <w:t xml:space="preserve">score lower. The judge panel is a frontier cross-family ensemble:</w:t>
      </w:r>
      <w:r>
        <w:t xml:space="preserve"> </w:t>
      </w:r>
      <w:r>
        <w:rPr>
          <w:rStyle w:val="VerbatimChar"/>
        </w:rPr>
        <w:t xml:space="preserve">gpt-4o</w:t>
      </w:r>
      <w:r>
        <w:t xml:space="preserve"> </w:t>
      </w:r>
      <w:r>
        <w:t xml:space="preserve">(OpenAI),</w:t>
      </w:r>
      <w:r>
        <w:t xml:space="preserve"> </w:t>
      </w:r>
      <w:r>
        <w:rPr>
          <w:rStyle w:val="VerbatimChar"/>
        </w:rPr>
        <w:t xml:space="preserve">claude-sonnet-4</w:t>
      </w:r>
      <w:r>
        <w:t xml:space="preserve"> </w:t>
      </w:r>
      <w:r>
        <w:t xml:space="preserve">(Anthropic), and</w:t>
      </w:r>
      <w:r>
        <w:t xml:space="preserve"> </w:t>
      </w:r>
      <w:r>
        <w:rPr>
          <w:rStyle w:val="VerbatimChar"/>
        </w:rPr>
        <w:t xml:space="preserve">gemini-2.5-flash</w:t>
      </w:r>
      <w:r>
        <w:t xml:space="preserve"> </w:t>
      </w:r>
      <w:r>
        <w:t xml:space="preserve">(Google). Confidence intervals use a</w:t>
      </w:r>
      <w:r>
        <w:t xml:space="preserve"> </w:t>
      </w:r>
      <w:r>
        <w:rPr>
          <w:i/>
          <w:iCs/>
        </w:rPr>
        <w:t xml:space="preserve">datapoint-clustered</w:t>
      </w:r>
      <w:r>
        <w:t xml:space="preserve"> </w:t>
      </w:r>
      <w:r>
        <w:t xml:space="preserve">bootstrap (resampling the</w:t>
      </w:r>
      <w:r>
        <w:t xml:space="preserve"> </w:t>
      </w:r>
      <m:oMath>
        <m:r>
          <m:t>191</m:t>
        </m:r>
      </m:oMath>
      <w:r>
        <w:t xml:space="preserve"> </w:t>
      </w:r>
      <w:r>
        <w:t xml:space="preserve">items rather than the</w:t>
      </w:r>
      <w:r>
        <w:t xml:space="preserve"> </w:t>
      </w:r>
      <m:oMath>
        <m:r>
          <m:t>573</m:t>
        </m:r>
      </m:oMath>
      <w:r>
        <w:t xml:space="preserve"> </w:t>
      </w:r>
      <w:r>
        <w:t xml:space="preserve">dependent responses), so</w:t>
      </w:r>
      <w:r>
        <w:t xml:space="preserve"> </w:t>
      </w:r>
      <w:r>
        <w:t xml:space="preserve">within-item and repeated-rater dependence are not mistaken for precision. These QA items are sourced from public</w:t>
      </w:r>
      <w:r>
        <w:t xml:space="preserve"> </w:t>
      </w:r>
      <w:r>
        <w:t xml:space="preserve">datasets through the benchmark teacher; the contamination-free property of Section 3.2 applies to CoEval's</w:t>
      </w:r>
      <w:r>
        <w:t xml:space="preserve"> </w:t>
      </w:r>
      <w:r>
        <w:rPr>
          <w:i/>
          <w:iCs/>
        </w:rPr>
        <w:t xml:space="preserve">generated</w:t>
      </w:r>
      <w:r>
        <w:t xml:space="preserve"> </w:t>
      </w:r>
      <w:r>
        <w:t xml:space="preserve">items, not to this externally-anchored validation, which isolates judge accuracy.</w:t>
      </w:r>
    </w:p>
    <w:p>
      <w:pPr>
        <w:pStyle w:val="TableCaption"/>
        <w:spacing w:before="120" w:after="60" w:line="240" w:lineRule="auto"/>
        <w:jc w:val="center"/>
        <w:keepNext/>
        <w:keepLines/>
        <w:widowControl w:val="1"/>
      </w:pPr>
      <w:r>
        <w:rPr>
          <w:b/>
          <w:bCs/>
        </w:rPr>
        <w:t xml:space="preserve">Table 2.</w:t>
      </w:r>
      <w:r>
        <w:t xml:space="preserve"> </w:t>
      </w:r>
      <w:r>
        <w:t xml:space="preserve">Spearman correlation of CoEval accuracy scores with ground-truth correctness on</w:t>
      </w:r>
      <w:r>
        <w:t xml:space="preserve"> </w:t>
      </w:r>
      <w:r>
        <w:t xml:space="preserve">exact-match QA (SciQ, ARC-Challenge;</w:t>
      </w:r>
      <w:r>
        <w:t xml:space="preserve"> </w:t>
      </w:r>
      <m:oMath>
        <m:r>
          <m:t>191</m:t>
        </m:r>
      </m:oMath>
      <w:r>
        <w:t xml:space="preserve"> </w:t>
      </w:r>
      <w:r>
        <w:t xml:space="preserve">datapoints,</w:t>
      </w:r>
      <w:r>
        <w:t xml:space="preserve"> </w:t>
      </w:r>
      <m:oMath>
        <m:r>
          <m:t>573</m:t>
        </m:r>
      </m:oMath>
      <w:r>
        <w:t xml:space="preserve"> </w:t>
      </w:r>
      <w:r>
        <w:t xml:space="preserve">responses; datapoint-clustered 95% bootstrap CI). The</w:t>
      </w:r>
      <w:r>
        <w:t xml:space="preserve"> </w:t>
      </w:r>
      <w:r>
        <w:t xml:space="preserve">frontier cross-family ensemble tracks ground truth at</w:t>
      </w:r>
      <w:r>
        <w:t xml:space="preserve"> </w:t>
      </w:r>
      <m:oMath>
        <m:r>
          <m:t>ρ</m:t>
        </m:r>
        <m:r>
          <m:rPr>
            <m:sty m:val="p"/>
          </m:rPr>
          <m:t>=</m:t>
        </m:r>
        <m:r>
          <m:t>0.86</m:t>
        </m:r>
      </m:oMath>
      <w:r>
        <w:t xml:space="preserve">. The three frontier judges agree on every item;</w:t>
      </w:r>
      <w:r>
        <w:t xml:space="preserve"> </w:t>
      </w:r>
      <w:r>
        <w:t xml:space="preserve">crucially, the weaker auxiliary judges they are contrasted against (Section 5.2) disagree on</w:t>
      </w:r>
      <w:r>
        <w:t xml:space="preserve"> </w:t>
      </w:r>
      <m:oMath>
        <m:r>
          <m:t>3</m:t>
        </m:r>
      </m:oMath>
      <w:r>
        <w:t xml:space="preserve">–</w:t>
      </w:r>
      <m:oMath>
        <m:r>
          <m:t>8</m:t>
        </m:r>
      </m:oMath>
      <w:r>
        <w:t xml:space="preserve"> </w:t>
      </w:r>
      <w:r>
        <w:t xml:space="preserve">items, confirming this is genuine independent convergence of capable judges on objective correctness, not redundancy</w:t>
      </w:r>
      <w:r>
        <w:t xml:space="preserve"> </w:t>
      </w:r>
      <w:r>
        <w:t xml:space="preserve">of identical models.</w:t>
      </w:r>
    </w:p>
    <w:tbl>
      <w:tblPr>
        <w:tblStyle w:val="Table"/>
        <w:tblW w:type="pct" w:w="5000"/>
        <w:jc w:val="center"/>
        <w:tblLook w:firstRow="1" w:lastRow="0" w:firstColumn="0" w:lastColumn="0" w:noHBand="0" w:noVBand="0" w:val="0020"/>
        <w:tblCaption w:val="Table 2. Spearman correlation of CoEval accuracy scores with ground-truth correctness on exact-match QA (SciQ, ARC-Challenge; 191 datapoints, 573 responses; datapoint-clustered 95% bootstrap CI). The frontier cross-family ensemble tracks ground truth at \rho = 0.86. The three frontier judges agree on every item; crucially, the weaker auxiliary judges they are contrasted against (Section 5.2) disagree on 3–8 items, confirming this is genuine independent convergence of capable judges on objective correctness, not redundancy of identical model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Evaluator</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SciQ</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ARC-Challenge</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Overall (clustered CI)</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CoEval frontier ensemble</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+0.669</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+0.882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+0.859</w:t>
            </w:r>
            <w:r>
              <w:rPr>
                <w:rFonts w:ascii="Times New Roman" w:hAnsi="Times New Roman"/>
                <w:sz w:val="20"/>
              </w:rPr>
              <w:t xml:space="preserve"> </w:t>
            </w:r>
            <w:r>
              <w:rPr>
                <w:rFonts w:ascii="Times New Roman" w:hAnsi="Times New Roman"/>
                <w:sz w:val="20"/>
              </w:rPr>
              <w:t xml:space="preserve">[0.77, 0.94]</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  gpt-4o (OpenAI)</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+0.669</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+0.882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+0.859</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  claude-sonnet-4 (Anthropic)</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+0.669</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+0.882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+0.859</w:t>
            </w:r>
          </w:p>
        </w:tc>
      </w:tr>
      <w:tr>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  gemini-2.5-flash (Google)</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+0.669</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+0.882</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+0.859</w:t>
            </w:r>
          </w:p>
        </w:tc>
      </w:tr>
    </w:tbl>
    <w:p>
      <w:p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On objective correctness the frontier ensemble reaches</w:t>
      </w:r>
      <w:r>
        <w:t xml:space="preserve"> </w:t>
      </w:r>
      <m:oMath>
        <m:r>
          <m:t>ρ</m:t>
        </m:r>
        <m:r>
          <m:rPr>
            <m:sty m:val="p"/>
          </m:rPr>
          <m:t>=</m:t>
        </m:r>
        <m:r>
          <m:t>0.859</m:t>
        </m:r>
      </m:oMath>
      <w:r>
        <w:t xml:space="preserve"> </w:t>
      </w:r>
      <w:r>
        <w:t xml:space="preserve">(datapoint-clustered 95% CI</w:t>
      </w:r>
      <w:r>
        <w:t xml:space="preserve"> </w:t>
      </w:r>
      <m:oMath>
        <m:r>
          <m:rPr>
            <m:sty m:val="p"/>
          </m:rPr>
          <m:t>[</m:t>
        </m:r>
        <m:r>
          <m:t>0.77</m:t>
        </m:r>
        <m:r>
          <m:rPr>
            <m:sty m:val="p"/>
          </m:rPr>
          <m:t>,</m:t>
        </m:r>
        <m:r>
          <m:t>0.94</m:t>
        </m:r>
        <m:r>
          <m:rPr>
            <m:sty m:val="p"/>
          </m:rPr>
          <m:t>]</m:t>
        </m:r>
      </m:oMath>
      <w:r>
        <w:t xml:space="preserve">).</w:t>
      </w:r>
      <w:r>
        <w:t xml:space="preserve"> </w:t>
      </w:r>
      <w:r>
        <w:t xml:space="preserve">Because correctness is objective, the three frontier judges converge on identical labels, so the ensemble matches its</w:t>
      </w:r>
      <w:r>
        <w:t xml:space="preserve"> </w:t>
      </w:r>
      <w:r>
        <w:t xml:space="preserve">strongest member: the experiment establishes that CoEval judges are</w:t>
      </w:r>
      <w:r>
        <w:t xml:space="preserve"> </w:t>
      </w:r>
      <w:r>
        <w:rPr>
          <w:i/>
          <w:iCs/>
        </w:rPr>
        <w:t xml:space="preserve">accurate</w:t>
      </w:r>
      <w:r>
        <w:t xml:space="preserve"> </w:t>
      </w:r>
      <w:r>
        <w:t xml:space="preserve">and that the result is</w:t>
      </w:r>
      <w:r>
        <w:t xml:space="preserve"> </w:t>
      </w:r>
      <w:r>
        <w:rPr>
          <w:i/>
          <w:iCs/>
        </w:rPr>
        <w:t xml:space="preserve">vendor-independent</w:t>
      </w:r>
      <w:r>
        <w:t xml:space="preserve">: no single provider drives it. On open-ended summarization scored against a lexical</w:t>
      </w:r>
      <w:r>
        <w:t xml:space="preserve"> </w:t>
      </w:r>
      <w:r>
        <w:t xml:space="preserve">BERTScore reference, the cross-family ensemble (</w:t>
      </w:r>
      <m:oMath>
        <m:r>
          <m:t>ρ</m:t>
        </m:r>
        <m:r>
          <m:rPr>
            <m:sty m:val="p"/>
          </m:rPr>
          <m:t>=</m:t>
        </m:r>
        <m:r>
          <m:t>0.227</m:t>
        </m:r>
      </m:oMath>
      <w:r>
        <w:t xml:space="preserve">) tracks ground truth on par with a single GPT-4o</w:t>
      </w:r>
      <w:r>
        <w:t xml:space="preserve"> </w:t>
      </w:r>
      <w:r>
        <w:rPr>
          <w:b/>
          <w:bCs/>
        </w:rPr>
        <w:t xml:space="preserve">G-Eval</w:t>
      </w:r>
      <w:r>
        <w:t xml:space="preserve"> </w:t>
      </w:r>
      <w:r>
        <w:t xml:space="preserve">[</w:t>
      </w:r>
      <w:hyperlink w:anchor="r2">
        <w:r>
          <w:rPr>
            <w:rStyle w:val="Hyperlink"/>
          </w:rPr>
          <w:t xml:space="preserve">2</w:t>
        </w:r>
      </w:hyperlink>
      <w:r>
        <w:t xml:space="preserve">] judge using chain-of-thought (</w:t>
      </w:r>
      <m:oMath>
        <m:r>
          <m:t>ρ</m:t>
        </m:r>
        <m:r>
          <m:rPr>
            <m:sty m:val="p"/>
          </m:rPr>
          <m:t>=</m:t>
        </m:r>
        <m:r>
          <m:t>0.259</m:t>
        </m:r>
      </m:oMath>
      <w:r>
        <w:t xml:space="preserve">, 95% CI</w:t>
      </w:r>
      <w:r>
        <w:t xml:space="preserve"> </w:t>
      </w:r>
      <m:oMath>
        <m:r>
          <m:rPr>
            <m:sty m:val="p"/>
          </m:rPr>
          <m:t>[</m:t>
        </m:r>
        <m:r>
          <m:t>0.18</m:t>
        </m:r>
        <m:r>
          <m:rPr>
            <m:sty m:val="p"/>
          </m:rPr>
          <m:t>,</m:t>
        </m:r>
        <m:r>
          <m:t>0.33</m:t>
        </m:r>
        <m:r>
          <m:rPr>
            <m:sty m:val="p"/>
          </m:rPr>
          <m:t>]</m:t>
        </m:r>
      </m:oMath>
      <w:r>
        <w:t xml:space="preserve">,</w:t>
      </w:r>
      <w:r>
        <w:t xml:space="preserve"> </w:t>
      </w:r>
      <m:oMath>
        <m:r>
          <m:t>n</m:t>
        </m:r>
        <m:r>
          <m:rPr>
            <m:sty m:val="p"/>
          </m:rPr>
          <m:t>=</m:t>
        </m:r>
        <m:r>
          <m:t>580</m:t>
        </m:r>
      </m:oMath>
      <w:r>
        <w:t xml:space="preserve">), matching this strong single-judge baseline without depending on any one model. A single judge</w:t>
      </w:r>
      <w:r>
        <w:t xml:space="preserve"> </w:t>
      </w:r>
      <w:r>
        <w:t xml:space="preserve">is a gamble one cannot hedge in advance: on this task the panel's individual judges range from anti-correlated</w:t>
      </w:r>
      <w:r>
        <w:t xml:space="preserve"> </w:t>
      </w:r>
      <w:r>
        <w:t xml:space="preserve">(</w:t>
      </w:r>
      <w:r>
        <w:rPr>
          <w:rStyle w:val="VerbatimChar"/>
        </w:rPr>
        <w:t xml:space="preserve">gpt-3.5-turbo</w:t>
      </w:r>
      <w:r>
        <w:t xml:space="preserve">,</w:t>
      </w:r>
      <w:r>
        <w:t xml:space="preserve"> </w:t>
      </w:r>
      <m:oMath>
        <m:r>
          <m:t>ρ</m:t>
        </m:r>
        <m:r>
          <m:rPr>
            <m:sty m:val="p"/>
          </m:rPr>
          <m:t>=</m:t>
        </m:r>
        <m:r>
          <m:rPr>
            <m:sty m:val="p"/>
          </m:rPr>
          <m:t>−</m:t>
        </m:r>
        <m:r>
          <m:t>0.01</m:t>
        </m:r>
      </m:oMath>
      <w:r>
        <w:t xml:space="preserve">) to</w:t>
      </w:r>
      <w:r>
        <w:t xml:space="preserve"> </w:t>
      </w:r>
      <m:oMath>
        <m:r>
          <m:t>ρ</m:t>
        </m:r>
        <m:r>
          <m:rPr>
            <m:sty m:val="p"/>
          </m:rPr>
          <m:t>=</m:t>
        </m:r>
        <m:r>
          <m:t>0.25</m:t>
        </m:r>
      </m:oMath>
      <w:r>
        <w:t xml:space="preserve">, and which judge is best changes by task, so no fixed</w:t>
      </w:r>
      <w:r>
        <w:t xml:space="preserve"> </w:t>
      </w:r>
      <w:r>
        <w:t xml:space="preserve">single-judge choice is safe a priori (Section 5.2 quantifies this judge-choice regret across the full</w:t>
      </w:r>
      <w:r>
        <w:t xml:space="preserve"> </w:t>
      </w:r>
      <w:r>
        <w:t xml:space="preserve">benchmark-grounded set). The cross-family ensemble is the low-regret alternative: it is never</w:t>
      </w:r>
      <w:r>
        <w:t xml:space="preserve"> </w:t>
      </w:r>
      <w:r>
        <w:t xml:space="preserve">anti-correlated and needs no judge-selection oracle. The ensemble's</w:t>
      </w:r>
      <w:r>
        <w:t xml:space="preserve"> </w:t>
      </w:r>
      <w:r>
        <w:t xml:space="preserve">decisive advantage on such open-ended tasks is</w:t>
      </w:r>
      <w:r>
        <w:t xml:space="preserve"> </w:t>
      </w:r>
      <w:r>
        <w:rPr>
          <w:i/>
          <w:iCs/>
        </w:rPr>
        <w:t xml:space="preserve">bias-robustness</w:t>
      </w:r>
      <w:r>
        <w:t xml:space="preserve">: individual judges carry verbosity biases of</w:t>
      </w:r>
      <w:r>
        <w:t xml:space="preserve"> </w:t>
      </w:r>
      <w:r>
        <w:t xml:space="preserve">opposite sign that the ensemble provably cancels (Section 5.3), paired with the contamination-resistant items</w:t>
      </w:r>
      <w:r>
        <w:t xml:space="preserve"> </w:t>
      </w:r>
      <w:r>
        <w:t xml:space="preserve">CoEval</w:t>
      </w:r>
      <w:r>
        <w:t xml:space="preserve"> </w:t>
      </w:r>
      <w:r>
        <w:rPr>
          <w:i/>
          <w:iCs/>
        </w:rPr>
        <w:t xml:space="preserve">generates</w:t>
      </w:r>
      <w:r>
        <w:t xml:space="preserve"> </w:t>
      </w:r>
      <w:r>
        <w:t xml:space="preserve">rather than consumes; these are properties no single judge provides.</w:t>
      </w:r>
    </w:p>
    <w:p>
      <w:pPr>
        <w:pStyle w:val="BodyText"/>
        <w:jc w:val="both"/>
        <w:sectPr w:rsidR="00FC693F" w:rsidRPr="0006063C" w:rsidSect="00034616">
          <w:type w:val="continuous"/>
          <w:pgSz w:h="15840" w:w="12240"/>
          <w:pgMar w:bottom="1080" w:footer="720" w:gutter="0" w:header="720" w:left="1080" w:right="1080" w:top="1080"/>
          <w:cols w:num="2" w:space="288" w:equalWidth="1"/>
          <w:docGrid w:linePitch="360"/>
        </w:sectPr>
        <w:keepNext w:val="0"/>
        <w:keepLines w:val="0"/>
        <w:widowControl w:val="1"/>
      </w:pPr>
      <w:r>
        <w:t xml:space="preserve">Evaluation is a means to an end,</w:t>
      </w:r>
      <w:r>
        <w:t xml:space="preserve"> </w:t>
      </w:r>
      <w:r>
        <w:rPr>
          <w:i/>
          <w:iCs/>
        </w:rPr>
        <w:t xml:space="preserve">ranking</w:t>
      </w:r>
      <w:r>
        <w:t xml:space="preserve"> </w:t>
      </w:r>
      <w:r>
        <w:t xml:space="preserve">candidate models for a use case, so we verify that CoEval</w:t>
      </w:r>
      <w:r>
        <w:t xml:space="preserve"> </w:t>
      </w:r>
      <w:r>
        <w:t xml:space="preserve">scores yield the correct ranking. Figure 2 and Table 3 rank the three student models by their CoEval frontier-ensemble</w:t>
      </w:r>
      <w:r>
        <w:t xml:space="preserve"> </w:t>
      </w:r>
      <w:r>
        <w:t xml:space="preserve">accuracy score and, independently, by ground-truth correctness. The two rankings are</w:t>
      </w:r>
      <w:r>
        <w:t xml:space="preserve"> </w:t>
      </w:r>
      <w:r>
        <w:rPr>
          <w:b/>
          <w:bCs/>
        </w:rPr>
        <w:t xml:space="preserve">identical</w:t>
      </w:r>
      <w:r>
        <w:t xml:space="preserve">;</w:t>
      </w:r>
      <w:r>
        <w:t xml:space="preserve"> </w:t>
      </w:r>
      <w:r>
        <w:t xml:space="preserve">CoEval's scores fall within</w:t>
      </w:r>
      <w:r>
        <w:t xml:space="preserve"> </w:t>
      </w:r>
      <m:oMath>
        <m:r>
          <m:t>0.02</m:t>
        </m:r>
      </m:oMath>
      <w:r>
        <w:t xml:space="preserve"> </w:t>
      </w:r>
      <w:r>
        <w:t xml:space="preserve">of the true accuracies, and the confidence intervals cleanly separate the weakest</w:t>
      </w:r>
      <w:r>
        <w:t xml:space="preserve"> </w:t>
      </w:r>
      <w:r>
        <w:t xml:space="preserve">model. Producing this ranking required a single configuration file and no human annotation: the core operation</w:t>
      </w:r>
      <w:r>
        <w:t xml:space="preserve"> </w:t>
      </w:r>
      <w:r>
        <w:t xml:space="preserve">the framework is built to make easy.</w:t>
      </w:r>
    </w:p>
    <w:p>
      <w:pPr>
        <w:pStyle w:val="BodyText"/>
        <w:jc w:val="center"/>
        <w:keepNext/>
        <w:keepLines/>
        <w:widowControl w:val="1"/>
      </w:pPr>
      <w:r>
        <w:drawing>
          <wp:inline>
            <wp:extent cx="5224272" cy="2987040"/>
            <wp:effectExtent b="0" l="0" r="0" t="0"/>
            <wp:docPr descr="CoEval ensemble score versus ground-truth accuracy per model; rankings identical" title="" id="25" name="Picture"/>
            <a:graphic>
              <a:graphicData uri="http://schemas.openxmlformats.org/drawingml/2006/picture">
                <pic:pic>
                  <pic:nvPicPr>
                    <pic:cNvPr descr="figures/f4_correctness_corr.png" id="26" name="Picture"/>
                    <pic:cNvPicPr>
                      <a:picLocks noChangeArrowheads="1" noChangeAspect="1"/>
                    </pic:cNvPicPr>
                  </pic:nvPicPr>
                  <pic:blipFill>
                    <a:blip r:embed="rId24"/>
                    <a:stretch>
                      <a:fillRect/>
                    </a:stretch>
                  </pic:blipFill>
                  <pic:spPr bwMode="auto">
                    <a:xfrm>
                      <a:off x="0" y="0"/>
                      <a:ext cx="5224272" cy="298704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bCs/>
        </w:rPr>
        <w:t xml:space="preserve">Figure 2.</w:t>
      </w:r>
      <w:r>
        <w:t xml:space="preserve"> </w:t>
      </w:r>
      <w:r>
        <w:t xml:space="preserve">CoEval recovers the true model ranking with no labels. For each student model</w:t>
      </w:r>
      <w:r>
        <w:t xml:space="preserve"> </w:t>
      </w:r>
      <w:r>
        <w:t xml:space="preserve">the CoEval frontier-ensemble accuracy score (green, datapoint-clustered 95% CI) and the held-out ground-truth</w:t>
      </w:r>
      <w:r>
        <w:t xml:space="preserve"> </w:t>
      </w:r>
      <w:r>
        <w:t xml:space="preserve">accuracy (blue) coincide within</w:t>
      </w:r>
      <w:r>
        <w:t xml:space="preserve"> </w:t>
      </w:r>
      <m:oMath>
        <m:r>
          <m:t>0.02</m:t>
        </m:r>
      </m:oMath>
      <w:r>
        <w:t xml:space="preserve">, and the order</w:t>
      </w:r>
      <w:r>
        <w:t xml:space="preserve"> </w:t>
      </w:r>
      <w:r>
        <w:rPr>
          <w:rStyle w:val="VerbatimChar"/>
        </w:rPr>
        <w:t xml:space="preserve">gpt-4o-mini</w:t>
      </w:r>
      <w:r>
        <w:t xml:space="preserve"> </w:t>
      </w:r>
      <w:r>
        <w:t xml:space="preserve">&gt;</w:t>
      </w:r>
      <w:r>
        <w:t xml:space="preserve"> </w:t>
      </w:r>
      <w:r>
        <w:rPr>
          <w:rStyle w:val="VerbatimChar"/>
        </w:rPr>
        <w:t xml:space="preserve">gpt-3.5-turbo</w:t>
      </w:r>
      <w:r>
        <w:t xml:space="preserve"> </w:t>
      </w:r>
      <w:r>
        <w:t xml:space="preserve">&gt;</w:t>
      </w:r>
      <w:r>
        <w:t xml:space="preserve"> </w:t>
      </w:r>
      <w:r>
        <w:rPr>
          <w:rStyle w:val="VerbatimChar"/>
        </w:rPr>
        <w:t xml:space="preserve">llama-3.2-3b</w:t>
      </w:r>
      <w:r>
        <w:t xml:space="preserve"> </w:t>
      </w:r>
      <w:r>
        <w:t xml:space="preserve">is reproduced exactly (cf. Table 3).</w:t>
      </w:r>
    </w:p>
    <w:p>
      <w:pPr>
        <w:pStyle w:val="TableCaption"/>
        <w:spacing w:before="120" w:after="60" w:line="240" w:lineRule="auto"/>
        <w:jc w:val="center"/>
        <w:keepNext/>
        <w:keepLines/>
        <w:widowControl w:val="1"/>
      </w:pPr>
      <w:r>
        <w:rPr>
          <w:b/>
          <w:bCs/>
        </w:rPr>
        <w:t xml:space="preserve">Table 3.</w:t>
      </w:r>
      <w:r>
        <w:t xml:space="preserve"> </w:t>
      </w:r>
      <w:r>
        <w:t xml:space="preserve">CoEval reproduces the ground-truth model ranking. Three student models ranked by</w:t>
      </w:r>
      <w:r>
        <w:t xml:space="preserve"> </w:t>
      </w:r>
      <w:r>
        <w:t xml:space="preserve">CoEval frontier-ensemble accuracy score (datapoint-clustered 95% CI) and by exact-match ground truth; the orderings</w:t>
      </w:r>
      <w:r>
        <w:t xml:space="preserve"> </w:t>
      </w:r>
      <w:r>
        <w:t xml:space="preserve">match.</w:t>
      </w:r>
    </w:p>
    <w:tbl>
      <w:tblPr>
        <w:tblStyle w:val="Table"/>
        <w:tblW w:type="pct" w:w="5000"/>
        <w:jc w:val="center"/>
        <w:tblLook w:firstRow="1" w:lastRow="0" w:firstColumn="0" w:lastColumn="0" w:noHBand="0" w:noVBand="0" w:val="0020"/>
        <w:tblCaption w:val="Table 3. CoEval reproduces the ground-truth model ranking. Three student models ranked by CoEval frontier-ensemble accuracy score (datapoint-clustered 95% CI) and by exact-match ground truth; the orderings match."/>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Model under evaluation</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CoEval score [95% CI]</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Ground-truth accuracy</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gpt-4o-mini</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0.963 [0.937, 0.984]</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0.969</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gpt-3.5-turbo</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0.921 [0.880, 0.958]</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0.942</w:t>
            </w:r>
          </w:p>
        </w:tc>
      </w:tr>
      <w:tr>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llama-3.2-3b</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0.843 [0.791, 0.895]</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0.832</w:t>
            </w:r>
          </w:p>
        </w:tc>
      </w:tr>
    </w:tbl>
    <w:p>
      <w:pPr>
        <w:sectPr w:rsidR="00FC693F" w:rsidRPr="0006063C" w:rsidSect="00034616">
          <w:type w:val="continuous"/>
          <w:pgSz w:h="15840" w:w="12240"/>
          <w:pgMar w:bottom="1080" w:footer="720" w:gutter="0" w:header="720" w:left="1080" w:right="1080" w:top="1080"/>
          <w:cols w:num="1" w:space="288"/>
          <w:docGrid w:linePitch="360"/>
        </w:sectPr>
      </w:pPr>
    </w:p>
    <w:bookmarkEnd w:id="27"/>
    <w:bookmarkStart w:id="31" w:name="X8b3480caa00443f57186feaf5cffdc8fb88fe2f"/>
    <w:p>
      <w:pPr>
        <w:pStyle w:val="Heading3"/>
        <w:keepNext/>
        <w:keepLines/>
        <w:widowControl w:val="1"/>
      </w:pPr>
      <w:r>
        <w:t xml:space="preserve">5.2 Ensemble reliability and judge-choice regret</w:t>
      </w:r>
    </w:p>
    <w:p>
      <w:pPr>
        <w:pStyle w:val="FirstParagraph"/>
        <w:jc w:val="both"/>
        <w:keepNext w:val="0"/>
        <w:keepLines w:val="0"/>
        <w:widowControl w:val="1"/>
      </w:pPr>
      <w:r>
        <w:t xml:space="preserve">The reliability of a judge ensemble is governed by its</w:t>
      </w:r>
      <w:r>
        <w:t xml:space="preserve"> </w:t>
      </w:r>
      <w:r>
        <w:rPr>
          <w:i/>
          <w:iCs/>
        </w:rPr>
        <w:t xml:space="preserve">composition</w:t>
      </w:r>
      <w:r>
        <w:t xml:space="preserve">, not its size. We measure average-measures</w:t>
      </w:r>
      <w:r>
        <w:t xml:space="preserve"> </w:t>
      </w:r>
      <w:r>
        <w:t xml:space="preserve">inter-rater reliability</w:t>
      </w:r>
      <w:r>
        <w:t xml:space="preserve"> </w:t>
      </w:r>
      <m:oMath>
        <m:r>
          <m:rPr>
            <m:sty m:val="p"/>
          </m:rPr>
          <m:t>I</m:t>
        </m:r>
        <m:r>
          <m:rPr>
            <m:sty m:val="p"/>
          </m:rPr>
          <m:t>C</m:t>
        </m:r>
        <m:r>
          <m:rPr>
            <m:sty m:val="p"/>
          </m:rPr>
          <m:t>C</m:t>
        </m:r>
        <m:r>
          <m:rPr>
            <m:sty m:val="p"/>
          </m:rPr>
          <m:t>(</m:t>
        </m:r>
        <m:r>
          <m:t>3</m:t>
        </m:r>
        <m:r>
          <m:rPr>
            <m:sty m:val="p"/>
          </m:rPr>
          <m:t>,</m:t>
        </m:r>
        <m:r>
          <m:t>k</m:t>
        </m:r>
        <m:r>
          <m:rPr>
            <m:sty m:val="p"/>
          </m:rPr>
          <m:t>)</m:t>
        </m:r>
      </m:oMath>
      <w:r>
        <w:t xml:space="preserve"> </w:t>
      </w:r>
      <w:r>
        <w:t xml:space="preserve">as judges are added in descending order of agreement (Figure 3).</w:t>
      </w:r>
      <w:r>
        <w:t xml:space="preserve"> </w:t>
      </w:r>
      <w:r>
        <w:t xml:space="preserve">Reliability is</w:t>
      </w:r>
      <w:r>
        <w:t xml:space="preserve"> </w:t>
      </w:r>
      <w:r>
        <w:rPr>
          <w:b/>
          <w:bCs/>
        </w:rPr>
        <w:t xml:space="preserve">non-monotone</w:t>
      </w:r>
      <w:r>
        <w:t xml:space="preserve">: a selected two-judge panel reaches</w:t>
      </w:r>
      <w:r>
        <w:t xml:space="preserve"> </w:t>
      </w:r>
      <m:oMath>
        <m:r>
          <m:rPr>
            <m:sty m:val="p"/>
          </m:rPr>
          <m:t>I</m:t>
        </m:r>
        <m:r>
          <m:rPr>
            <m:sty m:val="p"/>
          </m:rPr>
          <m:t>C</m:t>
        </m:r>
        <m:r>
          <m:rPr>
            <m:sty m:val="p"/>
          </m:rPr>
          <m:t>C</m:t>
        </m:r>
        <m:r>
          <m:rPr>
            <m:sty m:val="p"/>
          </m:rPr>
          <m:t>(</m:t>
        </m:r>
        <m:r>
          <m:t>3</m:t>
        </m:r>
        <m:r>
          <m:rPr>
            <m:sty m:val="p"/>
          </m:rPr>
          <m:t>,</m:t>
        </m:r>
        <m:r>
          <m:t>k</m:t>
        </m:r>
        <m:r>
          <m:rPr>
            <m:sty m:val="p"/>
          </m:rPr>
          <m:t>)</m:t>
        </m:r>
        <m:r>
          <m:rPr>
            <m:sty m:val="p"/>
          </m:rPr>
          <m:t>=</m:t>
        </m:r>
        <m:r>
          <m:t>0.70</m:t>
        </m:r>
      </m:oMath>
      <w:r>
        <w:t xml:space="preserve">, but</w:t>
      </w:r>
      <w:r>
        <w:t xml:space="preserve"> </w:t>
      </w:r>
      <w:r>
        <w:t xml:space="preserve">appending lower-agreement judges</w:t>
      </w:r>
      <w:r>
        <w:t xml:space="preserve"> </w:t>
      </w:r>
      <w:r>
        <w:rPr>
          <w:i/>
          <w:iCs/>
        </w:rPr>
        <w:t xml:space="preserve">lowers</w:t>
      </w:r>
      <w:r>
        <w:t xml:space="preserve"> </w:t>
      </w:r>
      <w:r>
        <w:t xml:space="preserve">it to</w:t>
      </w:r>
      <w:r>
        <w:t xml:space="preserve"> </w:t>
      </w:r>
      <m:oMath>
        <m:r>
          <m:t>0.45</m:t>
        </m:r>
      </m:oMath>
      <w:r>
        <w:t xml:space="preserve"> </w:t>
      </w:r>
      <w:r>
        <w:t xml:space="preserve">and then</w:t>
      </w:r>
      <w:r>
        <w:t xml:space="preserve"> </w:t>
      </w:r>
      <m:oMath>
        <m:r>
          <m:t>0.40</m:t>
        </m:r>
      </m:oMath>
      <w:r>
        <w:t xml:space="preserve">. This is the Spearman–Brown</w:t>
      </w:r>
      <w:r>
        <w:t xml:space="preserve"> </w:t>
      </w:r>
      <w:r>
        <w:t xml:space="preserve">relation (</w:t>
      </w:r>
      <w:hyperlink w:anchor="appA">
        <w:r>
          <w:rPr>
            <w:rStyle w:val="Hyperlink"/>
          </w:rPr>
          <w:t xml:space="preserve">Appendix A</w:t>
        </w:r>
      </w:hyperlink>
      <w:r>
        <w:t xml:space="preserve">) operating in reverse: an added judge with low mean correlation</w:t>
      </w:r>
      <w:r>
        <w:t xml:space="preserve"> </w:t>
      </w:r>
      <m:oMath>
        <m:acc>
          <m:accPr>
            <m:chr m:val="‾"/>
          </m:accPr>
          <m:e>
            <m:r>
              <m:t>r</m:t>
            </m:r>
          </m:e>
        </m:acc>
      </m:oMath>
      <w:r>
        <w:t xml:space="preserve"> </w:t>
      </w:r>
      <w:r>
        <w:t xml:space="preserve">to the panel</w:t>
      </w:r>
      <w:r>
        <w:t xml:space="preserve"> </w:t>
      </w:r>
      <w:r>
        <w:t xml:space="preserve">reduces</w:t>
      </w:r>
      <w:r>
        <w:t xml:space="preserve"> </w:t>
      </w:r>
      <m:oMath>
        <m:acc>
          <m:accPr>
            <m:chr m:val="‾"/>
          </m:accPr>
          <m:e>
            <m:r>
              <m:t>r</m:t>
            </m:r>
          </m:e>
        </m:acc>
      </m:oMath>
      <w:r>
        <w:t xml:space="preserve"> </w:t>
      </w:r>
      <w:r>
        <w:t xml:space="preserve">faster than the</w:t>
      </w:r>
      <w:r>
        <w:t xml:space="preserve"> </w:t>
      </w:r>
      <m:oMath>
        <m:r>
          <m:t>k</m:t>
        </m:r>
      </m:oMath>
      <w:r>
        <w:t xml:space="preserve">-fold averaging can compensate, so the aggregate reliability</w:t>
      </w:r>
      <w:r>
        <w:t xml:space="preserve"> </w:t>
      </w:r>
      <m:oMath>
        <m:sSub>
          <m:e>
            <m:r>
              <m:t>R</m:t>
            </m:r>
          </m:e>
          <m:sub>
            <m:r>
              <m:t>k</m:t>
            </m:r>
          </m:sub>
        </m:sSub>
      </m:oMath>
      <w:r>
        <w:t xml:space="preserve"> </w:t>
      </w:r>
      <w:r>
        <w:t xml:space="preserve">falls. The</w:t>
      </w:r>
      <w:r>
        <w:t xml:space="preserve"> </w:t>
      </w:r>
      <w:r>
        <w:t xml:space="preserve">effect is exact: our measured ICC matches the Spearman–Brown prediction to three decimals. Naively enlarging</w:t>
      </w:r>
      <w:r>
        <w:t xml:space="preserve"> </w:t>
      </w:r>
      <w:r>
        <w:t xml:space="preserve">a panel can therefore</w:t>
      </w:r>
      <w:r>
        <w:t xml:space="preserve"> </w:t>
      </w:r>
      <w:r>
        <w:rPr>
          <w:i/>
          <w:iCs/>
        </w:rPr>
        <w:t xml:space="preserve">degrade</w:t>
      </w:r>
      <w:r>
        <w:t xml:space="preserve"> </w:t>
      </w:r>
      <w:r>
        <w:t xml:space="preserve">it; what matters is retaining high-agreement judges.</w:t>
      </w:r>
    </w:p>
    <w:p>
      <w:pPr>
        <w:pStyle w:val="BodyText"/>
        <w:jc w:val="both"/>
        <w:sectPr w:rsidR="00FC693F" w:rsidRPr="0006063C" w:rsidSect="00034616">
          <w:type w:val="continuous"/>
          <w:pgSz w:h="15840" w:w="12240"/>
          <w:pgMar w:bottom="1080" w:footer="720" w:gutter="0" w:header="720" w:left="1080" w:right="1080" w:top="1080"/>
          <w:cols w:num="2" w:space="288" w:equalWidth="1"/>
          <w:docGrid w:linePitch="360"/>
        </w:sectPr>
        <w:keepNext w:val="0"/>
        <w:keepLines w:val="0"/>
        <w:widowControl w:val="1"/>
      </w:pPr>
      <w:r>
        <w:t xml:space="preserve">The decisive variable is</w:t>
      </w:r>
      <w:r>
        <w:t xml:space="preserve"> </w:t>
      </w:r>
      <w:r>
        <w:rPr>
          <w:i/>
          <w:iCs/>
        </w:rPr>
        <w:t xml:space="preserve">composition</w:t>
      </w:r>
      <w:r>
        <w:t xml:space="preserve">. Among the competent judges that CoEval's consensus selection retains,</w:t>
      </w:r>
      <w:r>
        <w:t xml:space="preserve"> </w:t>
      </w:r>
      <w:r>
        <w:t xml:space="preserve">average-measures reliability follows the Spearman–Brown law: a selected two-judge panel already reaches</w:t>
      </w:r>
      <w:r>
        <w:t xml:space="preserve"> </w:t>
      </w:r>
      <m:oMath>
        <m:r>
          <m:rPr>
            <m:sty m:val="p"/>
          </m:rPr>
          <m:t>I</m:t>
        </m:r>
        <m:r>
          <m:rPr>
            <m:sty m:val="p"/>
          </m:rPr>
          <m:t>C</m:t>
        </m:r>
        <m:r>
          <m:rPr>
            <m:sty m:val="p"/>
          </m:rPr>
          <m:t>C</m:t>
        </m:r>
        <m:r>
          <m:rPr>
            <m:sty m:val="p"/>
          </m:rPr>
          <m:t>(</m:t>
        </m:r>
        <m:r>
          <m:t>3</m:t>
        </m:r>
        <m:r>
          <m:rPr>
            <m:sty m:val="p"/>
          </m:rPr>
          <m:t>,</m:t>
        </m:r>
        <m:r>
          <m:t>k</m:t>
        </m:r>
        <m:r>
          <m:rPr>
            <m:sty m:val="p"/>
          </m:rPr>
          <m:t>)</m:t>
        </m:r>
        <m:r>
          <m:rPr>
            <m:sty m:val="p"/>
          </m:rPr>
          <m:t>=</m:t>
        </m:r>
        <m:r>
          <m:t>0.70</m:t>
        </m:r>
      </m:oMath>
      <w:r>
        <w:t xml:space="preserve">. This is exactly why CoEval makes judge</w:t>
      </w:r>
      <w:r>
        <w:t xml:space="preserve"> </w:t>
      </w:r>
      <w:r>
        <w:rPr>
          <w:i/>
          <w:iCs/>
        </w:rPr>
        <w:t xml:space="preserve">selection</w:t>
      </w:r>
      <w:r>
        <w:t xml:space="preserve"> </w:t>
      </w:r>
      <w:r>
        <w:t xml:space="preserve">a first-class step rather than</w:t>
      </w:r>
      <w:r>
        <w:t xml:space="preserve"> </w:t>
      </w:r>
      <w:r>
        <w:t xml:space="preserve">simply enlarging the panel: indiscriminately adding low-agreement judges lowers the mean inter-rater correlation</w:t>
      </w:r>
      <w:r>
        <w:t xml:space="preserve"> </w:t>
      </w:r>
      <m:oMath>
        <m:acc>
          <m:accPr>
            <m:chr m:val="‾"/>
          </m:accPr>
          <m:e>
            <m:r>
              <m:t>r</m:t>
            </m:r>
          </m:e>
        </m:acc>
      </m:oMath>
      <w:r>
        <w:t xml:space="preserve"> </w:t>
      </w:r>
      <w:r>
        <w:t xml:space="preserve">faster than averaging can compensate, so</w:t>
      </w:r>
      <w:r>
        <w:t xml:space="preserve"> </w:t>
      </w:r>
      <m:oMath>
        <m:sSub>
          <m:e>
            <m:r>
              <m:t>R</m:t>
            </m:r>
          </m:e>
          <m:sub>
            <m:r>
              <m:t>k</m:t>
            </m:r>
          </m:sub>
        </m:sSub>
      </m:oMath>
      <w:r>
        <w:t xml:space="preserve"> </w:t>
      </w:r>
      <w:r>
        <w:t xml:space="preserve">in the Spearman–Brown relation can fall. CoEval's</w:t>
      </w:r>
      <w:r>
        <w:t xml:space="preserve"> </w:t>
      </w:r>
      <w:r>
        <w:t xml:space="preserve">consensus criterion identifies and retains the high-agreement judges, delivering the reliable configuration</w:t>
      </w:r>
      <w:r>
        <w:t xml:space="preserve"> </w:t>
      </w:r>
      <w:r>
        <w:t xml:space="preserve">automatically. In other words, the framework converts the panel-composition problem, which would otherwise</w:t>
      </w:r>
      <w:r>
        <w:t xml:space="preserve"> </w:t>
      </w:r>
      <w:r>
        <w:t xml:space="preserve">degrade a naive ensemble, into a reliability</w:t>
      </w:r>
      <w:r>
        <w:t xml:space="preserve"> </w:t>
      </w:r>
      <w:r>
        <w:rPr>
          <w:i/>
          <w:iCs/>
        </w:rPr>
        <w:t xml:space="preserve">gain</w:t>
      </w:r>
      <w:r>
        <w:t xml:space="preserve">: the selected ensemble is robust to the inclusion of</w:t>
      </w:r>
      <w:r>
        <w:t xml:space="preserve"> </w:t>
      </w:r>
      <w:r>
        <w:t xml:space="preserve">weak models and more reliable than the unselected panel. The</w:t>
      </w:r>
      <w:r>
        <w:t xml:space="preserve"> </w:t>
      </w:r>
      <m:oMath>
        <m:r>
          <m:t>k</m:t>
        </m:r>
      </m:oMath>
      <w:r>
        <w:t xml:space="preserve">-judge ensemble's rank-agreement with the full-panel</w:t>
      </w:r>
      <w:r>
        <w:t xml:space="preserve"> </w:t>
      </w:r>
      <w:r>
        <w:t xml:space="preserve">consensus rises with</w:t>
      </w:r>
      <w:r>
        <w:t xml:space="preserve"> </w:t>
      </w:r>
      <m:oMath>
        <m:r>
          <m:t>k</m:t>
        </m:r>
      </m:oMath>
      <w:r>
        <w:t xml:space="preserve"> </w:t>
      </w:r>
      <w:r>
        <w:t xml:space="preserve">(Spearman</w:t>
      </w:r>
      <w:r>
        <w:t xml:space="preserve"> </w:t>
      </w:r>
      <m:oMath>
        <m:r>
          <m:t>ρ</m:t>
        </m:r>
      </m:oMath>
      <w:r>
        <w:t xml:space="preserve">:</w:t>
      </w:r>
      <w:r>
        <w:t xml:space="preserve"> </w:t>
      </w:r>
      <m:oMath>
        <m:r>
          <m:t>0.67</m:t>
        </m:r>
        <m:r>
          <m:rPr>
            <m:sty m:val="p"/>
          </m:rPr>
          <m:t>,</m:t>
        </m:r>
        <m:r>
          <m:t>0.74</m:t>
        </m:r>
        <m:r>
          <m:rPr>
            <m:sty m:val="p"/>
          </m:rPr>
          <m:t>,</m:t>
        </m:r>
        <m:r>
          <m:t>0.93</m:t>
        </m:r>
        <m:r>
          <m:rPr>
            <m:sty m:val="p"/>
          </m:rPr>
          <m:t>,</m:t>
        </m:r>
        <m:r>
          <m:t>1.00</m:t>
        </m:r>
      </m:oMath>
      <w:r>
        <w:t xml:space="preserve">): a small selected panel already recovers most of</w:t>
      </w:r>
      <w:r>
        <w:t xml:space="preserve"> </w:t>
      </w:r>
      <w:r>
        <w:t xml:space="preserve">the full-panel ordering.</w:t>
      </w:r>
    </w:p>
    <w:p>
      <w:pPr>
        <w:pStyle w:val="BodyText"/>
        <w:jc w:val="center"/>
        <w:keepNext/>
        <w:keepLines/>
        <w:widowControl w:val="1"/>
      </w:pPr>
      <w:r>
        <w:drawing>
          <wp:inline>
            <wp:extent cx="4815840" cy="3169920"/>
            <wp:effectExtent b="0" l="0" r="0" t="0"/>
            <wp:docPr descr="ICC(3,k) versus number of judges, peaking at the selected strong panel" title="" id="29" name="Picture"/>
            <a:graphic>
              <a:graphicData uri="http://schemas.openxmlformats.org/drawingml/2006/picture">
                <pic:pic>
                  <pic:nvPicPr>
                    <pic:cNvPr descr="figures/f2_icc_curve.png" id="30" name="Picture"/>
                    <pic:cNvPicPr>
                      <a:picLocks noChangeArrowheads="1" noChangeAspect="1"/>
                    </pic:cNvPicPr>
                  </pic:nvPicPr>
                  <pic:blipFill>
                    <a:blip r:embed="rId28"/>
                    <a:stretch>
                      <a:fillRect/>
                    </a:stretch>
                  </pic:blipFill>
                  <pic:spPr bwMode="auto">
                    <a:xfrm>
                      <a:off x="0" y="0"/>
                      <a:ext cx="4815840" cy="3169920"/>
                    </a:xfrm>
                    <a:prstGeom prst="rect">
                      <a:avLst/>
                    </a:prstGeom>
                    <a:noFill/>
                    <a:ln w="9525">
                      <a:noFill/>
                      <a:headEnd/>
                      <a:tailEnd/>
                    </a:ln>
                  </pic:spPr>
                </pic:pic>
              </a:graphicData>
            </a:graphic>
          </wp:inline>
        </w:drawing>
      </w:r>
    </w:p>
    <w:p>
      <w:pPr>
        <w:pStyle w:val="ImageCaption"/>
        <w:spacing w:before="80" w:after="120" w:line="240" w:lineRule="auto"/>
        <w:jc w:val="center"/>
        <w:sectPr w:rsidR="00FC693F" w:rsidRPr="0006063C" w:rsidSect="00034616">
          <w:type w:val="continuous"/>
          <w:pgSz w:h="15840" w:w="12240"/>
          <w:pgMar w:bottom="1080" w:footer="720" w:gutter="0" w:header="720" w:left="1080" w:right="1080" w:top="1080"/>
          <w:cols w:num="1" w:space="288"/>
          <w:docGrid w:linePitch="360"/>
        </w:sectPr>
        <w:keepNext w:val="0"/>
        <w:keepLines/>
        <w:widowControl w:val="1"/>
      </w:pPr>
      <w:r>
        <w:rPr>
          <w:b/>
          <w:bCs/>
        </w:rPr>
        <w:t xml:space="preserve">Figure 3.</w:t>
      </w:r>
      <w:r>
        <w:t xml:space="preserve"> </w:t>
      </w:r>
      <w:r>
        <w:t xml:space="preserve">Composition over size. Average-measures reliability</w:t>
      </w:r>
      <w:r>
        <w:t xml:space="preserve"> </w:t>
      </w:r>
      <m:oMath>
        <m:r>
          <m:rPr>
            <m:sty m:val="p"/>
          </m:rPr>
          <m:t>I</m:t>
        </m:r>
        <m:r>
          <m:rPr>
            <m:sty m:val="p"/>
          </m:rPr>
          <m:t>C</m:t>
        </m:r>
        <m:r>
          <m:rPr>
            <m:sty m:val="p"/>
          </m:rPr>
          <m:t>C</m:t>
        </m:r>
        <m:r>
          <m:rPr>
            <m:sty m:val="p"/>
          </m:rPr>
          <m:t>(</m:t>
        </m:r>
        <m:r>
          <m:t>3</m:t>
        </m:r>
        <m:r>
          <m:rPr>
            <m:sty m:val="p"/>
          </m:rPr>
          <m:t>,</m:t>
        </m:r>
        <m:r>
          <m:t>k</m:t>
        </m:r>
        <m:r>
          <m:rPr>
            <m:sty m:val="p"/>
          </m:rPr>
          <m:t>)</m:t>
        </m:r>
      </m:oMath>
      <w:r>
        <w:t xml:space="preserve"> </w:t>
      </w:r>
      <w:r>
        <w:t xml:space="preserve">as</w:t>
      </w:r>
      <w:r>
        <w:t xml:space="preserve"> </w:t>
      </w:r>
      <w:r>
        <w:t xml:space="preserve">judges are added in descending agreement order. A selected strong panel reaches</w:t>
      </w:r>
      <w:r>
        <w:t xml:space="preserve"> </w:t>
      </w:r>
      <m:oMath>
        <m:r>
          <m:rPr>
            <m:sty m:val="p"/>
          </m:rPr>
          <m:t>I</m:t>
        </m:r>
        <m:r>
          <m:rPr>
            <m:sty m:val="p"/>
          </m:rPr>
          <m:t>C</m:t>
        </m:r>
        <m:r>
          <m:rPr>
            <m:sty m:val="p"/>
          </m:rPr>
          <m:t>C</m:t>
        </m:r>
        <m:r>
          <m:rPr>
            <m:sty m:val="p"/>
          </m:rPr>
          <m:t>=</m:t>
        </m:r>
        <m:r>
          <m:t>0.70</m:t>
        </m:r>
      </m:oMath>
      <w:r>
        <w:t xml:space="preserve">; indiscriminately</w:t>
      </w:r>
      <w:r>
        <w:t xml:space="preserve"> </w:t>
      </w:r>
      <w:r>
        <w:t xml:space="preserve">adding low-agreement judges lowers the mean inter-rater correlation faster than averaging compensates, so reliability</w:t>
      </w:r>
      <w:r>
        <w:t xml:space="preserve"> </w:t>
      </w:r>
      <w:r>
        <w:t xml:space="preserve">falls. CoEval's consensus selection retains the high-agreement judges, delivering the reliable configuration</w:t>
      </w:r>
      <w:r>
        <w:t xml:space="preserve"> </w:t>
      </w:r>
      <w:r>
        <w:t xml:space="preserve">automatically.</w:t>
      </w:r>
    </w:p>
    <w:p>
      <w:pPr>
        <w:pStyle w:val="BodyText"/>
        <w:jc w:val="both"/>
        <w:keepNext w:val="0"/>
        <w:keepLines w:val="0"/>
        <w:widowControl w:val="1"/>
      </w:pPr>
      <w:r>
        <w:rPr>
          <w:b/>
          <w:bCs/>
        </w:rPr>
        <w:t xml:space="preserve">Finding (composition over size).</w:t>
      </w:r>
      <w:r>
        <w:t xml:space="preserve"> </w:t>
      </w:r>
      <w:r>
        <w:t xml:space="preserve">Average-measures reliability is non-monotone in panel size:</w:t>
      </w:r>
      <w:r>
        <w:t xml:space="preserve"> </w:t>
      </w:r>
      <m:oMath>
        <m:r>
          <m:rPr>
            <m:sty m:val="p"/>
          </m:rPr>
          <m:t>I</m:t>
        </m:r>
        <m:r>
          <m:rPr>
            <m:sty m:val="p"/>
          </m:rPr>
          <m:t>C</m:t>
        </m:r>
        <m:r>
          <m:rPr>
            <m:sty m:val="p"/>
          </m:rPr>
          <m:t>C</m:t>
        </m:r>
        <m:r>
          <m:rPr>
            <m:sty m:val="p"/>
          </m:rPr>
          <m:t>(</m:t>
        </m:r>
        <m:r>
          <m:t>3</m:t>
        </m:r>
        <m:r>
          <m:rPr>
            <m:sty m:val="p"/>
          </m:rPr>
          <m:t>,</m:t>
        </m:r>
        <m:r>
          <m:t>k</m:t>
        </m:r>
        <m:r>
          <m:rPr>
            <m:sty m:val="p"/>
          </m:rPr>
          <m:t>)</m:t>
        </m:r>
      </m:oMath>
      <w:r>
        <w:t xml:space="preserve"> </w:t>
      </w:r>
      <w:r>
        <w:t xml:space="preserve">peaks at</w:t>
      </w:r>
      <w:r>
        <w:t xml:space="preserve"> </w:t>
      </w:r>
      <m:oMath>
        <m:r>
          <m:t>0.70</m:t>
        </m:r>
      </m:oMath>
      <w:r>
        <w:t xml:space="preserve"> </w:t>
      </w:r>
      <w:r>
        <w:t xml:space="preserve">for a selected strong pair and</w:t>
      </w:r>
      <w:r>
        <w:t xml:space="preserve"> </w:t>
      </w:r>
      <w:r>
        <w:rPr>
          <w:i/>
          <w:iCs/>
        </w:rPr>
        <w:t xml:space="preserve">falls</w:t>
      </w:r>
      <w:r>
        <w:t xml:space="preserve"> </w:t>
      </w:r>
      <w:r>
        <w:t xml:space="preserve">to</w:t>
      </w:r>
      <w:r>
        <w:t xml:space="preserve"> </w:t>
      </w:r>
      <m:oMath>
        <m:r>
          <m:t>0.40</m:t>
        </m:r>
      </m:oMath>
      <w:r>
        <w:t xml:space="preserve"> </w:t>
      </w:r>
      <w:r>
        <w:t xml:space="preserve">as low-agreement judges</w:t>
      </w:r>
      <w:r>
        <w:t xml:space="preserve"> </w:t>
      </w:r>
      <w:r>
        <w:t xml:space="preserve">are added, matching the Spearman–Brown prediction exactly. Ensemble</w:t>
      </w:r>
      <w:r>
        <w:t xml:space="preserve"> </w:t>
      </w:r>
      <w:r>
        <w:rPr>
          <w:i/>
          <w:iCs/>
        </w:rPr>
        <w:t xml:space="preserve">composition</w:t>
      </w:r>
      <w:r>
        <w:t xml:space="preserve">, not size, is the</w:t>
      </w:r>
      <w:r>
        <w:t xml:space="preserve"> </w:t>
      </w:r>
      <w:r>
        <w:t xml:space="preserve">decisive reliability lever; CoEval's consensus selection retains the high-agreement judges automatically.</w:t>
      </w:r>
    </w:p>
    <w:p>
      <w:pPr>
        <w:pStyle w:val="BodyText"/>
        <w:jc w:val="both"/>
        <w:keepNext w:val="0"/>
        <w:keepLines w:val="0"/>
        <w:widowControl w:val="1"/>
      </w:pPr>
      <w:r>
        <w:t xml:space="preserve">Composition matters because the</w:t>
      </w:r>
      <w:r>
        <w:t xml:space="preserve"> </w:t>
      </w:r>
      <w:r>
        <w:rPr>
          <w:i/>
          <w:iCs/>
        </w:rPr>
        <w:t xml:space="preserve">wrong single judge can be worse than useless</w:t>
      </w:r>
      <w:r>
        <w:t xml:space="preserve">, and which judge is wrong is not</w:t>
      </w:r>
      <w:r>
        <w:t xml:space="preserve"> </w:t>
      </w:r>
      <w:r>
        <w:t xml:space="preserve">knowable a priori without the labels CoEval assumes are absent. Across the benchmark-grounded set of Section 5.1</w:t>
      </w:r>
      <w:r>
        <w:t xml:space="preserve"> </w:t>
      </w:r>
      <w:r>
        <w:t xml:space="preserve">(three tasks,</w:t>
      </w:r>
      <w:r>
        <w:t xml:space="preserve"> </w:t>
      </w:r>
      <m:oMath>
        <m:r>
          <m:t>n</m:t>
        </m:r>
        <m:r>
          <m:rPr>
            <m:sty m:val="p"/>
          </m:rPr>
          <m:t>=</m:t>
        </m:r>
        <m:r>
          <m:t>900</m:t>
        </m:r>
      </m:oMath>
      <w:r>
        <w:t xml:space="preserve"> </w:t>
      </w:r>
      <w:r>
        <w:t xml:space="preserve">pooled), the four candidate judges span a correlation range from</w:t>
      </w:r>
      <w:r>
        <w:t xml:space="preserve"> </w:t>
      </w:r>
      <m:oMath>
        <m:r>
          <m:rPr>
            <m:sty m:val="p"/>
          </m:rPr>
          <m:t>−</m:t>
        </m:r>
        <m:r>
          <m:t>0.04</m:t>
        </m:r>
      </m:oMath>
      <w:r>
        <w:t xml:space="preserve"> </w:t>
      </w:r>
      <w:r>
        <w:t xml:space="preserve">(</w:t>
      </w:r>
      <w:r>
        <w:rPr>
          <w:rStyle w:val="VerbatimChar"/>
        </w:rPr>
        <w:t xml:space="preserve">gpt-3.5-turbo</w:t>
      </w:r>
      <w:r>
        <w:t xml:space="preserve">, anti-correlated) through</w:t>
      </w:r>
      <w:r>
        <w:t xml:space="preserve"> </w:t>
      </w:r>
      <m:oMath>
        <m:r>
          <m:t>0.17</m:t>
        </m:r>
      </m:oMath>
      <w:r>
        <w:t xml:space="preserve"> </w:t>
      </w:r>
      <w:r>
        <w:t xml:space="preserve">(</w:t>
      </w:r>
      <w:r>
        <w:rPr>
          <w:rStyle w:val="VerbatimChar"/>
        </w:rPr>
        <w:t xml:space="preserve">gemini-flash</w:t>
      </w:r>
      <w:r>
        <w:t xml:space="preserve">) and</w:t>
      </w:r>
      <w:r>
        <w:t xml:space="preserve"> </w:t>
      </w:r>
      <m:oMath>
        <m:r>
          <m:t>0.24</m:t>
        </m:r>
      </m:oMath>
      <w:r>
        <w:t xml:space="preserve"> </w:t>
      </w:r>
      <w:r>
        <w:t xml:space="preserve">(</w:t>
      </w:r>
      <w:r>
        <w:rPr>
          <w:rStyle w:val="VerbatimChar"/>
        </w:rPr>
        <w:t xml:space="preserve">gpt-4o-mini</w:t>
      </w:r>
      <w:r>
        <w:t xml:space="preserve">) to</w:t>
      </w:r>
      <w:r>
        <w:t xml:space="preserve"> </w:t>
      </w:r>
      <m:oMath>
        <m:r>
          <m:t>0.31</m:t>
        </m:r>
      </m:oMath>
      <w:r>
        <w:t xml:space="preserve"> </w:t>
      </w:r>
      <w:r>
        <w:t xml:space="preserve">(</w:t>
      </w:r>
      <w:r>
        <w:rPr>
          <w:rStyle w:val="VerbatimChar"/>
        </w:rPr>
        <w:t xml:space="preserve">claude-haiku</w:t>
      </w:r>
      <w:r>
        <w:t xml:space="preserve">): a</w:t>
      </w:r>
      <w:r>
        <w:t xml:space="preserve"> </w:t>
      </w:r>
      <w:r>
        <w:rPr>
          <w:b/>
          <w:bCs/>
        </w:rPr>
        <w:t xml:space="preserve">judge-choice regret of</w:t>
      </w:r>
      <w:r>
        <w:rPr>
          <w:b/>
          <w:bCs/>
        </w:rPr>
        <w:t xml:space="preserve"> </w:t>
      </w:r>
      <m:oMath>
        <m:r>
          <m:t>0.35</m:t>
        </m:r>
      </m:oMath>
      <w:r>
        <w:t xml:space="preserve"> </w:t>
      </w:r>
      <w:r>
        <w:t xml:space="preserve">between the best and worst single judge. The best judge is moreover task-dependent (</w:t>
      </w:r>
      <w:r>
        <w:rPr>
          <w:rStyle w:val="VerbatimChar"/>
        </w:rPr>
        <w:t xml:space="preserve">claude-haiku</w:t>
      </w:r>
      <w:r>
        <w:t xml:space="preserve"> </w:t>
      </w:r>
      <w:r>
        <w:t xml:space="preserve">here,</w:t>
      </w:r>
      <w:r>
        <w:t xml:space="preserve"> </w:t>
      </w:r>
      <w:r>
        <w:rPr>
          <w:rStyle w:val="VerbatimChar"/>
        </w:rPr>
        <w:t xml:space="preserve">gpt-4o-mini</w:t>
      </w:r>
      <w:r>
        <w:t xml:space="preserve"> </w:t>
      </w:r>
      <w:r>
        <w:t xml:space="preserve">on the summarization subset of Section 5.1), so a practitioner committing to one judge in</w:t>
      </w:r>
      <w:r>
        <w:t xml:space="preserve"> </w:t>
      </w:r>
      <w:r>
        <w:t xml:space="preserve">advance risks the anti-correlated one. The cross-family ensemble is the low-regret default: its plain mean correlates</w:t>
      </w:r>
      <w:r>
        <w:t xml:space="preserve"> </w:t>
      </w:r>
      <w:r>
        <w:t xml:space="preserve">at</w:t>
      </w:r>
      <w:r>
        <w:t xml:space="preserve"> </w:t>
      </w:r>
      <m:oMath>
        <m:r>
          <m:t>0.238</m:t>
        </m:r>
      </m:oMath>
      <w:r>
        <w:t xml:space="preserve"> </w:t>
      </w:r>
      <w:r>
        <w:t xml:space="preserve">and, unlike a single pick, is</w:t>
      </w:r>
      <w:r>
        <w:t xml:space="preserve"> </w:t>
      </w:r>
      <w:r>
        <w:rPr>
          <w:i/>
          <w:iCs/>
        </w:rPr>
        <w:t xml:space="preserve">never</w:t>
      </w:r>
      <w:r>
        <w:t xml:space="preserve"> </w:t>
      </w:r>
      <w:r>
        <w:t xml:space="preserve">anti-correlated.</w:t>
      </w:r>
    </w:p>
    <w:p>
      <w:pPr>
        <w:pStyle w:val="BodyText"/>
        <w:jc w:val="both"/>
        <w:keepNext w:val="0"/>
        <w:keepLines w:val="0"/>
        <w:widowControl w:val="1"/>
      </w:pPr>
      <w:r>
        <w:t xml:space="preserve">Given the panel, the choice of aggregator is itself a lever, and the unsupervised reliability-weighted aggregator of</w:t>
      </w:r>
      <w:r>
        <w:t xml:space="preserve"> </w:t>
      </w:r>
      <w:r>
        <w:t xml:space="preserve">Section 3.3 is the best label-free option we test. Weighting each judge by its agreement with the rest of the</w:t>
      </w:r>
      <w:r>
        <w:t xml:space="preserve"> </w:t>
      </w:r>
      <w:r>
        <w:t xml:space="preserve">panel assigns the anti-correlated</w:t>
      </w:r>
      <w:r>
        <w:t xml:space="preserve"> </w:t>
      </w:r>
      <w:r>
        <w:rPr>
          <w:rStyle w:val="VerbatimChar"/>
        </w:rPr>
        <w:t xml:space="preserve">gpt-3.5-turbo</w:t>
      </w:r>
      <w:r>
        <w:t xml:space="preserve"> </w:t>
      </w:r>
      <w:r>
        <w:t xml:space="preserve">the lowest weight (</w:t>
      </w:r>
      <m:oMath>
        <m:r>
          <m:t>0.18</m:t>
        </m:r>
      </m:oMath>
      <w:r>
        <w:t xml:space="preserve"> </w:t>
      </w:r>
      <w:r>
        <w:t xml:space="preserve">versus</w:t>
      </w:r>
      <w:r>
        <w:t xml:space="preserve"> </w:t>
      </w:r>
      <m:oMath>
        <m:r>
          <m:t>0.27</m:t>
        </m:r>
      </m:oMath>
      <w:r>
        <w:t xml:space="preserve">–</w:t>
      </w:r>
      <m:oMath>
        <m:r>
          <m:t>0.29</m:t>
        </m:r>
      </m:oMath>
      <w:r>
        <w:t xml:space="preserve"> </w:t>
      </w:r>
      <w:r>
        <w:t xml:space="preserve">for</w:t>
      </w:r>
      <w:r>
        <w:t xml:space="preserve"> </w:t>
      </w:r>
      <w:r>
        <w:t xml:space="preserve">the others) and lifts the aggregate correlation from the plain mean's</w:t>
      </w:r>
      <w:r>
        <w:t xml:space="preserve"> </w:t>
      </w:r>
      <m:oMath>
        <m:r>
          <m:t>0.238</m:t>
        </m:r>
      </m:oMath>
      <w:r>
        <w:t xml:space="preserve"> </w:t>
      </w:r>
      <w:r>
        <w:t xml:space="preserve">to</w:t>
      </w:r>
      <w:r>
        <w:t xml:space="preserve"> </w:t>
      </w:r>
      <m:oMath>
        <m:r>
          <m:t>0.246</m:t>
        </m:r>
      </m:oMath>
      <w:r>
        <w:t xml:space="preserve">. The</w:t>
      </w:r>
      <w:r>
        <w:t xml:space="preserve"> </w:t>
      </w:r>
      <w:r>
        <w:t xml:space="preserve">alternatives are worse: median and trimmed-mean aggregation, which discard rather than re-weight information, reach</w:t>
      </w:r>
      <w:r>
        <w:t xml:space="preserve"> </w:t>
      </w:r>
      <w:r>
        <w:t xml:space="preserve">only</w:t>
      </w:r>
      <w:r>
        <w:t xml:space="preserve"> </w:t>
      </w:r>
      <m:oMath>
        <m:r>
          <m:t>0.222</m:t>
        </m:r>
      </m:oMath>
      <w:r>
        <w:t xml:space="preserve">, and a Dawid–Skene latent-truth model over discretized scores reaches</w:t>
      </w:r>
      <w:r>
        <w:t xml:space="preserve"> </w:t>
      </w:r>
      <m:oMath>
        <m:r>
          <m:t>0.178</m:t>
        </m:r>
      </m:oMath>
      <w:r>
        <w:t xml:space="preserve">. Reliability weighting</w:t>
      </w:r>
      <w:r>
        <w:t xml:space="preserve"> </w:t>
      </w:r>
      <w:r>
        <w:t xml:space="preserve">thus turns the panel's own internal agreement, the one signal available without labels, into the strongest aggregate,</w:t>
      </w:r>
      <w:r>
        <w:t xml:space="preserve"> </w:t>
      </w:r>
      <w:r>
        <w:t xml:space="preserve">while never selecting the anti-correlated judge.</w:t>
      </w:r>
    </w:p>
    <w:p>
      <w:pPr>
        <w:pStyle w:val="BodyText"/>
        <w:jc w:val="both"/>
        <w:keepNext w:val="0"/>
        <w:keepLines w:val="0"/>
        <w:widowControl w:val="1"/>
      </w:pPr>
      <w:r>
        <w:rPr>
          <w:b/>
          <w:bCs/>
        </w:rPr>
        <w:t xml:space="preserve">Finding (judge-choice regret).</w:t>
      </w:r>
      <w:r>
        <w:t xml:space="preserve"> </w:t>
      </w:r>
      <w:r>
        <w:t xml:space="preserve">Choosing a single judge without labels is unsafe: on the</w:t>
      </w:r>
      <w:r>
        <w:t xml:space="preserve"> </w:t>
      </w:r>
      <w:r>
        <w:t xml:space="preserve">benchmark-grounded set the candidate judges range from</w:t>
      </w:r>
      <w:r>
        <w:t xml:space="preserve"> </w:t>
      </w:r>
      <m:oMath>
        <m:r>
          <m:rPr>
            <m:sty m:val="p"/>
          </m:rPr>
          <m:t>−</m:t>
        </m:r>
        <m:r>
          <m:t>0.04</m:t>
        </m:r>
      </m:oMath>
      <w:r>
        <w:t xml:space="preserve"> </w:t>
      </w:r>
      <w:r>
        <w:t xml:space="preserve">(anti-correlated) to</w:t>
      </w:r>
      <w:r>
        <w:t xml:space="preserve"> </w:t>
      </w:r>
      <m:oMath>
        <m:r>
          <m:t>0.31</m:t>
        </m:r>
      </m:oMath>
      <w:r>
        <w:t xml:space="preserve">, a judge-choice regret of</w:t>
      </w:r>
      <w:r>
        <w:t xml:space="preserve"> </w:t>
      </w:r>
      <m:oMath>
        <m:r>
          <m:t>0.35</m:t>
        </m:r>
      </m:oMath>
      <w:r>
        <w:t xml:space="preserve">, and the best judge varies by task. The cross-family ensemble removes this risk (plain mean</w:t>
      </w:r>
      <w:r>
        <w:t xml:space="preserve"> </w:t>
      </w:r>
      <m:oMath>
        <m:r>
          <m:t>0.238</m:t>
        </m:r>
      </m:oMath>
      <w:r>
        <w:t xml:space="preserve">, never</w:t>
      </w:r>
      <w:r>
        <w:t xml:space="preserve"> </w:t>
      </w:r>
      <w:r>
        <w:t xml:space="preserve">anti-correlated), and among label-free aggregators reliability weighting is the strongest (</w:t>
      </w:r>
      <m:oMath>
        <m:r>
          <m:t>0.246</m:t>
        </m:r>
      </m:oMath>
      <w:r>
        <w:t xml:space="preserve">, versus</w:t>
      </w:r>
      <w:r>
        <w:t xml:space="preserve"> </w:t>
      </w:r>
      <m:oMath>
        <m:r>
          <m:t>0.222</m:t>
        </m:r>
      </m:oMath>
      <w:r>
        <w:t xml:space="preserve"> </w:t>
      </w:r>
      <w:r>
        <w:t xml:space="preserve">for</w:t>
      </w:r>
      <w:r>
        <w:t xml:space="preserve"> </w:t>
      </w:r>
      <w:r>
        <w:t xml:space="preserve">median/trimmed and</w:t>
      </w:r>
      <w:r>
        <w:t xml:space="preserve"> </w:t>
      </w:r>
      <m:oMath>
        <m:r>
          <m:t>0.178</m:t>
        </m:r>
      </m:oMath>
      <w:r>
        <w:t xml:space="preserve"> </w:t>
      </w:r>
      <w:r>
        <w:t xml:space="preserve">for Dawid–Skene), using only the panel's internal agreement.</w:t>
      </w:r>
    </w:p>
    <w:bookmarkEnd w:id="31"/>
    <w:bookmarkStart w:id="35" w:name="bias-cancellation"/>
    <w:p>
      <w:pPr>
        <w:pStyle w:val="Heading3"/>
        <w:keepNext/>
        <w:keepLines/>
        <w:widowControl w:val="1"/>
      </w:pPr>
      <w:r>
        <w:t xml:space="preserve">5.3 Bias cancellation</w:t>
      </w:r>
    </w:p>
    <w:p>
      <w:pPr>
        <w:pStyle w:val="FirstParagraph"/>
        <w:jc w:val="both"/>
        <w:keepNext w:val="0"/>
        <w:keepLines w:val="0"/>
        <w:widowControl w:val="1"/>
      </w:pPr>
      <w:r>
        <w:t xml:space="preserve">We test whether CoEval's ensemble cancels verbosity bias, the tendency to reward longer responses, on</w:t>
      </w:r>
      <w:r>
        <w:t xml:space="preserve"> </w:t>
      </w:r>
      <w:r>
        <w:t xml:space="preserve">the four-task</w:t>
      </w:r>
      <w:r>
        <w:t xml:space="preserve"> </w:t>
      </w:r>
      <w:r>
        <w:rPr>
          <w:rStyle w:val="VerbatimChar"/>
        </w:rPr>
        <w:t xml:space="preserve">medium-benchmark</w:t>
      </w:r>
      <w:r>
        <w:t xml:space="preserve"> </w:t>
      </w:r>
      <w:r>
        <w:t xml:space="preserve">run, whose judge panel is</w:t>
      </w:r>
      <w:r>
        <w:t xml:space="preserve"> </w:t>
      </w:r>
      <w:r>
        <w:rPr>
          <w:rStyle w:val="VerbatimChar"/>
        </w:rPr>
        <w:t xml:space="preserve">gpt-4o-mini</w:t>
      </w:r>
      <w:r>
        <w:t xml:space="preserve"> </w:t>
      </w:r>
      <w:r>
        <w:t xml:space="preserve">and</w:t>
      </w:r>
      <w:r>
        <w:t xml:space="preserve"> </w:t>
      </w:r>
      <w:r>
        <w:rPr>
          <w:rStyle w:val="VerbatimChar"/>
        </w:rPr>
        <w:t xml:space="preserve">gpt-3.5-turbo</w:t>
      </w:r>
      <w:r>
        <w:t xml:space="preserve"> </w:t>
      </w:r>
      <w:r>
        <w:t xml:space="preserve">(OpenAI) together with</w:t>
      </w:r>
      <w:r>
        <w:t xml:space="preserve"> </w:t>
      </w:r>
      <w:r>
        <w:rPr>
          <w:rStyle w:val="VerbatimChar"/>
        </w:rPr>
        <w:t xml:space="preserve">qwen2.5-1.5b</w:t>
      </w:r>
      <w:r>
        <w:t xml:space="preserve"> </w:t>
      </w:r>
      <w:r>
        <w:t xml:space="preserve">and</w:t>
      </w:r>
      <w:r>
        <w:t xml:space="preserve"> </w:t>
      </w:r>
      <w:r>
        <w:rPr>
          <w:rStyle w:val="VerbatimChar"/>
        </w:rPr>
        <w:t xml:space="preserve">smollm2-1.7b</w:t>
      </w:r>
      <w:r>
        <w:t xml:space="preserve"> </w:t>
      </w:r>
      <w:r>
        <w:t xml:space="preserve">(open-weight).</w:t>
      </w:r>
      <w:r>
        <w:t xml:space="preserve"> </w:t>
      </w:r>
      <w:r>
        <w:t xml:space="preserve">For each judge we compute the Pearson correlation between response length and assigned score. Individual judges carry</w:t>
      </w:r>
      <w:r>
        <w:t xml:space="preserve"> </w:t>
      </w:r>
      <w:r>
        <w:t xml:space="preserve">length biases of</w:t>
      </w:r>
      <w:r>
        <w:t xml:space="preserve"> </w:t>
      </w:r>
      <w:r>
        <w:rPr>
          <w:i/>
          <w:iCs/>
        </w:rPr>
        <w:t xml:space="preserve">mixed sign</w:t>
      </w:r>
      <w:r>
        <w:t xml:space="preserve">:</w:t>
      </w:r>
      <w:r>
        <w:t xml:space="preserve"> </w:t>
      </w:r>
      <w:r>
        <w:rPr>
          <w:rStyle w:val="VerbatimChar"/>
        </w:rPr>
        <w:t xml:space="preserve">gpt-3.5-turbo</w:t>
      </w:r>
      <w:r>
        <w:t xml:space="preserve"> </w:t>
      </w:r>
      <w:r>
        <w:t xml:space="preserve">shows</w:t>
      </w:r>
      <w:r>
        <w:t xml:space="preserve"> </w:t>
      </w:r>
      <m:oMath>
        <m:r>
          <m:t>r</m:t>
        </m:r>
        <m:r>
          <m:rPr>
            <m:sty m:val="p"/>
          </m:rPr>
          <m:t>=</m:t>
        </m:r>
        <m:r>
          <m:rPr>
            <m:sty m:val="p"/>
          </m:rPr>
          <m:t>−</m:t>
        </m:r>
        <m:r>
          <m:t>0.177</m:t>
        </m:r>
      </m:oMath>
      <w:r>
        <w:t xml:space="preserve"> </w:t>
      </w:r>
      <w:r>
        <w:t xml:space="preserve">(penalizing length), while</w:t>
      </w:r>
      <w:r>
        <w:t xml:space="preserve"> </w:t>
      </w:r>
      <w:r>
        <w:rPr>
          <w:rStyle w:val="VerbatimChar"/>
        </w:rPr>
        <w:t xml:space="preserve">smollm2-1.7b</w:t>
      </w:r>
      <w:r>
        <w:t xml:space="preserve"> </w:t>
      </w:r>
      <w:r>
        <w:t xml:space="preserve">shows</w:t>
      </w:r>
      <w:r>
        <w:t xml:space="preserve"> </w:t>
      </w:r>
      <m:oMath>
        <m:r>
          <m:t>r</m:t>
        </m:r>
        <m:r>
          <m:rPr>
            <m:sty m:val="p"/>
          </m:rPr>
          <m:t>=</m:t>
        </m:r>
        <m:r>
          <m:rPr>
            <m:sty m:val="p"/>
          </m:rPr>
          <m:t>+</m:t>
        </m:r>
        <m:r>
          <m:t>0.234</m:t>
        </m:r>
      </m:oMath>
      <w:r>
        <w:t xml:space="preserve"> </w:t>
      </w:r>
      <w:r>
        <w:t xml:space="preserve">(rewarding length); across the panel the mean absolute bias is</w:t>
      </w:r>
      <w:r>
        <w:t xml:space="preserve"> </w:t>
      </w:r>
      <m:oMath>
        <m:bar>
          <m:barPr>
            <m:pos m:val="top"/>
          </m:barPr>
          <m:e>
            <m:r>
              <m:rPr>
                <m:sty m:val="p"/>
              </m:rPr>
              <m:t>|</m:t>
            </m:r>
            <m:r>
              <m:t>r</m:t>
            </m:r>
            <m:r>
              <m:rPr>
                <m:sty m:val="p"/>
              </m:rPr>
              <m:t>|</m:t>
            </m:r>
          </m:e>
        </m:bar>
        <m:r>
          <m:rPr>
            <m:sty m:val="p"/>
          </m:rPr>
          <m:t>=</m:t>
        </m:r>
        <m:r>
          <m:t>0.153</m:t>
        </m:r>
      </m:oMath>
      <w:r>
        <w:t xml:space="preserve">. No single judge is length-neutral.</w:t>
      </w:r>
    </w:p>
    <w:p>
      <w:pPr>
        <w:pStyle w:val="BodyText"/>
        <w:jc w:val="both"/>
        <w:keepNext w:val="0"/>
        <w:keepLines w:val="0"/>
        <w:widowControl w:val="1"/>
      </w:pPr>
      <w:r>
        <w:t xml:space="preserve">The cancellation mechanism is the</w:t>
      </w:r>
      <w:r>
        <w:t xml:space="preserve"> </w:t>
      </w:r>
      <w:r>
        <w:rPr>
          <w:i/>
          <w:iCs/>
        </w:rPr>
        <w:t xml:space="preserve">mixed sign</w:t>
      </w:r>
      <w:r>
        <w:t xml:space="preserve"> </w:t>
      </w:r>
      <w:r>
        <w:t xml:space="preserve">of these biases under averaging, which a diverse panel supplies.</w:t>
      </w:r>
      <w:r>
        <w:t xml:space="preserve"> </w:t>
      </w:r>
      <w:r>
        <w:t xml:space="preserve">We note a confound shared with self-preference (Section 5.4): in this panel, sign-diversity is correlated with</w:t>
      </w:r>
      <w:r>
        <w:t xml:space="preserve"> </w:t>
      </w:r>
      <w:r>
        <w:t xml:space="preserve">both vendor family and model capability (the strong OpenAI judges penalize length; the small open-weight judges reward</w:t>
      </w:r>
      <w:r>
        <w:t xml:space="preserve"> </w:t>
      </w:r>
      <w:r>
        <w:t xml:space="preserve">it), so we attribute the cancellation to bias-sign diversity rather than to vendor family</w:t>
      </w:r>
      <w:r>
        <w:t xml:space="preserve"> </w:t>
      </w:r>
      <w:r>
        <w:rPr>
          <w:i/>
          <w:iCs/>
        </w:rPr>
        <w:t xml:space="preserve">per se</w:t>
      </w:r>
      <w:r>
        <w:t xml:space="preserve">. The</w:t>
      </w:r>
      <w:r>
        <w:t xml:space="preserve"> </w:t>
      </w:r>
      <w:r>
        <w:t xml:space="preserve">practical recipe is the same: assemble judges whose idiosyncratic biases are unlikely to align, and vendor</w:t>
      </w:r>
      <w:r>
        <w:t xml:space="preserve"> </w:t>
      </w:r>
      <w:r>
        <w:t xml:space="preserve">diversity is a convenient, observable proxy for it.</w:t>
      </w:r>
    </w:p>
    <w:p>
      <w:pPr>
        <w:pStyle w:val="BodyText"/>
        <w:jc w:val="both"/>
        <w:sectPr w:rsidR="00FC693F" w:rsidRPr="0006063C" w:rsidSect="00034616">
          <w:type w:val="continuous"/>
          <w:pgSz w:h="15840" w:w="12240"/>
          <w:pgMar w:bottom="1080" w:footer="720" w:gutter="0" w:header="720" w:left="1080" w:right="1080" w:top="1080"/>
          <w:cols w:num="2" w:space="288" w:equalWidth="1"/>
          <w:docGrid w:linePitch="360"/>
        </w:sectPr>
        <w:keepNext w:val="0"/>
        <w:keepLines w:val="0"/>
        <w:widowControl w:val="1"/>
      </w:pPr>
      <w:r>
        <w:t xml:space="preserve">The</w:t>
      </w:r>
      <w:r>
        <w:t xml:space="preserve"> </w:t>
      </w:r>
      <w:r>
        <w:rPr>
          <w:b/>
          <w:bCs/>
        </w:rPr>
        <w:t xml:space="preserve">ensemble</w:t>
      </w:r>
      <w:r>
        <w:t xml:space="preserve"> </w:t>
      </w:r>
      <w:r>
        <w:t xml:space="preserve">correlation between length and score is</w:t>
      </w:r>
      <w:r>
        <w:t xml:space="preserve"> </w:t>
      </w:r>
      <m:oMath>
        <m:r>
          <m:t>r</m:t>
        </m:r>
        <m:r>
          <m:rPr>
            <m:sty m:val="p"/>
          </m:rPr>
          <m:t>=</m:t>
        </m:r>
        <m:r>
          <m:rPr>
            <m:sty m:val="p"/>
          </m:rPr>
          <m:t>+</m:t>
        </m:r>
        <m:r>
          <m:t>0.010</m:t>
        </m:r>
      </m:oMath>
      <w:r>
        <w:t xml:space="preserve">, with a 95% bootstrap confidence</w:t>
      </w:r>
      <w:r>
        <w:t xml:space="preserve"> </w:t>
      </w:r>
      <w:r>
        <w:t xml:space="preserve">interval of</w:t>
      </w:r>
      <w:r>
        <w:t xml:space="preserve"> </w:t>
      </w:r>
      <m:oMath>
        <m:r>
          <m:rPr>
            <m:sty m:val="p"/>
          </m:rPr>
          <m:t>[</m:t>
        </m:r>
        <m:r>
          <m:rPr>
            <m:sty m:val="p"/>
          </m:rPr>
          <m:t>−</m:t>
        </m:r>
        <m:r>
          <m:t>0.039</m:t>
        </m:r>
        <m:r>
          <m:rPr>
            <m:sty m:val="p"/>
          </m:rPr>
          <m:t>,</m:t>
        </m:r>
        <m:r>
          <m:t> </m:t>
        </m:r>
        <m:r>
          <m:rPr>
            <m:sty m:val="p"/>
          </m:rPr>
          <m:t>+</m:t>
        </m:r>
        <m:r>
          <m:t>0.057</m:t>
        </m:r>
        <m:r>
          <m:rPr>
            <m:sty m:val="p"/>
          </m:rPr>
          <m:t>]</m:t>
        </m:r>
      </m:oMath>
      <w:r>
        <w:t xml:space="preserve"> </w:t>
      </w:r>
      <w:r>
        <w:t xml:space="preserve">that</w:t>
      </w:r>
      <w:r>
        <w:t xml:space="preserve"> </w:t>
      </w:r>
      <w:r>
        <w:rPr>
          <w:i/>
          <w:iCs/>
        </w:rPr>
        <w:t xml:space="preserve">includes zero</w:t>
      </w:r>
      <w:r>
        <w:t xml:space="preserve">, a 93% reduction in length-bias magnitude relative</w:t>
      </w:r>
      <w:r>
        <w:t xml:space="preserve"> </w:t>
      </w:r>
      <w:r>
        <w:t xml:space="preserve">to the per-judge mean. The mixed-sign individual biases cancel under the averaging of</w:t>
      </w:r>
      <w:r>
        <w:t xml:space="preserve"> </w:t>
      </w:r>
      <m:oMath>
        <m:sSub>
          <m:e>
            <m:acc>
              <m:accPr>
                <m:chr m:val="‾"/>
              </m:accPr>
              <m:e>
                <m:r>
                  <m:t>s</m:t>
                </m:r>
              </m:e>
            </m:acc>
          </m:e>
          <m:sub>
            <m:r>
              <m:t>i</m:t>
            </m:r>
          </m:sub>
        </m:sSub>
      </m:oMath>
      <w:r>
        <w:t xml:space="preserve">, leaving an aggregate</w:t>
      </w:r>
      <w:r>
        <w:t xml:space="preserve"> </w:t>
      </w:r>
      <w:r>
        <w:t xml:space="preserve">score that is statistically indistinguishable from length-neutral.</w:t>
      </w:r>
    </w:p>
    <w:p>
      <w:pPr>
        <w:pStyle w:val="TableCaption"/>
        <w:spacing w:before="120" w:after="60" w:line="240" w:lineRule="auto"/>
        <w:jc w:val="center"/>
        <w:keepNext/>
        <w:keepLines/>
        <w:widowControl w:val="1"/>
      </w:pPr>
      <w:r>
        <w:rPr>
          <w:b/>
          <w:bCs/>
        </w:rPr>
        <w:t xml:space="preserve">Table 4.</w:t>
      </w:r>
      <w:r>
        <w:t xml:space="preserve"> </w:t>
      </w:r>
      <w:r>
        <w:t xml:space="preserve">Verbosity bias (Pearson</w:t>
      </w:r>
      <w:r>
        <w:t xml:space="preserve"> </w:t>
      </w:r>
      <m:oMath>
        <m:r>
          <m:t>r</m:t>
        </m:r>
      </m:oMath>
      <w:r>
        <w:t xml:space="preserve"> </w:t>
      </w:r>
      <w:r>
        <w:t xml:space="preserve">between response length and score) for representative</w:t>
      </w:r>
      <w:r>
        <w:t xml:space="preserve"> </w:t>
      </w:r>
      <w:r>
        <w:t xml:space="preserve">individual judges versus the CoEval ensemble. The ensemble CI includes zero.</w:t>
      </w:r>
    </w:p>
    <w:tbl>
      <w:tblPr>
        <w:tblStyle w:val="Table"/>
        <w:tblW w:type="pct" w:w="5000"/>
        <w:jc w:val="center"/>
        <w:tblLook w:firstRow="1" w:lastRow="0" w:firstColumn="0" w:lastColumn="0" w:noHBand="0" w:noVBand="0" w:val="0020"/>
        <w:tblCaption w:val="Table 4. Verbosity bias (Pearson r between response length and score) for representative individual judges versus the CoEval ensemble. The ensemble CI includes zero."/>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Judge</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Length-bias</w:t>
            </w:r>
            <w:r>
              <w:rPr>
                <w:rFonts w:ascii="Times New Roman" w:hAnsi="Times New Roman"/>
                <w:b/>
                <w:sz w:val="19"/>
              </w:rPr>
              <w:t xml:space="preserve"> </w:t>
            </w:r>
            <m:oMath>
              <m:r>
                <m:t>r</m:t>
              </m:r>
            </m:oMath>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95% bootstrap CI</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gpt-3.5-turbo</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−0.177</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SmolLM2</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+0.234</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Panel mean</w:t>
            </w:r>
            <w:r>
              <w:rPr>
                <w:rFonts w:ascii="Times New Roman" w:hAnsi="Times New Roman"/>
                <w:sz w:val="20"/>
              </w:rPr>
              <w:t xml:space="preserve"> </w:t>
            </w:r>
            <m:oMath>
              <m:bar>
                <m:barPr>
                  <m:pos m:val="top"/>
                </m:barPr>
                <m:e>
                  <m:r>
                    <m:rPr>
                      <m:sty m:val="p"/>
                    </m:rPr>
                    <m:t>|</m:t>
                  </m:r>
                  <m:r>
                    <m:t>r</m:t>
                  </m:r>
                  <m:r>
                    <m:rPr>
                      <m:sty m:val="p"/>
                    </m:rPr>
                    <m:t>|</m:t>
                  </m:r>
                </m:e>
              </m:bar>
            </m:oMath>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0.153</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w:t>
            </w:r>
          </w:p>
        </w:tc>
      </w:tr>
      <w:tr>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CoEval ensemble</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+0.010</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[−0.039, +0.057]</w:t>
            </w:r>
          </w:p>
        </w:tc>
      </w:tr>
    </w:tbl>
    <w:p>
      <w:pPr>
        <w:pStyle w:val="BodyText"/>
        <w:jc w:val="center"/>
        <w:keepNext/>
        <w:keepLines/>
        <w:widowControl w:val="1"/>
      </w:pPr>
      <w:r>
        <w:drawing>
          <wp:inline>
            <wp:extent cx="5163312" cy="2987040"/>
            <wp:effectExtent b="0" l="0" r="0" t="0"/>
            <wp:docPr descr="Forest plot of per-judge length-bias correlations with the ensemble near zero" title="" id="33" name="Picture"/>
            <a:graphic>
              <a:graphicData uri="http://schemas.openxmlformats.org/drawingml/2006/picture">
                <pic:pic>
                  <pic:nvPicPr>
                    <pic:cNvPr descr="figures/f3_verbosity_forest.png" id="34" name="Picture"/>
                    <pic:cNvPicPr>
                      <a:picLocks noChangeArrowheads="1" noChangeAspect="1"/>
                    </pic:cNvPicPr>
                  </pic:nvPicPr>
                  <pic:blipFill>
                    <a:blip r:embed="rId32"/>
                    <a:stretch>
                      <a:fillRect/>
                    </a:stretch>
                  </pic:blipFill>
                  <pic:spPr bwMode="auto">
                    <a:xfrm>
                      <a:off x="0" y="0"/>
                      <a:ext cx="5163312" cy="2987040"/>
                    </a:xfrm>
                    <a:prstGeom prst="rect">
                      <a:avLst/>
                    </a:prstGeom>
                    <a:noFill/>
                    <a:ln w="9525">
                      <a:noFill/>
                      <a:headEnd/>
                      <a:tailEnd/>
                    </a:ln>
                  </pic:spPr>
                </pic:pic>
              </a:graphicData>
            </a:graphic>
          </wp:inline>
        </w:drawing>
      </w:r>
    </w:p>
    <w:p>
      <w:pPr>
        <w:pStyle w:val="ImageCaption"/>
        <w:spacing w:before="80" w:after="120" w:line="240" w:lineRule="auto"/>
        <w:jc w:val="center"/>
        <w:sectPr w:rsidR="00FC693F" w:rsidRPr="0006063C" w:rsidSect="00034616">
          <w:type w:val="continuous"/>
          <w:pgSz w:h="15840" w:w="12240"/>
          <w:pgMar w:bottom="1080" w:footer="720" w:gutter="0" w:header="720" w:left="1080" w:right="1080" w:top="1080"/>
          <w:cols w:num="1" w:space="288"/>
          <w:docGrid w:linePitch="360"/>
        </w:sectPr>
        <w:keepNext w:val="0"/>
        <w:keepLines/>
        <w:widowControl w:val="1"/>
      </w:pPr>
      <w:r>
        <w:rPr>
          <w:b/>
          <w:bCs/>
        </w:rPr>
        <w:t xml:space="preserve">Figure 4.</w:t>
      </w:r>
      <w:r>
        <w:t xml:space="preserve"> </w:t>
      </w:r>
      <w:r>
        <w:t xml:space="preserve">Verbosity bias by judge. Each judge's Pearson correlation between response</w:t>
      </w:r>
      <w:r>
        <w:t xml:space="preserve"> </w:t>
      </w:r>
      <w:r>
        <w:t xml:space="preserve">length and score (point) with its 95% bootstrap CI; the ensemble (green) sits at</w:t>
      </w:r>
      <w:r>
        <w:t xml:space="preserve"> </w:t>
      </w:r>
      <m:oMath>
        <m:r>
          <m:t>r</m:t>
        </m:r>
        <m:r>
          <m:rPr>
            <m:sty m:val="p"/>
          </m:rPr>
          <m:t>=</m:t>
        </m:r>
        <m:r>
          <m:rPr>
            <m:sty m:val="p"/>
          </m:rPr>
          <m:t>+</m:t>
        </m:r>
        <m:r>
          <m:t>0.010</m:t>
        </m:r>
      </m:oMath>
      <w:r>
        <w:t xml:space="preserve"> </w:t>
      </w:r>
      <w:r>
        <w:t xml:space="preserve">with a CI spanning zero.</w:t>
      </w:r>
      <w:r>
        <w:t xml:space="preserve"> </w:t>
      </w:r>
      <w:r>
        <w:t xml:space="preserve">Mixed-sign per-judge biases cancel under averaging.</w:t>
      </w:r>
    </w:p>
    <w:p>
      <w:pPr>
        <w:pStyle w:val="BodyText"/>
        <w:jc w:val="both"/>
        <w:keepNext w:val="0"/>
        <w:keepLines w:val="0"/>
        <w:widowControl w:val="1"/>
      </w:pPr>
      <w:r>
        <w:rPr>
          <w:b/>
          <w:bCs/>
        </w:rPr>
        <w:t xml:space="preserve">Finding (bias cancellation).</w:t>
      </w:r>
      <w:r>
        <w:t xml:space="preserve"> </w:t>
      </w:r>
      <w:r>
        <w:t xml:space="preserve">The ensemble removes a verbosity bias that no single judge avoids:</w:t>
      </w:r>
      <w:r>
        <w:t xml:space="preserve"> </w:t>
      </w:r>
      <w:r>
        <w:t xml:space="preserve">mean per-judge</w:t>
      </w:r>
      <w:r>
        <w:t xml:space="preserve"> </w:t>
      </w:r>
      <m:oMath>
        <m:r>
          <m:rPr>
            <m:sty m:val="p"/>
          </m:rPr>
          <m:t>|</m:t>
        </m:r>
        <m:r>
          <m:t>r</m:t>
        </m:r>
        <m:r>
          <m:rPr>
            <m:sty m:val="p"/>
          </m:rPr>
          <m:t>|</m:t>
        </m:r>
        <m:r>
          <m:rPr>
            <m:sty m:val="p"/>
          </m:rPr>
          <m:t>=</m:t>
        </m:r>
        <m:r>
          <m:t>0.153</m:t>
        </m:r>
      </m:oMath>
      <w:r>
        <w:t xml:space="preserve"> </w:t>
      </w:r>
      <w:r>
        <w:t xml:space="preserve">collapses to an ensemble</w:t>
      </w:r>
      <w:r>
        <w:t xml:space="preserve"> </w:t>
      </w:r>
      <m:oMath>
        <m:r>
          <m:t>r</m:t>
        </m:r>
        <m:r>
          <m:rPr>
            <m:sty m:val="p"/>
          </m:rPr>
          <m:t>=</m:t>
        </m:r>
        <m:r>
          <m:rPr>
            <m:sty m:val="p"/>
          </m:rPr>
          <m:t>+</m:t>
        </m:r>
        <m:r>
          <m:t>0.010</m:t>
        </m:r>
      </m:oMath>
      <w:r>
        <w:t xml:space="preserve"> </w:t>
      </w:r>
      <w:r>
        <w:t xml:space="preserve">whose 95% CI</w:t>
      </w:r>
      <w:r>
        <w:t xml:space="preserve"> </w:t>
      </w:r>
      <m:oMath>
        <m:r>
          <m:rPr>
            <m:sty m:val="p"/>
          </m:rPr>
          <m:t>[</m:t>
        </m:r>
        <m:r>
          <m:rPr>
            <m:sty m:val="p"/>
          </m:rPr>
          <m:t>−</m:t>
        </m:r>
        <m:r>
          <m:t>0.039</m:t>
        </m:r>
        <m:r>
          <m:rPr>
            <m:sty m:val="p"/>
          </m:rPr>
          <m:t>,</m:t>
        </m:r>
        <m:r>
          <m:rPr>
            <m:sty m:val="p"/>
          </m:rPr>
          <m:t>+</m:t>
        </m:r>
        <m:r>
          <m:t>0.057</m:t>
        </m:r>
        <m:r>
          <m:rPr>
            <m:sty m:val="p"/>
          </m:rPr>
          <m:t>]</m:t>
        </m:r>
      </m:oMath>
      <w:r>
        <w:t xml:space="preserve"> </w:t>
      </w:r>
      <w:r>
        <w:t xml:space="preserve">contains zero, a</w:t>
      </w:r>
      <w:r>
        <w:t xml:space="preserve"> </w:t>
      </w:r>
      <w:r>
        <w:t xml:space="preserve">93% reduction.</w:t>
      </w:r>
    </w:p>
    <w:bookmarkEnd w:id="35"/>
    <w:bookmarkStart w:id="36" w:name="Xafb02bce621e02934ae814be540128cfed2d296"/>
    <w:p>
      <w:pPr>
        <w:pStyle w:val="Heading3"/>
        <w:keepNext/>
        <w:keepLines/>
        <w:widowControl w:val="1"/>
      </w:pPr>
      <w:r>
        <w:t xml:space="preserve">5.4 Cross-family self-preference: a design property</w:t>
      </w:r>
    </w:p>
    <w:p>
      <w:pPr>
        <w:pStyle w:val="FirstParagraph"/>
        <w:jc w:val="both"/>
        <w:keepNext w:val="0"/>
        <w:keepLines w:val="0"/>
        <w:widowControl w:val="1"/>
      </w:pPr>
      <w:r>
        <w:t xml:space="preserve">Recent work establishes that judge–generator relatedness inflates scores:</w:t>
      </w:r>
      <w:r>
        <w:t xml:space="preserve"> </w:t>
      </w:r>
      <w:r>
        <w:rPr>
          <w:i/>
          <w:iCs/>
        </w:rPr>
        <w:t xml:space="preserve">Preference Leakage</w:t>
      </w:r>
      <w:r>
        <w:t xml:space="preserve"> </w:t>
      </w:r>
      <w:r>
        <w:t xml:space="preserve">[</w:t>
      </w:r>
      <w:hyperlink w:anchor="r15">
        <w:r>
          <w:rPr>
            <w:rStyle w:val="Hyperlink"/>
          </w:rPr>
          <w:t xml:space="preserve">15</w:t>
        </w:r>
      </w:hyperlink>
      <w:r>
        <w:t xml:space="preserve">] identifies same-model and same-family relatedness as a contamination vector, and</w:t>
      </w:r>
      <w:r>
        <w:t xml:space="preserve"> </w:t>
      </w:r>
      <w:r>
        <w:rPr>
          <w:i/>
          <w:iCs/>
        </w:rPr>
        <w:t xml:space="preserve">Play Favorites</w:t>
      </w:r>
      <w:r>
        <w:t xml:space="preserve"> </w:t>
      </w:r>
      <w:r>
        <w:t xml:space="preserve">[</w:t>
      </w:r>
      <w:hyperlink w:anchor="r16">
        <w:r>
          <w:rPr>
            <w:rStyle w:val="Hyperlink"/>
          </w:rPr>
          <w:t xml:space="preserve">16</w:t>
        </w:r>
      </w:hyperlink>
      <w:r>
        <w:t xml:space="preserve">] measures frontier models favoring same-family outputs.</w:t>
      </w:r>
      <w:r>
        <w:t xml:space="preserve"> </w:t>
      </w:r>
      <w:r>
        <w:t xml:space="preserve">CoEval addresses this</w:t>
      </w:r>
      <w:r>
        <w:t xml:space="preserve"> </w:t>
      </w:r>
      <w:r>
        <w:rPr>
          <w:i/>
          <w:iCs/>
        </w:rPr>
        <w:t xml:space="preserve">structurally</w:t>
      </w:r>
      <w:r>
        <w:t xml:space="preserve">: by requiring the judge panel to be vendor-disjoint from the student under</w:t>
      </w:r>
      <w:r>
        <w:t xml:space="preserve"> </w:t>
      </w:r>
      <w:r>
        <w:t xml:space="preserve">test, it precludes a model from scoring its own family, eliminating the self-preference channel by design rather than</w:t>
      </w:r>
      <w:r>
        <w:t xml:space="preserve"> </w:t>
      </w:r>
      <w:r>
        <w:t xml:space="preserve">by post-hoc correction. Because no judge ever scores its own family, a same-family preference cannot enter the</w:t>
      </w:r>
      <w:r>
        <w:t xml:space="preserve"> </w:t>
      </w:r>
      <w:r>
        <w:t xml:space="preserve">aggregate in the first place, regardless of its magnitude on any individual model.</w:t>
      </w:r>
    </w:p>
    <w:p>
      <w:pPr>
        <w:pStyle w:val="BodyText"/>
        <w:jc w:val="both"/>
        <w:keepNext w:val="0"/>
        <w:keepLines w:val="0"/>
        <w:widowControl w:val="1"/>
      </w:pPr>
      <w:r>
        <w:t xml:space="preserve">We also measure the residual same-family preference directly. The vertical case studies (Section 5.7) include</w:t>
      </w:r>
      <w:r>
        <w:t xml:space="preserve"> </w:t>
      </w:r>
      <w:r>
        <w:rPr>
          <w:rStyle w:val="VerbatimChar"/>
        </w:rPr>
        <w:t xml:space="preserve">gpt-4o-mini</w:t>
      </w:r>
      <w:r>
        <w:t xml:space="preserve"> </w:t>
      </w:r>
      <w:r>
        <w:t xml:space="preserve">as both a judge and a candidate, which lets us isolate self-preference as a</w:t>
      </w:r>
      <w:r>
        <w:t xml:space="preserve"> </w:t>
      </w:r>
      <w:r>
        <w:t xml:space="preserve">difference-in-differences that controls for a judge's overall harshness (how much more the same-family judge favors the</w:t>
      </w:r>
      <w:r>
        <w:t xml:space="preserve"> </w:t>
      </w:r>
      <w:r>
        <w:t xml:space="preserve">in-family candidate over a rival than the cross-family judges do). Across the three verticals the residual effect is</w:t>
      </w:r>
      <w:r>
        <w:t xml:space="preserve"> </w:t>
      </w:r>
      <w:r>
        <w:t xml:space="preserve">small and inconsistent in sign,</w:t>
      </w:r>
      <w:r>
        <w:t xml:space="preserve"> </w:t>
      </w:r>
      <m:oMath>
        <m:r>
          <m:rPr>
            <m:sty m:val="p"/>
          </m:rPr>
          <m:t>+</m:t>
        </m:r>
        <m:r>
          <m:t>0.04</m:t>
        </m:r>
      </m:oMath>
      <w:r>
        <w:t xml:space="preserve"> </w:t>
      </w:r>
      <w:r>
        <w:t xml:space="preserve">on clinical reasoning (95% CI</w:t>
      </w:r>
      <w:r>
        <w:t xml:space="preserve"> </w:t>
      </w:r>
      <m:oMath>
        <m:r>
          <m:rPr>
            <m:sty m:val="p"/>
          </m:rPr>
          <m:t>[</m:t>
        </m:r>
        <m:r>
          <m:rPr>
            <m:sty m:val="p"/>
          </m:rPr>
          <m:t>−</m:t>
        </m:r>
        <m:r>
          <m:t>0.00</m:t>
        </m:r>
        <m:r>
          <m:rPr>
            <m:sty m:val="p"/>
          </m:rPr>
          <m:t>,</m:t>
        </m:r>
        <m:r>
          <m:rPr>
            <m:sty m:val="p"/>
          </m:rPr>
          <m:t>+</m:t>
        </m:r>
        <m:r>
          <m:t>0.08</m:t>
        </m:r>
        <m:r>
          <m:rPr>
            <m:sty m:val="p"/>
          </m:rPr>
          <m:t>]</m:t>
        </m:r>
      </m:oMath>
      <w:r>
        <w:t xml:space="preserve">),</w:t>
      </w:r>
      <w:r>
        <w:t xml:space="preserve"> </w:t>
      </w:r>
      <m:oMath>
        <m:r>
          <m:rPr>
            <m:sty m:val="p"/>
          </m:rPr>
          <m:t>−</m:t>
        </m:r>
        <m:r>
          <m:t>0.04</m:t>
        </m:r>
      </m:oMath>
      <w:r>
        <w:t xml:space="preserve"> </w:t>
      </w:r>
      <w:r>
        <w:t xml:space="preserve">on legal, and</w:t>
      </w:r>
      <w:r>
        <w:t xml:space="preserve"> </w:t>
      </w:r>
      <m:oMath>
        <m:r>
          <m:rPr>
            <m:sty m:val="p"/>
          </m:rPr>
          <m:t>−</m:t>
        </m:r>
        <m:r>
          <m:t>0.04</m:t>
        </m:r>
      </m:oMath>
      <w:r>
        <w:t xml:space="preserve"> </w:t>
      </w:r>
      <w:r>
        <w:t xml:space="preserve">on drug-interaction: in a cross-family panel no systematic self-inflation survives, consistent with vendor diversity</w:t>
      </w:r>
      <w:r>
        <w:t xml:space="preserve"> </w:t>
      </w:r>
      <w:r>
        <w:t xml:space="preserve">already neutralizing it. The structural guarantee makes this robustness automatic rather than incidental: because a</w:t>
      </w:r>
      <w:r>
        <w:t xml:space="preserve"> </w:t>
      </w:r>
      <w:r>
        <w:t xml:space="preserve">model never scores its own family, a same-family preference of any sign or magnitude cannot enter the aggregate.</w:t>
      </w:r>
    </w:p>
    <w:p>
      <w:pPr>
        <w:pStyle w:val="BodyText"/>
        <w:jc w:val="both"/>
        <w:keepNext w:val="0"/>
        <w:keepLines w:val="0"/>
        <w:widowControl w:val="1"/>
      </w:pPr>
      <w:r>
        <w:t xml:space="preserve">Beyond the structural guarantee, CoEval can</w:t>
      </w:r>
      <w:r>
        <w:t xml:space="preserve"> </w:t>
      </w:r>
      <w:r>
        <w:rPr>
          <w:i/>
          <w:iCs/>
        </w:rPr>
        <w:t xml:space="preserve">explicitly</w:t>
      </w:r>
      <w:r>
        <w:t xml:space="preserve"> </w:t>
      </w:r>
      <w:r>
        <w:t xml:space="preserve">account for systematic same-family bias through</w:t>
      </w:r>
      <w:r>
        <w:t xml:space="preserve"> </w:t>
      </w:r>
      <w:r>
        <w:rPr>
          <w:i/>
          <w:iCs/>
        </w:rPr>
        <w:t xml:space="preserve">vendor-disjoint aggregation</w:t>
      </w:r>
      <w:r>
        <w:t xml:space="preserve">: when scoring a model under test, the ensemble drops any judge that shares the</w:t>
      </w:r>
      <w:r>
        <w:t xml:space="preserve"> </w:t>
      </w:r>
      <w:r>
        <w:t xml:space="preserve">model's vendor family, so no model contributes to its own family's score. Applying this correction to the rankings</w:t>
      </w:r>
      <w:r>
        <w:t xml:space="preserve"> </w:t>
      </w:r>
      <w:r>
        <w:t xml:space="preserve">of Tables 3 and 5 leaves</w:t>
      </w:r>
      <w:r>
        <w:t xml:space="preserve"> </w:t>
      </w:r>
      <w:r>
        <w:rPr>
          <w:i/>
          <w:iCs/>
        </w:rPr>
        <w:t xml:space="preserve">every</w:t>
      </w:r>
      <w:r>
        <w:t xml:space="preserve"> </w:t>
      </w:r>
      <w:r>
        <w:t xml:space="preserve">ranking unchanged, with per-model scores shifting by at most</w:t>
      </w:r>
      <w:r>
        <w:t xml:space="preserve"> </w:t>
      </w:r>
      <m:oMath>
        <m:r>
          <m:t>0.015</m:t>
        </m:r>
      </m:oMath>
      <w:r>
        <w:t xml:space="preserve">, a direct, auditable confirmation that the cross-family ensemble's rankings are already robust to</w:t>
      </w:r>
      <w:r>
        <w:t xml:space="preserve"> </w:t>
      </w:r>
      <w:r>
        <w:t xml:space="preserve">same-family bias. The correction is therefore available as a safeguard, and its null effect here is itself evidence</w:t>
      </w:r>
      <w:r>
        <w:t xml:space="preserve"> </w:t>
      </w:r>
      <w:r>
        <w:t xml:space="preserve">that vendor diversity, not a post-hoc adjustment, is doing the work.</w:t>
      </w:r>
    </w:p>
    <w:p>
      <w:pPr>
        <w:pStyle w:val="BodyText"/>
        <w:jc w:val="both"/>
        <w:keepNext w:val="0"/>
        <w:keepLines w:val="0"/>
        <w:widowControl w:val="1"/>
      </w:pPr>
      <w:r>
        <w:rPr>
          <w:b/>
          <w:bCs/>
        </w:rPr>
        <w:t xml:space="preserve">Finding (self-preference).</w:t>
      </w:r>
      <w:r>
        <w:t xml:space="preserve"> </w:t>
      </w:r>
      <w:r>
        <w:t xml:space="preserve">CoEval's vendor-disjoint panel structurally precludes a model from judging</w:t>
      </w:r>
      <w:r>
        <w:t xml:space="preserve"> </w:t>
      </w:r>
      <w:r>
        <w:t xml:space="preserve">its own family. The measured residual same-family preference is small and inconsistent in sign across three verticals</w:t>
      </w:r>
      <w:r>
        <w:t xml:space="preserve"> </w:t>
      </w:r>
      <w:r>
        <w:t xml:space="preserve">(</w:t>
      </w:r>
      <m:oMath>
        <m:r>
          <m:rPr>
            <m:sty m:val="p"/>
          </m:rPr>
          <m:t>|</m:t>
        </m:r>
        <m:r>
          <m:rPr>
            <m:nor/>
            <m:sty m:val="p"/>
          </m:rPr>
          <m:t>effect</m:t>
        </m:r>
        <m:r>
          <m:rPr>
            <m:sty m:val="p"/>
          </m:rPr>
          <m:t>|</m:t>
        </m:r>
        <m:r>
          <m:rPr>
            <m:sty m:val="p"/>
          </m:rPr>
          <m:t>≤</m:t>
        </m:r>
        <m:r>
          <m:t>0.04</m:t>
        </m:r>
      </m:oMath>
      <w:r>
        <w:t xml:space="preserve">), and vendor-disjoint aggregation leaves every ranking unchanged (scores shift</w:t>
      </w:r>
      <w:r>
        <w:t xml:space="preserve"> </w:t>
      </w:r>
      <m:oMath>
        <m:r>
          <m:rPr>
            <m:sty m:val="p"/>
          </m:rPr>
          <m:t>≤</m:t>
        </m:r>
        <m:r>
          <m:t>0.015</m:t>
        </m:r>
      </m:oMath>
      <w:r>
        <w:t xml:space="preserve">): the cross-family design neutralizes self-preference by construction.</w:t>
      </w:r>
    </w:p>
    <w:bookmarkEnd w:id="36"/>
    <w:bookmarkStart w:id="37" w:name="contamination-resistance"/>
    <w:p>
      <w:pPr>
        <w:pStyle w:val="Heading3"/>
        <w:keepNext/>
        <w:keepLines/>
        <w:widowControl w:val="1"/>
      </w:pPr>
      <w:r>
        <w:t xml:space="preserve">5.5 Contamination resistance</w:t>
      </w:r>
    </w:p>
    <w:p>
      <w:pPr>
        <w:pStyle w:val="FirstParagraph"/>
        <w:jc w:val="both"/>
        <w:keepNext w:val="0"/>
        <w:keepLines w:val="0"/>
        <w:widowControl w:val="1"/>
      </w:pPr>
      <w:r>
        <w:t xml:space="preserve">We test the contamination-resistance claim empirically. We take the 400 CoEval-generated items from the</w:t>
      </w:r>
      <w:r>
        <w:t xml:space="preserve"> </w:t>
      </w:r>
      <w:r>
        <w:rPr>
          <w:rStyle w:val="VerbatimChar"/>
        </w:rPr>
        <w:t xml:space="preserve">medium-benchmark</w:t>
      </w:r>
      <w:r>
        <w:t xml:space="preserve"> </w:t>
      </w:r>
      <w:r>
        <w:t xml:space="preserve">study and measure their verbatim 13-gram overlap against a corpus of 491 items drawn</w:t>
      </w:r>
      <w:r>
        <w:t xml:space="preserve"> </w:t>
      </w:r>
      <w:r>
        <w:t xml:space="preserve">from five widely used public benchmarks (XSum, CNN/DailyMail, CodeSearchNet, SciQ, ARC-Challenge), datasets that</w:t>
      </w:r>
      <w:r>
        <w:t xml:space="preserve"> </w:t>
      </w:r>
      <w:r>
        <w:t xml:space="preserve">are, by virtue of their age and popularity, present in the pretraining corpora of current models. Across</w:t>
      </w:r>
      <w:r>
        <w:t xml:space="preserve"> </w:t>
      </w:r>
      <m:oMath>
        <m:r>
          <m:t>110</m:t>
        </m:r>
        <m:r>
          <m:rPr>
            <m:sty m:val="p"/>
          </m:rPr>
          <m:t>,</m:t>
        </m:r>
        <m:r>
          <m:t>784</m:t>
        </m:r>
      </m:oMath>
      <w:r>
        <w:t xml:space="preserve"> </w:t>
      </w:r>
      <w:r>
        <w:t xml:space="preserve">distinct public 13-grams,</w:t>
      </w:r>
      <w:r>
        <w:t xml:space="preserve"> </w:t>
      </w:r>
      <w:r>
        <w:rPr>
          <w:b/>
          <w:bCs/>
        </w:rPr>
        <w:t xml:space="preserve">not a single CoEval-generated item shares any 13-gram</w:t>
      </w:r>
      <w:r>
        <w:t xml:space="preserve"> </w:t>
      </w:r>
      <w:r>
        <w:t xml:space="preserve">with the</w:t>
      </w:r>
      <w:r>
        <w:t xml:space="preserve"> </w:t>
      </w:r>
      <w:r>
        <w:t xml:space="preserve">public corpus: mean and maximum overlap are both</w:t>
      </w:r>
      <w:r>
        <w:t xml:space="preserve"> </w:t>
      </w:r>
      <m:oMath>
        <m:r>
          <m:t>0.0000</m:t>
        </m:r>
      </m:oMath>
      <w:r>
        <w:t xml:space="preserve">, and</w:t>
      </w:r>
      <w:r>
        <w:t xml:space="preserve"> </w:t>
      </w:r>
      <m:oMath>
        <m:r>
          <m:t>0</m:t>
        </m:r>
        <m:r>
          <m:rPr>
            <m:sty m:val="p"/>
          </m:rPr>
          <m:t>%</m:t>
        </m:r>
      </m:oMath>
      <w:r>
        <w:t xml:space="preserve"> </w:t>
      </w:r>
      <w:r>
        <w:t xml:space="preserve">of generated items share any 13-gram. This</w:t>
      </w:r>
      <w:r>
        <w:t xml:space="preserve"> </w:t>
      </w:r>
      <w:r>
        <w:t xml:space="preserve">verbatim non-duplication</w:t>
      </w:r>
      <w:r>
        <w:t xml:space="preserve"> </w:t>
      </w:r>
      <w:r>
        <w:rPr>
          <w:i/>
          <w:iCs/>
        </w:rPr>
        <w:t xml:space="preserve">corroborates</w:t>
      </w:r>
      <w:r>
        <w:t xml:space="preserve"> </w:t>
      </w:r>
      <w:r>
        <w:t xml:space="preserve">the structural guarantee: because items are synthesized fresh from the</w:t>
      </w:r>
      <w:r>
        <w:t xml:space="preserve"> </w:t>
      </w:r>
      <w:r>
        <w:t xml:space="preserve">attribute specification on each run, they cannot have appeared in any model's</w:t>
      </w:r>
      <w:r>
        <w:t xml:space="preserve"> </w:t>
      </w:r>
      <w:r>
        <w:rPr>
          <w:i/>
          <w:iCs/>
        </w:rPr>
        <w:t xml:space="preserve">prior</w:t>
      </w:r>
      <w:r>
        <w:t xml:space="preserve"> </w:t>
      </w:r>
      <w:r>
        <w:t xml:space="preserve">training, and a model</w:t>
      </w:r>
      <w:r>
        <w:t xml:space="preserve"> </w:t>
      </w:r>
      <w:r>
        <w:t xml:space="preserve">cannot retrieve them from a leaked copy of these widely-used benchmarks. (The scope from Section 5.1 holds: this</w:t>
      </w:r>
      <w:r>
        <w:t xml:space="preserve"> </w:t>
      </w:r>
      <w:r>
        <w:t xml:space="preserve">applies to CoEval's generated items; the benchmark-grounded anchor of Table 2 deliberately reuses public items to</w:t>
      </w:r>
      <w:r>
        <w:t xml:space="preserve"> </w:t>
      </w:r>
      <w:r>
        <w:t xml:space="preserve">obtain objective ground truth.)</w:t>
      </w:r>
    </w:p>
    <w:p>
      <w:pPr>
        <w:pStyle w:val="BodyText"/>
        <w:jc w:val="both"/>
        <w:keepNext w:val="0"/>
        <w:keepLines w:val="0"/>
        <w:widowControl w:val="1"/>
      </w:pPr>
      <w:r>
        <w:t xml:space="preserve">Non-duplication shows the items are fresh; a controlled study shows why that matters. We fine-tune a small open model</w:t>
      </w:r>
      <w:r>
        <w:t xml:space="preserve"> </w:t>
      </w:r>
      <w:r>
        <w:t xml:space="preserve">(Qwen2.5-0.5B) to memorize</w:t>
      </w:r>
      <w:r>
        <w:t xml:space="preserve"> </w:t>
      </w:r>
      <m:oMath>
        <m:r>
          <m:t>200</m:t>
        </m:r>
      </m:oMath>
      <w:r>
        <w:t xml:space="preserve"> </w:t>
      </w:r>
      <w:r>
        <w:t xml:space="preserve">public SciQ items, turning that public set into a contaminated benchmark, and compare</w:t>
      </w:r>
      <w:r>
        <w:t xml:space="preserve"> </w:t>
      </w:r>
      <w:r>
        <w:t xml:space="preserve">it against a clean frontier model (</w:t>
      </w:r>
      <w:r>
        <w:rPr>
          <w:rStyle w:val="VerbatimChar"/>
        </w:rPr>
        <w:t xml:space="preserve">gpt-4o-mini</w:t>
      </w:r>
      <w:r>
        <w:t xml:space="preserve">) on both the memorized set and</w:t>
      </w:r>
      <w:r>
        <w:t xml:space="preserve"> </w:t>
      </w:r>
      <m:oMath>
        <m:r>
          <m:t>100</m:t>
        </m:r>
      </m:oMath>
      <w:r>
        <w:t xml:space="preserve"> </w:t>
      </w:r>
      <w:r>
        <w:t xml:space="preserve">fresh held-out items</w:t>
      </w:r>
      <w:r>
        <w:t xml:space="preserve"> </w:t>
      </w:r>
      <w:r>
        <w:t xml:space="preserve">of the same capability. On the contaminated benchmark the memorizer scores a perfect</w:t>
      </w:r>
      <w:r>
        <w:t xml:space="preserve"> </w:t>
      </w:r>
      <m:oMath>
        <m:r>
          <m:t>1.00</m:t>
        </m:r>
      </m:oMath>
      <w:r>
        <w:t xml:space="preserve"> </w:t>
      </w:r>
      <w:r>
        <w:t xml:space="preserve">and is ranked</w:t>
      </w:r>
      <w:r>
        <w:t xml:space="preserve"> </w:t>
      </w:r>
      <w:r>
        <w:rPr>
          <w:i/>
          <w:iCs/>
        </w:rPr>
        <w:t xml:space="preserve">above</w:t>
      </w:r>
      <w:r>
        <w:t xml:space="preserve"> </w:t>
      </w:r>
      <w:r>
        <w:rPr>
          <w:rStyle w:val="VerbatimChar"/>
        </w:rPr>
        <w:t xml:space="preserve">gpt-4o-mini</w:t>
      </w:r>
      <w:r>
        <w:t xml:space="preserve"> </w:t>
      </w:r>
      <w:r>
        <w:t xml:space="preserve">(</w:t>
      </w:r>
      <m:oMath>
        <m:r>
          <m:t>0.845</m:t>
        </m:r>
      </m:oMath>
      <w:r>
        <w:t xml:space="preserve">); on the fresh items the order is correct, with</w:t>
      </w:r>
      <w:r>
        <w:t xml:space="preserve"> </w:t>
      </w:r>
      <w:r>
        <w:rPr>
          <w:rStyle w:val="VerbatimChar"/>
        </w:rPr>
        <w:t xml:space="preserve">gpt-4o-mini</w:t>
      </w:r>
      <w:r>
        <w:t xml:space="preserve"> </w:t>
      </w:r>
      <w:r>
        <w:t xml:space="preserve">(</w:t>
      </w:r>
      <m:oMath>
        <m:r>
          <m:t>0.81</m:t>
        </m:r>
      </m:oMath>
      <w:r>
        <w:t xml:space="preserve">) above the memorizer (</w:t>
      </w:r>
      <m:oMath>
        <m:r>
          <m:t>0.74</m:t>
        </m:r>
      </m:oMath>
      <w:r>
        <w:t xml:space="preserve">, its fresh-measured capability). The</w:t>
      </w:r>
      <w:r>
        <w:t xml:space="preserve"> </w:t>
      </w:r>
      <w:r>
        <w:t xml:space="preserve">memorized-minus-fresh gap isolates memorization from any skill the fine-tuning also imparted: the clean base model's</w:t>
      </w:r>
      <w:r>
        <w:t xml:space="preserve"> </w:t>
      </w:r>
      <w:r>
        <w:t xml:space="preserve">gap is</w:t>
      </w:r>
      <w:r>
        <w:t xml:space="preserve"> </w:t>
      </w:r>
      <m:oMath>
        <m:r>
          <m:t>0.10</m:t>
        </m:r>
      </m:oMath>
      <w:r>
        <w:t xml:space="preserve"> </w:t>
      </w:r>
      <w:r>
        <w:t xml:space="preserve">(</w:t>
      </w:r>
      <m:oMath>
        <m:r>
          <m:t>0.625</m:t>
        </m:r>
      </m:oMath>
      <w:r>
        <w:t xml:space="preserve"> </w:t>
      </w:r>
      <w:r>
        <w:t xml:space="preserve">vs</w:t>
      </w:r>
      <w:r>
        <w:t xml:space="preserve"> </w:t>
      </w:r>
      <m:oMath>
        <m:r>
          <m:t>0.53</m:t>
        </m:r>
      </m:oMath>
      <w:r>
        <w:t xml:space="preserve">) while the contaminated model's is</w:t>
      </w:r>
      <w:r>
        <w:t xml:space="preserve"> </w:t>
      </w:r>
      <m:oMath>
        <m:r>
          <m:t>0.26</m:t>
        </m:r>
      </m:oMath>
      <w:r>
        <w:t xml:space="preserve"> </w:t>
      </w:r>
      <w:r>
        <w:t xml:space="preserve">(</w:t>
      </w:r>
      <m:oMath>
        <m:r>
          <m:t>1.00</m:t>
        </m:r>
      </m:oMath>
      <w:r>
        <w:t xml:space="preserve"> </w:t>
      </w:r>
      <w:r>
        <w:t xml:space="preserve">vs</w:t>
      </w:r>
      <w:r>
        <w:t xml:space="preserve"> </w:t>
      </w:r>
      <m:oMath>
        <m:r>
          <m:t>0.74</m:t>
        </m:r>
      </m:oMath>
      <w:r>
        <w:t xml:space="preserve">), so</w:t>
      </w:r>
      <w:r>
        <w:t xml:space="preserve"> </w:t>
      </w:r>
      <m:oMath>
        <m:r>
          <m:t>0.16</m:t>
        </m:r>
      </m:oMath>
      <w:r>
        <w:t xml:space="preserve"> </w:t>
      </w:r>
      <w:r>
        <w:t xml:space="preserve">of its</w:t>
      </w:r>
      <w:r>
        <w:t xml:space="preserve"> </w:t>
      </w:r>
      <w:r>
        <w:t xml:space="preserve">apparent edge on the static benchmark is pure memorization that fresh items strip away. A static, possibly-contaminated</w:t>
      </w:r>
      <w:r>
        <w:t xml:space="preserve"> </w:t>
      </w:r>
      <w:r>
        <w:t xml:space="preserve">leaderboard thus ranks a</w:t>
      </w:r>
      <w:r>
        <w:t xml:space="preserve"> </w:t>
      </w:r>
      <m:oMath>
        <m:r>
          <m:t>0.5</m:t>
        </m:r>
      </m:oMath>
      <w:r>
        <w:t xml:space="preserve">B memorizer ahead of a frontier model, an inversion that CoEval's freshly-generated</w:t>
      </w:r>
      <w:r>
        <w:t xml:space="preserve"> </w:t>
      </w:r>
      <w:r>
        <w:t xml:space="preserve">items remove because no candidate can have trained on items synthesized after the fact.</w:t>
      </w:r>
    </w:p>
    <w:p>
      <w:pPr>
        <w:pStyle w:val="BodyText"/>
        <w:jc w:val="both"/>
        <w:keepNext w:val="0"/>
        <w:keepLines w:val="0"/>
        <w:widowControl w:val="1"/>
      </w:pPr>
      <w:r>
        <w:rPr>
          <w:b/>
          <w:bCs/>
        </w:rPr>
        <w:t xml:space="preserve">Finding (contamination).</w:t>
      </w:r>
      <w:r>
        <w:t xml:space="preserve"> </w:t>
      </w:r>
      <w:r>
        <w:t xml:space="preserve">A static benchmark of memorized public items ranks a</w:t>
      </w:r>
      <w:r>
        <w:t xml:space="preserve"> </w:t>
      </w:r>
      <m:oMath>
        <m:r>
          <m:t>0.5</m:t>
        </m:r>
      </m:oMath>
      <w:r>
        <w:t xml:space="preserve">B memorizer</w:t>
      </w:r>
      <w:r>
        <w:t xml:space="preserve"> </w:t>
      </w:r>
      <w:r>
        <w:rPr>
          <w:i/>
          <w:iCs/>
        </w:rPr>
        <w:t xml:space="preserve">above</w:t>
      </w:r>
      <w:r>
        <w:t xml:space="preserve"> </w:t>
      </w:r>
      <w:r>
        <w:rPr>
          <w:rStyle w:val="VerbatimChar"/>
        </w:rPr>
        <w:t xml:space="preserve">gpt-4o-mini</w:t>
      </w:r>
      <w:r>
        <w:t xml:space="preserve"> </w:t>
      </w:r>
      <w:r>
        <w:t xml:space="preserve">(</w:t>
      </w:r>
      <m:oMath>
        <m:r>
          <m:t>1.00</m:t>
        </m:r>
      </m:oMath>
      <w:r>
        <w:t xml:space="preserve"> </w:t>
      </w:r>
      <w:r>
        <w:t xml:space="preserve">vs</w:t>
      </w:r>
      <w:r>
        <w:t xml:space="preserve"> </w:t>
      </w:r>
      <m:oMath>
        <m:r>
          <m:t>0.845</m:t>
        </m:r>
      </m:oMath>
      <w:r>
        <w:t xml:space="preserve">); on fresh items of the same capability the order inverts to</w:t>
      </w:r>
      <w:r>
        <w:t xml:space="preserve"> </w:t>
      </w:r>
      <w:r>
        <w:t xml:space="preserve">the correct one (</w:t>
      </w:r>
      <w:r>
        <w:rPr>
          <w:rStyle w:val="VerbatimChar"/>
        </w:rPr>
        <w:t xml:space="preserve">gpt-4o-mini</w:t>
      </w:r>
      <w:r>
        <w:t xml:space="preserve"> </w:t>
      </w:r>
      <m:oMath>
        <m:r>
          <m:t>0.81</m:t>
        </m:r>
        <m:r>
          <m:rPr>
            <m:sty m:val="p"/>
          </m:rPr>
          <m:t>&gt;</m:t>
        </m:r>
      </m:oMath>
      <w:r>
        <w:t xml:space="preserve"> </w:t>
      </w:r>
      <w:r>
        <w:t xml:space="preserve">memorizer</w:t>
      </w:r>
      <w:r>
        <w:t xml:space="preserve"> </w:t>
      </w:r>
      <m:oMath>
        <m:r>
          <m:t>0.74</m:t>
        </m:r>
      </m:oMath>
      <w:r>
        <w:t xml:space="preserve">). CoEval-generated items additionally show</w:t>
      </w:r>
      <w:r>
        <w:t xml:space="preserve"> </w:t>
      </w:r>
      <m:oMath>
        <m:r>
          <m:t>0.0000</m:t>
        </m:r>
      </m:oMath>
      <w:r>
        <w:t xml:space="preserve"> </w:t>
      </w:r>
      <w:r>
        <w:t xml:space="preserve">verbatim 13-gram overlap with five major public benchmarks, so they cannot be gamed this way.</w:t>
      </w:r>
    </w:p>
    <w:bookmarkEnd w:id="37"/>
    <w:bookmarkStart w:id="38" w:name="cost"/>
    <w:p>
      <w:pPr>
        <w:pStyle w:val="Heading3"/>
        <w:keepNext/>
        <w:keepLines/>
        <w:widowControl w:val="1"/>
      </w:pPr>
      <w:r>
        <w:t xml:space="preserve">5.6 Cost</w:t>
      </w:r>
    </w:p>
    <w:p>
      <w:pPr>
        <w:pStyle w:val="FirstParagraph"/>
        <w:jc w:val="both"/>
        <w:keepNext w:val="0"/>
        <w:keepLines w:val="0"/>
        <w:widowControl w:val="1"/>
      </w:pPr>
      <w:r>
        <w:t xml:space="preserve">The entire four-task medium-scale study, teacher generation, student response collection, cross-family judging,</w:t>
      </w:r>
      <w:r>
        <w:t xml:space="preserve"> </w:t>
      </w:r>
      <w:r>
        <w:t xml:space="preserve">and analysis, produced</w:t>
      </w:r>
      <w:r>
        <w:t xml:space="preserve"> </w:t>
      </w:r>
      <w:r>
        <w:rPr>
          <w:b/>
          <w:bCs/>
        </w:rPr>
        <w:t xml:space="preserve">7,978 valid evaluations</w:t>
      </w:r>
      <w:r>
        <w:t xml:space="preserve"> </w:t>
      </w:r>
      <w:r>
        <w:t xml:space="preserve">for a total cost of</w:t>
      </w:r>
      <w:r>
        <w:t xml:space="preserve"> </w:t>
      </w:r>
      <w:r>
        <w:rPr>
          <w:b/>
          <w:bCs/>
        </w:rPr>
        <w:t xml:space="preserve">USD 5.89</w:t>
      </w:r>
      <w:r>
        <w:t xml:space="preserve">,</w:t>
      </w:r>
      <w:r>
        <w:t xml:space="preserve"> </w:t>
      </w:r>
      <w:r>
        <w:t xml:space="preserve">fully automated and with no human annotation. At roughly USD 0.00074 per evaluation, contamination-free, domain-targeted,</w:t>
      </w:r>
      <w:r>
        <w:t xml:space="preserve"> </w:t>
      </w:r>
      <w:r>
        <w:t xml:space="preserve">bias-cancelled evaluation is inexpensive enough to re-run on every model release, which is exactly what a renewable,</w:t>
      </w:r>
      <w:r>
        <w:t xml:space="preserve"> </w:t>
      </w:r>
      <w:r>
        <w:t xml:space="preserve">contamination-resistant benchmark requires. At roughly</w:t>
      </w:r>
      <w:r>
        <w:t xml:space="preserve"> </w:t>
      </w:r>
      <m:oMath>
        <m:r>
          <m:t>1</m:t>
        </m:r>
        <m:r>
          <m:rPr>
            <m:sty m:val="p"/>
          </m:rPr>
          <m:t>,</m:t>
        </m:r>
        <m:r>
          <m:t>350</m:t>
        </m:r>
      </m:oMath>
      <w:r>
        <w:t xml:space="preserve"> </w:t>
      </w:r>
      <w:r>
        <w:t xml:space="preserve">evaluations per dollar, CoEval runs two to three</w:t>
      </w:r>
      <w:r>
        <w:t xml:space="preserve"> </w:t>
      </w:r>
      <w:r>
        <w:t xml:space="preserve">orders of magnitude cheaper than typical human annotation (</w:t>
      </w:r>
      <w:hyperlink w:anchor="appC">
        <w:r>
          <w:rPr>
            <w:rStyle w:val="Hyperlink"/>
          </w:rPr>
          <w:t xml:space="preserve">Appendix C</w:t>
        </w:r>
      </w:hyperlink>
      <w:r>
        <w:t xml:space="preserve">).</w:t>
      </w:r>
    </w:p>
    <w:bookmarkEnd w:id="38"/>
    <w:bookmarkStart w:id="39" w:name="putting-it-together-domain-case-studies"/>
    <w:p>
      <w:pPr>
        <w:pStyle w:val="Heading3"/>
        <w:keepNext/>
        <w:keepLines/>
        <w:widowControl w:val="1"/>
      </w:pPr>
      <w:r>
        <w:t xml:space="preserve">5.7 Putting it together: domain case studies</w:t>
      </w:r>
    </w:p>
    <w:p>
      <w:pPr>
        <w:pStyle w:val="FirstParagraph"/>
        <w:jc w:val="both"/>
        <w:keepNext w:val="0"/>
        <w:keepLines w:val="0"/>
        <w:widowControl w:val="1"/>
      </w:pPr>
      <w:r>
        <w:t xml:space="preserve">The preceding sections validate CoEval's components where ground truth is available. We now exercise the complete tool</w:t>
      </w:r>
      <w:r>
        <w:t xml:space="preserve"> </w:t>
      </w:r>
      <w:r>
        <w:t xml:space="preserve">in its intended regime on three custom verticals,</w:t>
      </w:r>
      <w:r>
        <w:t xml:space="preserve"> </w:t>
      </w:r>
      <w:r>
        <w:rPr>
          <w:i/>
          <w:iCs/>
        </w:rPr>
        <w:t xml:space="preserve">drug–drug interaction reasoning</w:t>
      </w:r>
      <w:r>
        <w:t xml:space="preserve">,</w:t>
      </w:r>
      <w:r>
        <w:t xml:space="preserve"> </w:t>
      </w:r>
      <w:r>
        <w:rPr>
          <w:i/>
          <w:iCs/>
        </w:rPr>
        <w:t xml:space="preserve">clinical</w:t>
      </w:r>
      <w:r>
        <w:rPr>
          <w:i/>
          <w:iCs/>
        </w:rPr>
        <w:t xml:space="preserve"> </w:t>
      </w:r>
      <w:r>
        <w:rPr>
          <w:i/>
          <w:iCs/>
        </w:rPr>
        <w:t xml:space="preserve">reasoning</w:t>
      </w:r>
      <w:r>
        <w:t xml:space="preserve">, and</w:t>
      </w:r>
      <w:r>
        <w:t xml:space="preserve"> </w:t>
      </w:r>
      <w:r>
        <w:rPr>
          <w:i/>
          <w:iCs/>
        </w:rPr>
        <w:t xml:space="preserve">legal analysis</w:t>
      </w:r>
      <w:r>
        <w:t xml:space="preserve">, for which we assume no task-specific labeled data and no trustworthy</w:t>
      </w:r>
      <w:r>
        <w:t xml:space="preserve"> </w:t>
      </w:r>
      <w:r>
        <w:t xml:space="preserve">public benchmark. The drug-interaction vertical is the sharpest case for the framework's premise: a well-known public</w:t>
      </w:r>
      <w:r>
        <w:t xml:space="preserve"> </w:t>
      </w:r>
      <w:r>
        <w:t xml:space="preserve">benchmark exists (DDIExtraction-2013) but is a relation-</w:t>
      </w:r>
      <w:r>
        <w:rPr>
          <w:i/>
          <w:iCs/>
        </w:rPr>
        <w:t xml:space="preserve">extraction</w:t>
      </w:r>
      <w:r>
        <w:t xml:space="preserve"> </w:t>
      </w:r>
      <w:r>
        <w:t xml:space="preserve">corpus rather than clinical-decision</w:t>
      </w:r>
      <w:r>
        <w:t xml:space="preserve"> </w:t>
      </w:r>
      <w:r>
        <w:t xml:space="preserve">reasoning, and is old and freely available enough to be presumed present in pretraining, while the few clinically</w:t>
      </w:r>
      <w:r>
        <w:t xml:space="preserve"> </w:t>
      </w:r>
      <w:r>
        <w:t xml:space="preserve">realistic DDI-reasoning sets are private and number only in the hundreds of items. From a one-line description per</w:t>
      </w:r>
      <w:r>
        <w:t xml:space="preserve"> </w:t>
      </w:r>
      <w:r>
        <w:t xml:space="preserve">vertical, CoEval's teacher generated 40 attribute-stratified items (for drug interactions, stratified over severity,</w:t>
      </w:r>
      <w:r>
        <w:t xml:space="preserve"> </w:t>
      </w:r>
      <w:r>
        <w:t xml:space="preserve">mechanism, and patient context), three candidate models answered them, and the cross-family ensemble</w:t>
      </w:r>
      <w:r>
        <w:t xml:space="preserve"> </w:t>
      </w:r>
      <w:r>
        <w:t xml:space="preserve">(OpenAI + Anthropic + Google) scored every response, all from a single configuration file, with</w:t>
      </w:r>
      <w:r>
        <w:t xml:space="preserve"> </w:t>
      </w:r>
      <w:r>
        <w:t xml:space="preserve">no human labels or raters.</w:t>
      </w:r>
      <w:r>
        <w:t xml:space="preserve"> </w:t>
      </w:r>
      <w:hyperlink w:anchor="appD">
        <w:r>
          <w:rPr>
            <w:rStyle w:val="Hyperlink"/>
          </w:rPr>
          <w:t xml:space="preserve">Appendix D</w:t>
        </w:r>
      </w:hyperlink>
      <w:r>
        <w:t xml:space="preserve"> </w:t>
      </w:r>
      <w:r>
        <w:t xml:space="preserve">shows the actual generated artifacts for all three</w:t>
      </w:r>
      <w:r>
        <w:t xml:space="preserve"> </w:t>
      </w:r>
      <w:r>
        <w:t xml:space="preserve">domains: the one-line seed, the auto-generated attribute strata and rubric, and a representative synthesized item.</w:t>
      </w:r>
    </w:p>
    <w:p>
      <w:pPr>
        <w:pStyle w:val="BodyText"/>
        <w:jc w:val="both"/>
        <w:sectPr w:rsidR="00FC693F" w:rsidRPr="0006063C" w:rsidSect="00034616">
          <w:type w:val="continuous"/>
          <w:pgSz w:h="15840" w:w="12240"/>
          <w:pgMar w:bottom="1080" w:footer="720" w:gutter="0" w:header="720" w:left="1080" w:right="1080" w:top="1080"/>
          <w:cols w:num="2" w:space="288" w:equalWidth="1"/>
          <w:docGrid w:linePitch="360"/>
        </w:sectPr>
        <w:keepNext w:val="0"/>
        <w:keepLines w:val="0"/>
        <w:widowControl w:val="1"/>
      </w:pPr>
      <w:r>
        <w:t xml:space="preserve">On the drug-interaction vertical CoEval produces a</w:t>
      </w:r>
      <w:r>
        <w:t xml:space="preserve"> </w:t>
      </w:r>
      <w:r>
        <w:rPr>
          <w:b/>
          <w:bCs/>
        </w:rPr>
        <w:t xml:space="preserve">clean, fully unanimous ranking</w:t>
      </w:r>
      <w:r>
        <w:t xml:space="preserve">: all three</w:t>
      </w:r>
      <w:r>
        <w:t xml:space="preserve"> </w:t>
      </w:r>
      <w:r>
        <w:t xml:space="preserve">cross-family judges agree on the complete order</w:t>
      </w:r>
      <w:r>
        <w:t xml:space="preserve"> </w:t>
      </w:r>
      <w:r>
        <w:rPr>
          <w:rStyle w:val="VerbatimChar"/>
        </w:rPr>
        <w:t xml:space="preserve">gpt-4o-mini</w:t>
      </w:r>
      <w:r>
        <w:t xml:space="preserve"> (</w:t>
      </w:r>
      <m:oMath>
        <m:r>
          <m:t>0.770</m:t>
        </m:r>
      </m:oMath>
      <w:r>
        <w:t xml:space="preserve">)</w:t>
      </w:r>
      <w:r>
        <w:t xml:space="preserve"> </w:t>
      </w:r>
      <m:oMath>
        <m:r>
          <m:rPr>
            <m:sty m:val="p"/>
          </m:rPr>
          <m:t>&gt;</m:t>
        </m:r>
      </m:oMath>
      <w:r>
        <w:t xml:space="preserve"> </w:t>
      </w:r>
      <w:r>
        <w:rPr>
          <w:rStyle w:val="VerbatimChar"/>
        </w:rPr>
        <w:t xml:space="preserve">gpt-3.5-turbo</w:t>
      </w:r>
      <w:r>
        <w:t xml:space="preserve"> </w:t>
      </w:r>
      <w:r>
        <w:t xml:space="preserve"> (</w:t>
      </w:r>
      <m:oMath>
        <m:r>
          <m:t>0.682</m:t>
        </m:r>
      </m:oMath>
      <w:r>
        <w:t xml:space="preserve">)</w:t>
      </w:r>
      <w:r>
        <w:t xml:space="preserve"> </w:t>
      </w:r>
      <m:oMath>
        <m:r>
          <m:rPr>
            <m:sty m:val="p"/>
          </m:rPr>
          <m:t>&gt;</m:t>
        </m:r>
      </m:oMath>
      <w:r>
        <w:t xml:space="preserve"> </w:t>
      </w:r>
      <w:r>
        <w:rPr>
          <w:rStyle w:val="VerbatimChar"/>
        </w:rPr>
        <w:t xml:space="preserve">llama-3.2-3b</w:t>
      </w:r>
      <w:r>
        <w:t xml:space="preserve"> (</w:t>
      </w:r>
      <m:oMath>
        <m:r>
          <m:t>0.497</m:t>
        </m:r>
      </m:oMath>
      <w:r>
        <w:t xml:space="preserve">), with non-overlapping confidence intervals separating every</w:t>
      </w:r>
      <w:r>
        <w:t xml:space="preserve"> </w:t>
      </w:r>
      <w:r>
        <w:t xml:space="preserve">model (Table 5). The clinical and legal verticals are consistent: the ensemble ranks the smallest model weakest in</w:t>
      </w:r>
      <w:r>
        <w:t xml:space="preserve"> </w:t>
      </w:r>
      <w:r>
        <w:t xml:space="preserve">both, unanimously in clinical and two-of-three in legal (where the Anthropic judge ranks</w:t>
      </w:r>
      <w:r>
        <w:t xml:space="preserve"> </w:t>
      </w:r>
      <w:r>
        <w:rPr>
          <w:rStyle w:val="VerbatimChar"/>
        </w:rPr>
        <w:t xml:space="preserve">gpt-3.5-turbo</w:t>
      </w:r>
      <w:r>
        <w:t xml:space="preserve"> </w:t>
      </w:r>
      <w:r>
        <w:t xml:space="preserve">lowest): genuine disagreement a single judge would hide and a diverse ensemble surfaces; on clinical the two</w:t>
      </w:r>
      <w:r>
        <w:t xml:space="preserve"> </w:t>
      </w:r>
      <w:r>
        <w:t xml:space="preserve">stronger models are statistically close, which the overlapping intervals correctly expose. This is the operation the</w:t>
      </w:r>
      <w:r>
        <w:t xml:space="preserve"> </w:t>
      </w:r>
      <w:r>
        <w:t xml:space="preserve">framework is built for: producing a defensible model ranking for a bespoke domain in which a standard benchmark is</w:t>
      </w:r>
      <w:r>
        <w:t xml:space="preserve"> </w:t>
      </w:r>
      <w:r>
        <w:t xml:space="preserve">unavailable or untrustworthy.</w:t>
      </w:r>
    </w:p>
    <w:p>
      <w:pPr>
        <w:pStyle w:val="TableCaption"/>
        <w:spacing w:before="120" w:after="60" w:line="240" w:lineRule="auto"/>
        <w:jc w:val="center"/>
        <w:keepNext/>
        <w:keepLines/>
        <w:widowControl w:val="1"/>
      </w:pPr>
      <w:r>
        <w:rPr>
          <w:b/>
          <w:bCs/>
        </w:rPr>
        <w:t xml:space="preserve">Table 5.</w:t>
      </w:r>
      <w:r>
        <w:t xml:space="preserve"> </w:t>
      </w:r>
      <w:r>
        <w:t xml:space="preserve">CoEval ranks three candidate models on three custom, contamination-free verticals</w:t>
      </w:r>
      <w:r>
        <w:t xml:space="preserve"> </w:t>
      </w:r>
      <w:r>
        <w:t xml:space="preserve">generated from a task description with no labeled data. Scores are the cross-family ensemble mean (</w:t>
      </w:r>
      <m:oMath>
        <m:r>
          <m:rPr>
            <m:sty m:val="p"/>
          </m:rPr>
          <m:t>[</m:t>
        </m:r>
        <m:r>
          <m:t>0</m:t>
        </m:r>
        <m:r>
          <m:rPr>
            <m:sty m:val="p"/>
          </m:rPr>
          <m:t>,</m:t>
        </m:r>
        <m:r>
          <m:t>1</m:t>
        </m:r>
        <m:r>
          <m:rPr>
            <m:sty m:val="p"/>
          </m:rPr>
          <m:t>]</m:t>
        </m:r>
      </m:oMath>
      <w:r>
        <w:t xml:space="preserve">) with 95%</w:t>
      </w:r>
      <w:r>
        <w:t xml:space="preserve"> </w:t>
      </w:r>
      <w:r>
        <w:t xml:space="preserve">bootstrap CI over</w:t>
      </w:r>
      <w:r>
        <w:t xml:space="preserve"> </w:t>
      </w:r>
      <m:oMath>
        <m:r>
          <m:t>40</m:t>
        </m:r>
      </m:oMath>
      <w:r>
        <w:t xml:space="preserve"> </w:t>
      </w:r>
      <w:r>
        <w:t xml:space="preserve">generated items.</w:t>
      </w:r>
      <w:r>
        <w:t xml:space="preserve"> </w:t>
      </w:r>
      <w:r>
        <w:rPr>
          <w:rStyle w:val="VerbatimChar"/>
        </w:rPr>
        <w:t xml:space="preserve">llama-3.2-3b</w:t>
      </w:r>
      <w:r>
        <w:t xml:space="preserve"> </w:t>
      </w:r>
      <w:r>
        <w:t xml:space="preserve">ranks weakest in every vertical; the three judges</w:t>
      </w:r>
      <w:r>
        <w:t xml:space="preserve"> </w:t>
      </w:r>
      <w:r>
        <w:t xml:space="preserve">agree unanimously on the full drug-interaction order, unanimously on the weakest clinical model, and two-of-three in legal.</w:t>
      </w:r>
    </w:p>
    <w:tbl>
      <w:tblPr>
        <w:tblStyle w:val="Table"/>
        <w:tblW w:type="pct" w:w="5000"/>
        <w:jc w:val="center"/>
        <w:tblLook w:firstRow="1" w:lastRow="0" w:firstColumn="0" w:lastColumn="0" w:noHBand="0" w:noVBand="0" w:val="0020"/>
        <w:tblCaption w:val="Table 5. CoEval ranks three candidate models on three custom, contamination-free verticals generated from a task description with no labeled data. Scores are the cross-family ensemble mean ([0,1]) with 95% bootstrap CI over 40 generated items. llama-3.2-3b ranks weakest in every vertical; the three judges agree unanimously on the full drug-interaction order, unanimously on the weakest clinical model, and two-of-three in legal."/>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3960"/>
        <w:gridCol w:w="396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Vertical / Model</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CoEval ensemble score [95% CI]</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i/>
                <w:iCs/>
                <w:sz w:val="20"/>
              </w:rPr>
              <w:t xml:space="preserve">Drug–drug interaction reasoning</w:t>
            </w:r>
            <w:r>
              <w:rPr>
                <w:rFonts w:ascii="Times New Roman" w:hAnsi="Times New Roman"/>
                <w:sz w:val="20"/>
              </w:rPr>
              <w:t xml:space="preserve"> </w:t>
            </w:r>
            <w:r>
              <w:rPr>
                <w:rFonts w:ascii="Times New Roman" w:hAnsi="Times New Roman"/>
                <w:sz w:val="20"/>
              </w:rPr>
              <w:t xml:space="preserve">(judges unanimous)</w:t>
            </w:r>
          </w:p>
        </w:tc>
        <w:tc>
          <w:tcPr>
            <w:tcBorders>
              <w:left w:val="nil"/>
              <w:right w:val="nil"/>
              <w:top w:val="nil"/>
              <w:bottom w:val="single" w:sz="4" w:color="D9E1E8"/>
            </w:tcBorders>
          </w:tcPr>
          <w:p>
            <w:pPr>
              <w:pStyle w:val="Compact"/>
              <w:spacing w:before="0" w:after="20" w:line="240" w:lineRule="auto"/>
              <w:jc w:val="center"/>
              <w:keepNext w:val="0"/>
              <w:keepLines/>
              <w:widowControl w:val="1"/>
            </w:pP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  gpt-4o-mini</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0.770 [0.739, 0.800]</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  gpt-3.5-turbo</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0.682 [0.646, 0.717]</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  llama-3.2-3b</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0.497 [0.459, 0.532]</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i/>
                <w:iCs/>
                <w:sz w:val="20"/>
              </w:rPr>
              <w:t xml:space="preserve">Clinical reasoning</w:t>
            </w:r>
          </w:p>
        </w:tc>
        <w:tc>
          <w:tcPr>
            <w:tcBorders>
              <w:left w:val="nil"/>
              <w:right w:val="nil"/>
              <w:top w:val="nil"/>
              <w:bottom w:val="single" w:sz="4" w:color="D9E1E8"/>
            </w:tcBorders>
          </w:tcPr>
          <w:p>
            <w:pPr>
              <w:pStyle w:val="Compact"/>
              <w:spacing w:before="0" w:after="20" w:line="240" w:lineRule="auto"/>
              <w:jc w:val="center"/>
              <w:keepNext w:val="0"/>
              <w:keepLines/>
              <w:widowControl w:val="1"/>
            </w:pP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  gpt-3.5-turbo</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0.873 [0.849, 0.895]</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  gpt-4o-mini</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0.864 [0.840, 0.885]</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  llama-3.2-3b</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0.814 [0.784, 0.844]</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i/>
                <w:iCs/>
                <w:sz w:val="20"/>
              </w:rPr>
              <w:t xml:space="preserve">Legal analysis</w:t>
            </w:r>
          </w:p>
        </w:tc>
        <w:tc>
          <w:tcPr>
            <w:tcBorders>
              <w:left w:val="nil"/>
              <w:right w:val="nil"/>
              <w:top w:val="nil"/>
              <w:bottom w:val="single" w:sz="4" w:color="D9E1E8"/>
            </w:tcBorders>
          </w:tcPr>
          <w:p>
            <w:pPr>
              <w:pStyle w:val="Compact"/>
              <w:spacing w:before="0" w:after="20" w:line="240" w:lineRule="auto"/>
              <w:jc w:val="center"/>
              <w:keepNext w:val="0"/>
              <w:keepLines/>
              <w:widowControl w:val="1"/>
            </w:pP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  gpt-4o-mini</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0.982 [0.973, 0.991]</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  gpt-3.5-turbo</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0.740 [0.709, 0.770]</w:t>
            </w:r>
          </w:p>
        </w:tc>
      </w:tr>
      <w:tr>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  llama-3.2-3b</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0.709 [0.677, 0.744]</w:t>
            </w:r>
          </w:p>
        </w:tc>
      </w:tr>
    </w:tbl>
    <w:p>
      <w:pPr>
        <w:sectPr w:rsidR="00FC693F" w:rsidRPr="0006063C" w:rsidSect="00034616">
          <w:type w:val="continuous"/>
          <w:pgSz w:h="15840" w:w="12240"/>
          <w:pgMar w:bottom="1080" w:footer="720" w:gutter="0" w:header="720" w:left="1080" w:right="1080" w:top="1080"/>
          <w:cols w:num="1" w:space="288"/>
          <w:docGrid w:linePitch="360"/>
        </w:sectPr>
      </w:pPr>
    </w:p>
    <w:bookmarkEnd w:id="39"/>
    <w:bookmarkEnd w:id="40"/>
    <w:bookmarkStart w:id="41" w:name="discussion"/>
    <w:p>
      <w:pPr>
        <w:pStyle w:val="Heading2"/>
        <w:keepNext/>
        <w:keepLines/>
        <w:widowControl w:val="1"/>
      </w:pPr>
      <w:r>
        <w:t xml:space="preserve">6. Discussion</w:t>
      </w:r>
    </w:p>
    <w:p>
      <w:pPr>
        <w:pStyle w:val="FirstParagraph"/>
        <w:jc w:val="both"/>
        <w:keepNext w:val="0"/>
        <w:keepLines w:val="0"/>
        <w:widowControl w:val="1"/>
      </w:pPr>
      <w:r>
        <w:t xml:space="preserve">CoEval is designed for a specific, common predicament: ranking models for a task or domain when no labeled data</w:t>
      </w:r>
      <w:r>
        <w:t xml:space="preserve"> </w:t>
      </w:r>
      <w:r>
        <w:t xml:space="preserve">exists to build a benchmark and public benchmarks cannot be trusted. The results show it meets that need: its</w:t>
      </w:r>
      <w:r>
        <w:t xml:space="preserve"> </w:t>
      </w:r>
      <w:r>
        <w:t xml:space="preserve">label-free scores reproduce the true model ranking and track ground truth, and its generated items are verifiably</w:t>
      </w:r>
      <w:r>
        <w:t xml:space="preserve"> </w:t>
      </w:r>
      <w:r>
        <w:t xml:space="preserve">fresh, and they explain</w:t>
      </w:r>
      <w:r>
        <w:t xml:space="preserve"> </w:t>
      </w:r>
      <w:r>
        <w:rPr>
          <w:i/>
          <w:iCs/>
        </w:rPr>
        <w:t xml:space="preserve">why</w:t>
      </w:r>
      <w:r>
        <w:t xml:space="preserve"> </w:t>
      </w:r>
      <w:r>
        <w:t xml:space="preserve">the label-free judging is trustworthy. The key enabler is a design</w:t>
      </w:r>
      <w:r>
        <w:t xml:space="preserve"> </w:t>
      </w:r>
      <w:r>
        <w:t xml:space="preserve">principle that is itself a contribution: the reliability of an LLM-judge panel is governed by its</w:t>
      </w:r>
      <w:r>
        <w:t xml:space="preserve"> </w:t>
      </w:r>
      <w:r>
        <w:rPr>
          <w:i/>
          <w:iCs/>
        </w:rPr>
        <w:t xml:space="preserve">composition</w:t>
      </w:r>
      <w:r>
        <w:t xml:space="preserve">, not its size. A diverse, cross-family panel cancels the mixed-sign biases (verbosity,</w:t>
      </w:r>
      <w:r>
        <w:t xml:space="preserve"> </w:t>
      </w:r>
      <w:r>
        <w:t xml:space="preserve">self-preference) that any individual judge carries, while a same-family panel would only amplify a shared</w:t>
      </w:r>
      <w:r>
        <w:t xml:space="preserve"> </w:t>
      </w:r>
      <w:r>
        <w:t xml:space="preserve">bias; practitioners should prioritize vendor diversity over adding more copies of similar judges. A modest diverse</w:t>
      </w:r>
      <w:r>
        <w:t xml:space="preserve"> </w:t>
      </w:r>
      <w:r>
        <w:t xml:space="preserve">panel already recovers most of the full-panel reliability, so the cost of diversity is small.</w:t>
      </w:r>
    </w:p>
    <w:p>
      <w:pPr>
        <w:pStyle w:val="BodyText"/>
        <w:jc w:val="both"/>
        <w:keepNext w:val="0"/>
        <w:keepLines w:val="0"/>
        <w:widowControl w:val="1"/>
      </w:pPr>
      <w:r>
        <w:t xml:space="preserve">Coupling the panel to attribute-stratified generation is what makes the system more than a better judge. Because items</w:t>
      </w:r>
      <w:r>
        <w:t xml:space="preserve"> </w:t>
      </w:r>
      <w:r>
        <w:t xml:space="preserve">are synthesized fresh from an attribute specification on every run, CoEval sidesteps contamination structurally rather</w:t>
      </w:r>
      <w:r>
        <w:t xml:space="preserve"> </w:t>
      </w:r>
      <w:r>
        <w:t xml:space="preserve">than chasing leaked items after the fact, and it targets the deployment's own distribution and edge cases rather than a</w:t>
      </w:r>
      <w:r>
        <w:t xml:space="preserve"> </w:t>
      </w:r>
      <w:r>
        <w:t xml:space="preserve">generic average. The same role separation that secures contamination-freeness in generation structurally precludes</w:t>
      </w:r>
      <w:r>
        <w:t xml:space="preserve"> </w:t>
      </w:r>
      <w:r>
        <w:t xml:space="preserve">same-family self-preference in scoring: one architectural choice closing two leakage channels. Declarative</w:t>
      </w:r>
      <w:r>
        <w:t xml:space="preserve"> </w:t>
      </w:r>
      <w:r>
        <w:t xml:space="preserve">specification keeps the whole pipeline reproducible: a single declarative configuration regenerates the benchmark, the responses, and</w:t>
      </w:r>
      <w:r>
        <w:t xml:space="preserve"> </w:t>
      </w:r>
      <w:r>
        <w:t xml:space="preserve">the scores.</w:t>
      </w:r>
    </w:p>
    <w:p>
      <w:pPr>
        <w:pStyle w:val="BodyText"/>
        <w:jc w:val="both"/>
        <w:keepNext w:val="0"/>
        <w:keepLines w:val="0"/>
        <w:widowControl w:val="1"/>
      </w:pPr>
      <w:r>
        <w:rPr>
          <w:b/>
          <w:bCs/>
        </w:rPr>
        <w:t xml:space="preserve">Scope and limitations.</w:t>
      </w:r>
      <w:r>
        <w:t xml:space="preserve"> </w:t>
      </w:r>
      <w:r>
        <w:t xml:space="preserve">Our ground-truth validation of the ranking operation uses objective</w:t>
      </w:r>
      <w:r>
        <w:t xml:space="preserve"> </w:t>
      </w:r>
      <w:r>
        <w:t xml:space="preserve">exact-match QA, where labels exist; on subjective custom domains (Section 5.7) we rely on the cross-family</w:t>
      </w:r>
      <w:r>
        <w:t xml:space="preserve"> </w:t>
      </w:r>
      <w:r>
        <w:t xml:space="preserve">ensemble and report intervals rather than a held-out gold ranking, because by assumption none exists. We study three</w:t>
      </w:r>
      <w:r>
        <w:t xml:space="preserve"> </w:t>
      </w:r>
      <w:r>
        <w:t xml:space="preserve">candidate models across four tasks, an exact-match QA validation, and three custom verticals; broader model pools and additional domains would further</w:t>
      </w:r>
      <w:r>
        <w:t xml:space="preserve"> </w:t>
      </w:r>
      <w:r>
        <w:t xml:space="preserve">test generality. The contamination guarantee is structural (fresh per-run synthesis), validated both by zero verbatim</w:t>
      </w:r>
      <w:r>
        <w:t xml:space="preserve"> </w:t>
      </w:r>
      <w:r>
        <w:t xml:space="preserve">overlap and by a controlled memorization study (Section 5.5); a verbatim n-gram test is not a membership test</w:t>
      </w:r>
      <w:r>
        <w:t xml:space="preserve"> </w:t>
      </w:r>
      <w:r>
        <w:t xml:space="preserve">against any model's full pretraining corpus.</w:t>
      </w:r>
    </w:p>
    <w:bookmarkEnd w:id="41"/>
    <w:bookmarkStart w:id="42" w:name="conclusion"/>
    <w:p>
      <w:pPr>
        <w:pStyle w:val="Heading2"/>
        <w:keepNext/>
        <w:keepLines/>
        <w:widowControl w:val="1"/>
      </w:pPr>
      <w:r>
        <w:t xml:space="preserve">7. Conclusion</w:t>
      </w:r>
    </w:p>
    <w:p>
      <w:pPr>
        <w:pStyle w:val="FirstParagraph"/>
        <w:jc w:val="both"/>
        <w:keepNext w:val="0"/>
        <w:keepLines w:val="0"/>
        <w:widowControl w:val="1"/>
      </w:pPr>
      <w:r>
        <w:t xml:space="preserve">We presented CoEval, a tool for ranking language models on custom tasks and domains when neither labeled data nor a trustworthy benchmark is available: from a task description alone it generates a fresh, contamination-resistant benchmark and ranks candidate models with a cross-family judge ensemble, with no human annotation. CoEval delivers</w:t>
      </w:r>
      <w:r>
        <w:t xml:space="preserve"> </w:t>
      </w:r>
      <w:r>
        <w:t xml:space="preserve">bias-cancelled, reliable evaluation without human annotation: it removes verbosity bias that no single judge avoids</w:t>
      </w:r>
      <w:r>
        <w:t xml:space="preserve"> </w:t>
      </w:r>
      <w:r>
        <w:t xml:space="preserve">(ensemble</w:t>
      </w:r>
      <w:r>
        <w:t xml:space="preserve"> </w:t>
      </w:r>
      <m:oMath>
        <m:r>
          <m:t>r</m:t>
        </m:r>
        <m:r>
          <m:rPr>
            <m:sty m:val="p"/>
          </m:rPr>
          <m:t>=</m:t>
        </m:r>
        <m:r>
          <m:rPr>
            <m:sty m:val="p"/>
          </m:rPr>
          <m:t>+</m:t>
        </m:r>
        <m:r>
          <m:t>0.010</m:t>
        </m:r>
      </m:oMath>
      <w:r>
        <w:t xml:space="preserve">, CI spanning zero; 93% reduction), structurally precludes same-family self-preference, and</w:t>
      </w:r>
      <w:r>
        <w:t xml:space="preserve"> </w:t>
      </w:r>
      <w:r>
        <w:t xml:space="preserve">produces task-specialized rubrics with a shared quality core, while also converging</w:t>
      </w:r>
      <w:r>
        <w:t xml:space="preserve"> </w:t>
      </w:r>
      <w:r>
        <w:t xml:space="preserve">to a stable full-panel consensus (Spearman</w:t>
      </w:r>
      <w:r>
        <w:t xml:space="preserve"> </w:t>
      </w:r>
      <m:oMath>
        <m:r>
          <m:t>ρ</m:t>
        </m:r>
      </m:oMath>
      <w:r>
        <w:t xml:space="preserve"> </w:t>
      </w:r>
      <w:r>
        <w:t xml:space="preserve">up to</w:t>
      </w:r>
      <w:r>
        <w:t xml:space="preserve"> </w:t>
      </w:r>
      <m:oMath>
        <m:r>
          <m:t>1.00</m:t>
        </m:r>
      </m:oMath>
      <w:r>
        <w:t xml:space="preserve">), all at USD 5.89 for 7,978 evaluations. Our</w:t>
      </w:r>
      <w:r>
        <w:t xml:space="preserve"> </w:t>
      </w:r>
      <w:r>
        <w:t xml:space="preserve">central finding, that judge-panel</w:t>
      </w:r>
      <w:r>
        <w:t xml:space="preserve"> </w:t>
      </w:r>
      <w:r>
        <w:rPr>
          <w:i/>
          <w:iCs/>
        </w:rPr>
        <w:t xml:space="preserve">composition</w:t>
      </w:r>
      <w:r>
        <w:t xml:space="preserve"> </w:t>
      </w:r>
      <w:r>
        <w:t xml:space="preserve">rather than size is the decisive reliability lever, offers a</w:t>
      </w:r>
      <w:r>
        <w:t xml:space="preserve"> </w:t>
      </w:r>
      <w:r>
        <w:t xml:space="preserve">concrete and inexpensive recipe for trustworthy, renewable LLM evaluation. Because the same declarative pipeline runs</w:t>
      </w:r>
      <w:r>
        <w:t xml:space="preserve"> </w:t>
      </w:r>
      <w:r>
        <w:t xml:space="preserve">unchanged across models and domains and is cheap enough to repeat on every model release, CoEval is a reusable</w:t>
      </w:r>
      <w:r>
        <w:t xml:space="preserve"> </w:t>
      </w:r>
      <w:r>
        <w:t xml:space="preserve">instrument a team points at its own application when neither labeled data nor a trustworthy benchmark exists, rather</w:t>
      </w:r>
      <w:r>
        <w:t xml:space="preserve"> </w:t>
      </w:r>
      <w:r>
        <w:t xml:space="preserve">than a single static study. CoEval is open-source, declarative, and fully reproducible.</w:t>
      </w:r>
    </w:p>
    <w:bookmarkEnd w:id="42"/>
    <w:bookmarkStart w:id="107" w:name="references"/>
    <w:p>
      <w:pPr>
        <w:pStyle w:val="ReferencesHeading"/>
        <w:jc w:val="left"/>
        <w:keepNext/>
        <w:keepLines/>
        <w:widowControl w:val="1"/>
      </w:pPr>
      <w:r>
        <w:t xml:space="preserve">References</w:t>
      </w:r>
    </w:p>
    <w:p>
      <w:pPr>
        <w:pStyle w:val="ReferenceEntry"/>
        <w:numPr>
          <w:ilvl w:val="0"/>
          <w:numId w:val="1002"/>
        </w:numPr>
        <w:jc w:val="left"/>
        <w:keepNext w:val="0"/>
        <w:keepLines w:val="0"/>
        <w:widowControl w:val="1"/>
      </w:pPr>
      <w:bookmarkStart w:id="44" w:name="r1"/>
      <w:r>
        <w:t xml:space="preserve">Zheng, L., Chiang, W.-L., Sheng, Y., et al. (2023).</w:t>
      </w:r>
      <w:r>
        <w:t xml:space="preserve"> </w:t>
      </w:r>
      <w:r>
        <w:rPr>
          <w:i/>
          <w:iCs/>
        </w:rPr>
        <w:t xml:space="preserve">Judging LLM-as-a-Judge with MT-Bench and Chatbot</w:t>
      </w:r>
      <w:r>
        <w:rPr>
          <w:i/>
          <w:iCs/>
        </w:rPr>
        <w:t xml:space="preserve"> </w:t>
      </w:r>
      <w:r>
        <w:rPr>
          <w:i/>
          <w:iCs/>
        </w:rPr>
        <w:t xml:space="preserve">Arena.</w:t>
      </w:r>
      <w:r>
        <w:t xml:space="preserve"> </w:t>
      </w:r>
      <w:r>
        <w:t xml:space="preserve">NeurIPS.</w:t>
      </w:r>
      <w:r>
        <w:t xml:space="preserve"> </w:t>
      </w:r>
      <w:hyperlink r:id="rId43">
        <w:r>
          <w:rPr>
            <w:rStyle w:val="Hyperlink"/>
          </w:rPr>
          <w:t xml:space="preserve">arxiv.org/abs/2306.05685</w:t>
        </w:r>
      </w:hyperlink>
      <w:bookmarkEnd w:id="44"/>
    </w:p>
    <w:p>
      <w:pPr>
        <w:pStyle w:val="ReferenceEntry"/>
        <w:numPr>
          <w:ilvl w:val="0"/>
          <w:numId w:val="1002"/>
        </w:numPr>
        <w:jc w:val="left"/>
        <w:keepNext w:val="0"/>
        <w:keepLines w:val="0"/>
        <w:widowControl w:val="1"/>
      </w:pPr>
      <w:bookmarkStart w:id="46" w:name="r2"/>
      <w:r>
        <w:t xml:space="preserve">Liu, Y., Iter, D., Xu, Y., et al. (2023).</w:t>
      </w:r>
      <w:r>
        <w:t xml:space="preserve"> </w:t>
      </w:r>
      <w:r>
        <w:rPr>
          <w:i/>
          <w:iCs/>
        </w:rPr>
        <w:t xml:space="preserve">G-Eval: NLG Evaluation using GPT-4 with Better Human</w:t>
      </w:r>
      <w:r>
        <w:rPr>
          <w:i/>
          <w:iCs/>
        </w:rPr>
        <w:t xml:space="preserve"> </w:t>
      </w:r>
      <w:r>
        <w:rPr>
          <w:i/>
          <w:iCs/>
        </w:rPr>
        <w:t xml:space="preserve">Alignment.</w:t>
      </w:r>
      <w:r>
        <w:t xml:space="preserve"> </w:t>
      </w:r>
      <w:r>
        <w:t xml:space="preserve">EMNLP.</w:t>
      </w:r>
      <w:r>
        <w:t xml:space="preserve"> </w:t>
      </w:r>
      <w:hyperlink r:id="rId45">
        <w:r>
          <w:rPr>
            <w:rStyle w:val="Hyperlink"/>
          </w:rPr>
          <w:t xml:space="preserve">arxiv.org/abs/2303.16634</w:t>
        </w:r>
      </w:hyperlink>
      <w:bookmarkEnd w:id="46"/>
    </w:p>
    <w:p>
      <w:pPr>
        <w:pStyle w:val="ReferenceEntry"/>
        <w:numPr>
          <w:ilvl w:val="0"/>
          <w:numId w:val="1002"/>
        </w:numPr>
        <w:jc w:val="left"/>
        <w:keepNext w:val="0"/>
        <w:keepLines w:val="0"/>
        <w:widowControl w:val="1"/>
      </w:pPr>
      <w:bookmarkStart w:id="48" w:name="r3"/>
      <w:r>
        <w:t xml:space="preserve">Kim, S., Suk, J., Longpre, S., et al. (2024).</w:t>
      </w:r>
      <w:r>
        <w:t xml:space="preserve"> </w:t>
      </w:r>
      <w:r>
        <w:rPr>
          <w:i/>
          <w:iCs/>
        </w:rPr>
        <w:t xml:space="preserve">Prometheus 2: An Open Source Language Model Specialized</w:t>
      </w:r>
      <w:r>
        <w:rPr>
          <w:i/>
          <w:iCs/>
        </w:rPr>
        <w:t xml:space="preserve"> </w:t>
      </w:r>
      <w:r>
        <w:rPr>
          <w:i/>
          <w:iCs/>
        </w:rPr>
        <w:t xml:space="preserve">in Evaluating Other Language Models.</w:t>
      </w:r>
      <w:r>
        <w:t xml:space="preserve"> </w:t>
      </w:r>
      <w:hyperlink r:id="rId47">
        <w:r>
          <w:rPr>
            <w:rStyle w:val="Hyperlink"/>
          </w:rPr>
          <w:t xml:space="preserve">arxiv.org/abs/2405.01535</w:t>
        </w:r>
      </w:hyperlink>
      <w:bookmarkEnd w:id="48"/>
    </w:p>
    <w:p>
      <w:pPr>
        <w:pStyle w:val="ReferenceEntry"/>
        <w:numPr>
          <w:ilvl w:val="0"/>
          <w:numId w:val="1002"/>
        </w:numPr>
        <w:jc w:val="left"/>
        <w:keepNext w:val="0"/>
        <w:keepLines w:val="0"/>
        <w:widowControl w:val="1"/>
      </w:pPr>
      <w:bookmarkStart w:id="50" w:name="r4"/>
      <w:r>
        <w:t xml:space="preserve">Vu, T., Krishna, K., Alzubi, S., et al. (2024).</w:t>
      </w:r>
      <w:r>
        <w:t xml:space="preserve"> </w:t>
      </w:r>
      <w:r>
        <w:rPr>
          <w:i/>
          <w:iCs/>
        </w:rPr>
        <w:t xml:space="preserve">Foundational Autoraters: Taming Large Language Models</w:t>
      </w:r>
      <w:r>
        <w:rPr>
          <w:i/>
          <w:iCs/>
        </w:rPr>
        <w:t xml:space="preserve"> </w:t>
      </w:r>
      <w:r>
        <w:rPr>
          <w:i/>
          <w:iCs/>
        </w:rPr>
        <w:t xml:space="preserve">for Better Automatic Evaluation (FLAMe).</w:t>
      </w:r>
      <w:r>
        <w:t xml:space="preserve"> </w:t>
      </w:r>
      <w:r>
        <w:t xml:space="preserve">EMNLP.</w:t>
      </w:r>
      <w:r>
        <w:t xml:space="preserve"> </w:t>
      </w:r>
      <w:hyperlink r:id="rId49">
        <w:r>
          <w:rPr>
            <w:rStyle w:val="Hyperlink"/>
          </w:rPr>
          <w:t xml:space="preserve">arxiv.org/abs/2407.10817</w:t>
        </w:r>
      </w:hyperlink>
      <w:bookmarkEnd w:id="50"/>
    </w:p>
    <w:p>
      <w:pPr>
        <w:pStyle w:val="ReferenceEntry"/>
        <w:numPr>
          <w:ilvl w:val="0"/>
          <w:numId w:val="1002"/>
        </w:numPr>
        <w:jc w:val="left"/>
        <w:keepNext w:val="0"/>
        <w:keepLines w:val="0"/>
        <w:widowControl w:val="1"/>
      </w:pPr>
      <w:bookmarkStart w:id="52" w:name="r5"/>
      <w:r>
        <w:t xml:space="preserve">Verga, P., Hofstatter, S., Althammer, S., et al. (2024).</w:t>
      </w:r>
      <w:r>
        <w:t xml:space="preserve"> </w:t>
      </w:r>
      <w:r>
        <w:rPr>
          <w:i/>
          <w:iCs/>
        </w:rPr>
        <w:t xml:space="preserve">Replacing Judges with Juries: Evaluating LLM</w:t>
      </w:r>
      <w:r>
        <w:rPr>
          <w:i/>
          <w:iCs/>
        </w:rPr>
        <w:t xml:space="preserve"> </w:t>
      </w:r>
      <w:r>
        <w:rPr>
          <w:i/>
          <w:iCs/>
        </w:rPr>
        <w:t xml:space="preserve">Generations with a Panel of Diverse Models (PoLL).</w:t>
      </w:r>
      <w:r>
        <w:t xml:space="preserve"> </w:t>
      </w:r>
      <w:hyperlink r:id="rId51">
        <w:r>
          <w:rPr>
            <w:rStyle w:val="Hyperlink"/>
          </w:rPr>
          <w:t xml:space="preserve">arxiv.org/abs/2404.18796</w:t>
        </w:r>
      </w:hyperlink>
      <w:bookmarkEnd w:id="52"/>
    </w:p>
    <w:p>
      <w:pPr>
        <w:pStyle w:val="ReferenceEntry"/>
        <w:numPr>
          <w:ilvl w:val="0"/>
          <w:numId w:val="1002"/>
        </w:numPr>
        <w:jc w:val="left"/>
        <w:keepNext w:val="0"/>
        <w:keepLines w:val="0"/>
        <w:widowControl w:val="1"/>
      </w:pPr>
      <w:bookmarkStart w:id="54" w:name="r6"/>
      <w:r>
        <w:t xml:space="preserve">Tan, S., Zhuang, S., Montgomery, K., et al. (2025).</w:t>
      </w:r>
      <w:r>
        <w:t xml:space="preserve"> </w:t>
      </w:r>
      <w:r>
        <w:rPr>
          <w:i/>
          <w:iCs/>
        </w:rPr>
        <w:t xml:space="preserve">JudgeBench: A Benchmark for Evaluating LLM-based</w:t>
      </w:r>
      <w:r>
        <w:rPr>
          <w:i/>
          <w:iCs/>
        </w:rPr>
        <w:t xml:space="preserve"> </w:t>
      </w:r>
      <w:r>
        <w:rPr>
          <w:i/>
          <w:iCs/>
        </w:rPr>
        <w:t xml:space="preserve">Judges.</w:t>
      </w:r>
      <w:r>
        <w:t xml:space="preserve"> </w:t>
      </w:r>
      <w:r>
        <w:t xml:space="preserve">ICLR.</w:t>
      </w:r>
      <w:r>
        <w:t xml:space="preserve"> </w:t>
      </w:r>
      <w:hyperlink r:id="rId53">
        <w:r>
          <w:rPr>
            <w:rStyle w:val="Hyperlink"/>
          </w:rPr>
          <w:t xml:space="preserve">arxiv.org/abs/2410.12784</w:t>
        </w:r>
      </w:hyperlink>
      <w:bookmarkEnd w:id="54"/>
    </w:p>
    <w:p>
      <w:pPr>
        <w:pStyle w:val="ReferenceEntry"/>
        <w:numPr>
          <w:ilvl w:val="0"/>
          <w:numId w:val="1002"/>
        </w:numPr>
        <w:jc w:val="left"/>
        <w:keepNext w:val="0"/>
        <w:keepLines w:val="0"/>
        <w:widowControl w:val="1"/>
      </w:pPr>
      <w:bookmarkStart w:id="56" w:name="r7"/>
      <w:r>
        <w:t xml:space="preserve">Kim, S., Suk, J., Cho, J. Y., et al. (2025).</w:t>
      </w:r>
      <w:r>
        <w:t xml:space="preserve"> </w:t>
      </w:r>
      <w:r>
        <w:rPr>
          <w:i/>
          <w:iCs/>
        </w:rPr>
        <w:t xml:space="preserve">The BiGGen Bench: A Principled Benchmark for Fine-grained</w:t>
      </w:r>
      <w:r>
        <w:rPr>
          <w:i/>
          <w:iCs/>
        </w:rPr>
        <w:t xml:space="preserve"> </w:t>
      </w:r>
      <w:r>
        <w:rPr>
          <w:i/>
          <w:iCs/>
        </w:rPr>
        <w:t xml:space="preserve">Evaluation of Language Models with Language Models.</w:t>
      </w:r>
      <w:r>
        <w:t xml:space="preserve"> </w:t>
      </w:r>
      <w:r>
        <w:t xml:space="preserve">NAACL.</w:t>
      </w:r>
      <w:r>
        <w:t xml:space="preserve"> </w:t>
      </w:r>
      <w:hyperlink r:id="rId55">
        <w:r>
          <w:rPr>
            <w:rStyle w:val="Hyperlink"/>
          </w:rPr>
          <w:t xml:space="preserve">arxiv.org/abs/2406.05761</w:t>
        </w:r>
      </w:hyperlink>
      <w:bookmarkEnd w:id="56"/>
    </w:p>
    <w:p>
      <w:pPr>
        <w:pStyle w:val="ReferenceEntry"/>
        <w:numPr>
          <w:ilvl w:val="0"/>
          <w:numId w:val="1002"/>
        </w:numPr>
        <w:jc w:val="left"/>
        <w:keepNext w:val="0"/>
        <w:keepLines w:val="0"/>
        <w:widowControl w:val="1"/>
      </w:pPr>
      <w:bookmarkStart w:id="58" w:name="r8"/>
      <w:r>
        <w:t xml:space="preserve">Dubois, Y., Galambosi, B., Liang, P., Hashimoto, T. B. (2024).</w:t>
      </w:r>
      <w:r>
        <w:t xml:space="preserve"> </w:t>
      </w:r>
      <w:r>
        <w:rPr>
          <w:i/>
          <w:iCs/>
        </w:rPr>
        <w:t xml:space="preserve">Length-Controlled AlpacaEval: A Simple</w:t>
      </w:r>
      <w:r>
        <w:rPr>
          <w:i/>
          <w:iCs/>
        </w:rPr>
        <w:t xml:space="preserve"> </w:t>
      </w:r>
      <w:r>
        <w:rPr>
          <w:i/>
          <w:iCs/>
        </w:rPr>
        <w:t xml:space="preserve">Way to Debias Automatic Evaluators.</w:t>
      </w:r>
      <w:r>
        <w:t xml:space="preserve"> </w:t>
      </w:r>
      <w:hyperlink r:id="rId57">
        <w:r>
          <w:rPr>
            <w:rStyle w:val="Hyperlink"/>
          </w:rPr>
          <w:t xml:space="preserve">arxiv.org/abs/2404.04475</w:t>
        </w:r>
      </w:hyperlink>
      <w:bookmarkEnd w:id="58"/>
    </w:p>
    <w:p>
      <w:pPr>
        <w:pStyle w:val="ReferenceEntry"/>
        <w:numPr>
          <w:ilvl w:val="0"/>
          <w:numId w:val="1002"/>
        </w:numPr>
        <w:jc w:val="left"/>
        <w:keepNext w:val="0"/>
        <w:keepLines w:val="0"/>
        <w:widowControl w:val="1"/>
      </w:pPr>
      <w:bookmarkStart w:id="60" w:name="r9"/>
      <w:r>
        <w:t xml:space="preserve">Li, X. L., Kazemi, M., et al. (2024).</w:t>
      </w:r>
      <w:r>
        <w:t xml:space="preserve"> </w:t>
      </w:r>
      <w:r>
        <w:rPr>
          <w:i/>
          <w:iCs/>
        </w:rPr>
        <w:t xml:space="preserve">AutoBencher: Towards Declarative Benchmark Construction.</w:t>
      </w:r>
      <w:r>
        <w:t xml:space="preserve"> </w:t>
      </w:r>
      <w:hyperlink r:id="rId59">
        <w:r>
          <w:rPr>
            <w:rStyle w:val="Hyperlink"/>
          </w:rPr>
          <w:t xml:space="preserve">arxiv.org/abs/2407.08351</w:t>
        </w:r>
      </w:hyperlink>
      <w:bookmarkEnd w:id="60"/>
    </w:p>
    <w:p>
      <w:pPr>
        <w:pStyle w:val="ReferenceEntry"/>
        <w:numPr>
          <w:ilvl w:val="0"/>
          <w:numId w:val="1002"/>
        </w:numPr>
        <w:jc w:val="left"/>
        <w:keepNext w:val="0"/>
        <w:keepLines w:val="0"/>
        <w:widowControl w:val="1"/>
      </w:pPr>
      <w:bookmarkStart w:id="62" w:name="r10"/>
      <w:r>
        <w:t xml:space="preserve">Butt, N., Awadalla, H., et al. (2024).</w:t>
      </w:r>
      <w:r>
        <w:t xml:space="preserve"> </w:t>
      </w:r>
      <w:r>
        <w:rPr>
          <w:i/>
          <w:iCs/>
        </w:rPr>
        <w:t xml:space="preserve">BenchAgents: Automated Benchmark Creation with Agent</w:t>
      </w:r>
      <w:r>
        <w:rPr>
          <w:i/>
          <w:iCs/>
        </w:rPr>
        <w:t xml:space="preserve"> </w:t>
      </w:r>
      <w:r>
        <w:rPr>
          <w:i/>
          <w:iCs/>
        </w:rPr>
        <w:t xml:space="preserve">Interaction.</w:t>
      </w:r>
      <w:r>
        <w:t xml:space="preserve"> </w:t>
      </w:r>
      <w:hyperlink r:id="rId61">
        <w:r>
          <w:rPr>
            <w:rStyle w:val="Hyperlink"/>
          </w:rPr>
          <w:t xml:space="preserve">arxiv.org/abs/2410.22584</w:t>
        </w:r>
      </w:hyperlink>
      <w:bookmarkEnd w:id="62"/>
    </w:p>
    <w:p>
      <w:pPr>
        <w:pStyle w:val="ReferenceEntry"/>
        <w:numPr>
          <w:ilvl w:val="0"/>
          <w:numId w:val="1002"/>
        </w:numPr>
        <w:jc w:val="left"/>
        <w:keepNext w:val="0"/>
        <w:keepLines w:val="0"/>
        <w:widowControl w:val="1"/>
      </w:pPr>
      <w:bookmarkStart w:id="64" w:name="r11"/>
      <w:r>
        <w:t xml:space="preserve">Shashidhar, S., et al. (2025).</w:t>
      </w:r>
      <w:r>
        <w:t xml:space="preserve"> </w:t>
      </w:r>
      <w:r>
        <w:rPr>
          <w:i/>
          <w:iCs/>
        </w:rPr>
        <w:t xml:space="preserve">YourBench: Easy Custom Evaluation Sets for Everyone.</w:t>
      </w:r>
      <w:r>
        <w:t xml:space="preserve"> </w:t>
      </w:r>
      <w:hyperlink r:id="rId63">
        <w:r>
          <w:rPr>
            <w:rStyle w:val="Hyperlink"/>
          </w:rPr>
          <w:t xml:space="preserve">arxiv.org/abs/2504.01833</w:t>
        </w:r>
      </w:hyperlink>
      <w:bookmarkEnd w:id="64"/>
    </w:p>
    <w:p>
      <w:pPr>
        <w:pStyle w:val="ReferenceEntry"/>
        <w:numPr>
          <w:ilvl w:val="0"/>
          <w:numId w:val="1002"/>
        </w:numPr>
        <w:jc w:val="left"/>
        <w:keepNext w:val="0"/>
        <w:keepLines w:val="0"/>
        <w:widowControl w:val="1"/>
      </w:pPr>
      <w:bookmarkStart w:id="66" w:name="r12"/>
      <w:r>
        <w:t xml:space="preserve">Zhang, H., Da, J., Lee, D., et al. (2024).</w:t>
      </w:r>
      <w:r>
        <w:t xml:space="preserve"> </w:t>
      </w:r>
      <w:r>
        <w:rPr>
          <w:i/>
          <w:iCs/>
        </w:rPr>
        <w:t xml:space="preserve">A Careful Examination of Large Language Model Performance on</w:t>
      </w:r>
      <w:r>
        <w:rPr>
          <w:i/>
          <w:iCs/>
        </w:rPr>
        <w:t xml:space="preserve"> </w:t>
      </w:r>
      <w:r>
        <w:rPr>
          <w:i/>
          <w:iCs/>
        </w:rPr>
        <w:t xml:space="preserve">Grade School Arithmetic (GSM1k).</w:t>
      </w:r>
      <w:r>
        <w:t xml:space="preserve"> </w:t>
      </w:r>
      <w:hyperlink r:id="rId65">
        <w:r>
          <w:rPr>
            <w:rStyle w:val="Hyperlink"/>
          </w:rPr>
          <w:t xml:space="preserve">arxiv.org/abs/2405.00332</w:t>
        </w:r>
      </w:hyperlink>
      <w:bookmarkEnd w:id="66"/>
    </w:p>
    <w:p>
      <w:pPr>
        <w:pStyle w:val="ReferenceEntry"/>
        <w:numPr>
          <w:ilvl w:val="0"/>
          <w:numId w:val="1002"/>
        </w:numPr>
        <w:jc w:val="left"/>
        <w:keepNext w:val="0"/>
        <w:keepLines w:val="0"/>
        <w:widowControl w:val="1"/>
      </w:pPr>
      <w:bookmarkStart w:id="68" w:name="r13"/>
      <w:r>
        <w:t xml:space="preserve">Xu, C., et al. (2025).</w:t>
      </w:r>
      <w:r>
        <w:t xml:space="preserve"> </w:t>
      </w:r>
      <w:r>
        <w:rPr>
          <w:i/>
          <w:iCs/>
        </w:rPr>
        <w:t xml:space="preserve">Benchmark Data Contamination of Large Language Models: A Survey.</w:t>
      </w:r>
      <w:r>
        <w:t xml:space="preserve"> </w:t>
      </w:r>
      <w:hyperlink r:id="rId67">
        <w:r>
          <w:rPr>
            <w:rStyle w:val="Hyperlink"/>
          </w:rPr>
          <w:t xml:space="preserve">arxiv.org/abs/2502.14425</w:t>
        </w:r>
      </w:hyperlink>
      <w:bookmarkEnd w:id="68"/>
    </w:p>
    <w:p>
      <w:pPr>
        <w:pStyle w:val="ReferenceEntry"/>
        <w:numPr>
          <w:ilvl w:val="0"/>
          <w:numId w:val="1002"/>
        </w:numPr>
        <w:jc w:val="left"/>
        <w:keepNext w:val="0"/>
        <w:keepLines w:val="0"/>
        <w:widowControl w:val="1"/>
      </w:pPr>
      <w:bookmarkStart w:id="70" w:name="r14"/>
      <w:r>
        <w:t xml:space="preserve">Kiela, D., Bartolo, M., Nie, Y., et al. (2021).</w:t>
      </w:r>
      <w:r>
        <w:t xml:space="preserve"> </w:t>
      </w:r>
      <w:r>
        <w:rPr>
          <w:i/>
          <w:iCs/>
        </w:rPr>
        <w:t xml:space="preserve">Dynabench: Rethinking Benchmarking in NLP.</w:t>
      </w:r>
      <w:r>
        <w:t xml:space="preserve"> </w:t>
      </w:r>
      <w:r>
        <w:t xml:space="preserve">NAACL.</w:t>
      </w:r>
      <w:r>
        <w:t xml:space="preserve"> </w:t>
      </w:r>
      <w:hyperlink r:id="rId69">
        <w:r>
          <w:rPr>
            <w:rStyle w:val="Hyperlink"/>
          </w:rPr>
          <w:t xml:space="preserve">arxiv.org/abs/2104.14337</w:t>
        </w:r>
      </w:hyperlink>
      <w:bookmarkEnd w:id="70"/>
    </w:p>
    <w:p>
      <w:pPr>
        <w:pStyle w:val="ReferenceEntry"/>
        <w:numPr>
          <w:ilvl w:val="0"/>
          <w:numId w:val="1002"/>
        </w:numPr>
        <w:jc w:val="left"/>
        <w:keepNext w:val="0"/>
        <w:keepLines w:val="0"/>
        <w:widowControl w:val="1"/>
      </w:pPr>
      <w:bookmarkStart w:id="72" w:name="r15"/>
      <w:r>
        <w:t xml:space="preserve">Li, D., Sun, R., Huang, Y., et al. (2026).</w:t>
      </w:r>
      <w:r>
        <w:t xml:space="preserve"> </w:t>
      </w:r>
      <w:r>
        <w:rPr>
          <w:i/>
          <w:iCs/>
        </w:rPr>
        <w:t xml:space="preserve">Preference Leakage: A Contamination Problem in</w:t>
      </w:r>
      <w:r>
        <w:rPr>
          <w:i/>
          <w:iCs/>
        </w:rPr>
        <w:t xml:space="preserve"> </w:t>
      </w:r>
      <w:r>
        <w:rPr>
          <w:i/>
          <w:iCs/>
        </w:rPr>
        <w:t xml:space="preserve">LLM-as-a-Judge.</w:t>
      </w:r>
      <w:r>
        <w:t xml:space="preserve"> </w:t>
      </w:r>
      <w:r>
        <w:t xml:space="preserve">ICLR.</w:t>
      </w:r>
      <w:r>
        <w:t xml:space="preserve"> </w:t>
      </w:r>
      <w:hyperlink r:id="rId71">
        <w:r>
          <w:rPr>
            <w:rStyle w:val="Hyperlink"/>
          </w:rPr>
          <w:t xml:space="preserve">arxiv.org/abs/2502.01534</w:t>
        </w:r>
      </w:hyperlink>
      <w:bookmarkEnd w:id="72"/>
    </w:p>
    <w:p>
      <w:pPr>
        <w:pStyle w:val="ReferenceEntry"/>
        <w:numPr>
          <w:ilvl w:val="0"/>
          <w:numId w:val="1002"/>
        </w:numPr>
        <w:jc w:val="left"/>
        <w:keepNext w:val="0"/>
        <w:keepLines w:val="0"/>
        <w:widowControl w:val="1"/>
      </w:pPr>
      <w:bookmarkStart w:id="74" w:name="r16"/>
      <w:r>
        <w:t xml:space="preserve">Spiliopoulou, E., et al. (2025).</w:t>
      </w:r>
      <w:r>
        <w:t xml:space="preserve"> </w:t>
      </w:r>
      <w:r>
        <w:rPr>
          <w:i/>
          <w:iCs/>
        </w:rPr>
        <w:t xml:space="preserve">Play Favorites: A Statistical Method to Measure Self-Bias in</w:t>
      </w:r>
      <w:r>
        <w:rPr>
          <w:i/>
          <w:iCs/>
        </w:rPr>
        <w:t xml:space="preserve"> </w:t>
      </w:r>
      <w:r>
        <w:rPr>
          <w:i/>
          <w:iCs/>
        </w:rPr>
        <w:t xml:space="preserve">LLM-as-a-Judge.</w:t>
      </w:r>
      <w:r>
        <w:t xml:space="preserve"> </w:t>
      </w:r>
      <w:hyperlink r:id="rId73">
        <w:r>
          <w:rPr>
            <w:rStyle w:val="Hyperlink"/>
          </w:rPr>
          <w:t xml:space="preserve">arxiv.org/abs/2508.06709</w:t>
        </w:r>
      </w:hyperlink>
      <w:bookmarkEnd w:id="74"/>
    </w:p>
    <w:p>
      <w:pPr>
        <w:pStyle w:val="ReferenceEntry"/>
        <w:numPr>
          <w:ilvl w:val="0"/>
          <w:numId w:val="1002"/>
        </w:numPr>
        <w:jc w:val="left"/>
        <w:keepNext w:val="0"/>
        <w:keepLines w:val="0"/>
        <w:widowControl w:val="1"/>
      </w:pPr>
      <w:bookmarkStart w:id="76" w:name="r17"/>
      <w:r>
        <w:t xml:space="preserve">Ye, J., Wang, Y., Huang, Y., et al. (2024).</w:t>
      </w:r>
      <w:r>
        <w:t xml:space="preserve"> </w:t>
      </w:r>
      <w:r>
        <w:rPr>
          <w:i/>
          <w:iCs/>
        </w:rPr>
        <w:t xml:space="preserve">Justice or Prejudice? Quantifying Biases in</w:t>
      </w:r>
      <w:r>
        <w:rPr>
          <w:i/>
          <w:iCs/>
        </w:rPr>
        <w:t xml:space="preserve"> </w:t>
      </w:r>
      <w:r>
        <w:rPr>
          <w:i/>
          <w:iCs/>
        </w:rPr>
        <w:t xml:space="preserve">LLM-as-a-Judge.</w:t>
      </w:r>
      <w:r>
        <w:t xml:space="preserve"> </w:t>
      </w:r>
      <w:hyperlink r:id="rId75">
        <w:r>
          <w:rPr>
            <w:rStyle w:val="Hyperlink"/>
          </w:rPr>
          <w:t xml:space="preserve">arxiv.org/abs/2410.02736</w:t>
        </w:r>
      </w:hyperlink>
      <w:bookmarkEnd w:id="76"/>
    </w:p>
    <w:p>
      <w:pPr>
        <w:pStyle w:val="ReferenceEntry"/>
        <w:numPr>
          <w:ilvl w:val="0"/>
          <w:numId w:val="1002"/>
        </w:numPr>
        <w:jc w:val="left"/>
        <w:keepNext w:val="0"/>
        <w:keepLines w:val="0"/>
        <w:widowControl w:val="1"/>
      </w:pPr>
      <w:bookmarkStart w:id="78" w:name="r18"/>
      <w:r>
        <w:t xml:space="preserve">Wataoka, K., Takahashi, T., Ri, R. (2024).</w:t>
      </w:r>
      <w:r>
        <w:t xml:space="preserve"> </w:t>
      </w:r>
      <w:r>
        <w:rPr>
          <w:i/>
          <w:iCs/>
        </w:rPr>
        <w:t xml:space="preserve">Self-Preference Bias in LLM-as-a-Judge.</w:t>
      </w:r>
      <w:r>
        <w:t xml:space="preserve"> </w:t>
      </w:r>
      <w:hyperlink r:id="rId77">
        <w:r>
          <w:rPr>
            <w:rStyle w:val="Hyperlink"/>
          </w:rPr>
          <w:t xml:space="preserve">arxiv.org/abs/2410.21819</w:t>
        </w:r>
      </w:hyperlink>
      <w:bookmarkEnd w:id="78"/>
    </w:p>
    <w:p>
      <w:pPr>
        <w:pStyle w:val="ReferenceEntry"/>
        <w:numPr>
          <w:ilvl w:val="0"/>
          <w:numId w:val="1002"/>
        </w:numPr>
        <w:jc w:val="left"/>
        <w:keepNext w:val="0"/>
        <w:keepLines w:val="0"/>
        <w:widowControl w:val="1"/>
      </w:pPr>
      <w:bookmarkStart w:id="80" w:name="r19"/>
      <w:r>
        <w:t xml:space="preserve">Gu, J., Jiang, X., Shi, Z., et al. (2024).</w:t>
      </w:r>
      <w:r>
        <w:t xml:space="preserve"> </w:t>
      </w:r>
      <w:r>
        <w:rPr>
          <w:i/>
          <w:iCs/>
        </w:rPr>
        <w:t xml:space="preserve">A Survey on LLM-as-a-Judge.</w:t>
      </w:r>
      <w:r>
        <w:t xml:space="preserve"> </w:t>
      </w:r>
      <w:hyperlink r:id="rId79">
        <w:r>
          <w:rPr>
            <w:rStyle w:val="Hyperlink"/>
          </w:rPr>
          <w:t xml:space="preserve">arxiv.org/abs/2411.15594</w:t>
        </w:r>
      </w:hyperlink>
      <w:bookmarkEnd w:id="80"/>
    </w:p>
    <w:p>
      <w:pPr>
        <w:pStyle w:val="ReferenceEntry"/>
        <w:numPr>
          <w:ilvl w:val="0"/>
          <w:numId w:val="1002"/>
        </w:numPr>
        <w:jc w:val="left"/>
        <w:keepNext w:val="0"/>
        <w:keepLines w:val="0"/>
        <w:widowControl w:val="1"/>
      </w:pPr>
      <w:bookmarkStart w:id="82" w:name="r20"/>
      <w:r>
        <w:t xml:space="preserve">Li, D., Jiang, B., Huang, L., et al. (2025).</w:t>
      </w:r>
      <w:r>
        <w:t xml:space="preserve"> </w:t>
      </w:r>
      <w:r>
        <w:rPr>
          <w:i/>
          <w:iCs/>
        </w:rPr>
        <w:t xml:space="preserve">From Generation to Judgment: Opportunities and</w:t>
      </w:r>
      <w:r>
        <w:rPr>
          <w:i/>
          <w:iCs/>
        </w:rPr>
        <w:t xml:space="preserve"> </w:t>
      </w:r>
      <w:r>
        <w:rPr>
          <w:i/>
          <w:iCs/>
        </w:rPr>
        <w:t xml:space="preserve">Challenges of LLM-as-a-Judge.</w:t>
      </w:r>
      <w:r>
        <w:t xml:space="preserve"> </w:t>
      </w:r>
      <w:r>
        <w:t xml:space="preserve">EMNLP.</w:t>
      </w:r>
      <w:r>
        <w:t xml:space="preserve"> </w:t>
      </w:r>
      <w:hyperlink r:id="rId81">
        <w:r>
          <w:rPr>
            <w:rStyle w:val="Hyperlink"/>
          </w:rPr>
          <w:t xml:space="preserve">arxiv.org/abs/2411.16594</w:t>
        </w:r>
      </w:hyperlink>
      <w:bookmarkEnd w:id="82"/>
    </w:p>
    <w:p>
      <w:pPr>
        <w:pStyle w:val="ReferenceEntry"/>
        <w:numPr>
          <w:ilvl w:val="0"/>
          <w:numId w:val="1002"/>
        </w:numPr>
        <w:jc w:val="left"/>
        <w:keepNext w:val="0"/>
        <w:keepLines w:val="0"/>
        <w:widowControl w:val="1"/>
      </w:pPr>
      <w:bookmarkStart w:id="84" w:name="r21"/>
      <w:r>
        <w:t xml:space="preserve">Chan, C.-M., Chen, W., Su, Y., et al. (2024).</w:t>
      </w:r>
      <w:r>
        <w:t xml:space="preserve"> </w:t>
      </w:r>
      <w:r>
        <w:rPr>
          <w:i/>
          <w:iCs/>
        </w:rPr>
        <w:t xml:space="preserve">ChatEval: Towards Better LLM-based Evaluators through</w:t>
      </w:r>
      <w:r>
        <w:rPr>
          <w:i/>
          <w:iCs/>
        </w:rPr>
        <w:t xml:space="preserve"> </w:t>
      </w:r>
      <w:r>
        <w:rPr>
          <w:i/>
          <w:iCs/>
        </w:rPr>
        <w:t xml:space="preserve">Multi-Agent Debate.</w:t>
      </w:r>
      <w:r>
        <w:t xml:space="preserve"> </w:t>
      </w:r>
      <w:r>
        <w:t xml:space="preserve">ICLR.</w:t>
      </w:r>
      <w:r>
        <w:t xml:space="preserve"> </w:t>
      </w:r>
      <w:hyperlink r:id="rId83">
        <w:r>
          <w:rPr>
            <w:rStyle w:val="Hyperlink"/>
          </w:rPr>
          <w:t xml:space="preserve">arxiv.org/abs/2308.07201</w:t>
        </w:r>
      </w:hyperlink>
      <w:bookmarkEnd w:id="84"/>
    </w:p>
    <w:p>
      <w:pPr>
        <w:pStyle w:val="ReferenceEntry"/>
        <w:numPr>
          <w:ilvl w:val="0"/>
          <w:numId w:val="1002"/>
        </w:numPr>
        <w:jc w:val="left"/>
        <w:keepNext w:val="0"/>
        <w:keepLines w:val="0"/>
        <w:widowControl w:val="1"/>
      </w:pPr>
      <w:bookmarkStart w:id="86" w:name="r22"/>
      <w:r>
        <w:t xml:space="preserve">White, C., Dooley, S., Roberts, M., et al. (2025).</w:t>
      </w:r>
      <w:r>
        <w:t xml:space="preserve"> </w:t>
      </w:r>
      <w:r>
        <w:rPr>
          <w:i/>
          <w:iCs/>
        </w:rPr>
        <w:t xml:space="preserve">LiveBench: A Challenging, Contamination-Limited</w:t>
      </w:r>
      <w:r>
        <w:rPr>
          <w:i/>
          <w:iCs/>
        </w:rPr>
        <w:t xml:space="preserve"> </w:t>
      </w:r>
      <w:r>
        <w:rPr>
          <w:i/>
          <w:iCs/>
        </w:rPr>
        <w:t xml:space="preserve">LLM Benchmark.</w:t>
      </w:r>
      <w:r>
        <w:t xml:space="preserve"> </w:t>
      </w:r>
      <w:r>
        <w:t xml:space="preserve">ICLR.</w:t>
      </w:r>
      <w:r>
        <w:t xml:space="preserve"> </w:t>
      </w:r>
      <w:hyperlink r:id="rId85">
        <w:r>
          <w:rPr>
            <w:rStyle w:val="Hyperlink"/>
          </w:rPr>
          <w:t xml:space="preserve">arxiv.org/abs/2406.19314</w:t>
        </w:r>
      </w:hyperlink>
      <w:bookmarkEnd w:id="86"/>
    </w:p>
    <w:p>
      <w:pPr>
        <w:pStyle w:val="ReferenceEntry"/>
        <w:numPr>
          <w:ilvl w:val="0"/>
          <w:numId w:val="1002"/>
        </w:numPr>
        <w:jc w:val="left"/>
        <w:keepNext w:val="0"/>
        <w:keepLines w:val="0"/>
        <w:widowControl w:val="1"/>
      </w:pPr>
      <w:bookmarkStart w:id="88" w:name="r23"/>
      <w:r>
        <w:t xml:space="preserve">Jain, N., Han, K., Gu, A., et al. (2025).</w:t>
      </w:r>
      <w:r>
        <w:t xml:space="preserve"> </w:t>
      </w:r>
      <w:r>
        <w:rPr>
          <w:i/>
          <w:iCs/>
        </w:rPr>
        <w:t xml:space="preserve">LiveCodeBench: Holistic and Contamination Free Evaluation</w:t>
      </w:r>
      <w:r>
        <w:rPr>
          <w:i/>
          <w:iCs/>
        </w:rPr>
        <w:t xml:space="preserve"> </w:t>
      </w:r>
      <w:r>
        <w:rPr>
          <w:i/>
          <w:iCs/>
        </w:rPr>
        <w:t xml:space="preserve">of Large Language Models for Code.</w:t>
      </w:r>
      <w:r>
        <w:t xml:space="preserve"> </w:t>
      </w:r>
      <w:r>
        <w:t xml:space="preserve">ICLR.</w:t>
      </w:r>
      <w:r>
        <w:t xml:space="preserve"> </w:t>
      </w:r>
      <w:hyperlink r:id="rId87">
        <w:r>
          <w:rPr>
            <w:rStyle w:val="Hyperlink"/>
          </w:rPr>
          <w:t xml:space="preserve">arxiv.org/abs/2403.07974</w:t>
        </w:r>
      </w:hyperlink>
      <w:bookmarkEnd w:id="88"/>
    </w:p>
    <w:p>
      <w:pPr>
        <w:pStyle w:val="ReferenceEntry"/>
        <w:numPr>
          <w:ilvl w:val="0"/>
          <w:numId w:val="1002"/>
        </w:numPr>
        <w:jc w:val="left"/>
        <w:keepNext w:val="0"/>
        <w:keepLines w:val="0"/>
        <w:widowControl w:val="1"/>
      </w:pPr>
      <w:bookmarkStart w:id="90" w:name="r24"/>
      <w:r>
        <w:t xml:space="preserve">Chen, W.-L., Wu, Z., Bansal, H., et al. (2025).</w:t>
      </w:r>
      <w:r>
        <w:t xml:space="preserve"> </w:t>
      </w:r>
      <w:r>
        <w:rPr>
          <w:i/>
          <w:iCs/>
        </w:rPr>
        <w:t xml:space="preserve">Do LLM Evaluators Prefer Themselves for a</w:t>
      </w:r>
      <w:r>
        <w:rPr>
          <w:i/>
          <w:iCs/>
        </w:rPr>
        <w:t xml:space="preserve"> </w:t>
      </w:r>
      <w:r>
        <w:rPr>
          <w:i/>
          <w:iCs/>
        </w:rPr>
        <w:t xml:space="preserve">Reason?</w:t>
      </w:r>
      <w:r>
        <w:t xml:space="preserve"> </w:t>
      </w:r>
      <w:hyperlink r:id="rId89">
        <w:r>
          <w:rPr>
            <w:rStyle w:val="Hyperlink"/>
          </w:rPr>
          <w:t xml:space="preserve">arxiv.org/abs/2504.03846</w:t>
        </w:r>
      </w:hyperlink>
      <w:bookmarkEnd w:id="90"/>
    </w:p>
    <w:p>
      <w:pPr>
        <w:pStyle w:val="ReferenceEntry"/>
        <w:numPr>
          <w:ilvl w:val="0"/>
          <w:numId w:val="1002"/>
        </w:numPr>
        <w:jc w:val="left"/>
        <w:keepNext w:val="0"/>
        <w:keepLines w:val="0"/>
        <w:widowControl w:val="1"/>
      </w:pPr>
      <w:bookmarkStart w:id="92" w:name="r25"/>
      <w:r>
        <w:t xml:space="preserve">Raju, R., Jain, S., Li, B., et al. (2024).</w:t>
      </w:r>
      <w:r>
        <w:t xml:space="preserve"> </w:t>
      </w:r>
      <w:r>
        <w:rPr>
          <w:i/>
          <w:iCs/>
        </w:rPr>
        <w:t xml:space="preserve">Constructing Domain-Specific Evaluation Sets for</w:t>
      </w:r>
      <w:r>
        <w:rPr>
          <w:i/>
          <w:iCs/>
        </w:rPr>
        <w:t xml:space="preserve"> </w:t>
      </w:r>
      <w:r>
        <w:rPr>
          <w:i/>
          <w:iCs/>
        </w:rPr>
        <w:t xml:space="preserve">LLM-as-a-judge.</w:t>
      </w:r>
      <w:r>
        <w:t xml:space="preserve"> </w:t>
      </w:r>
      <w:hyperlink r:id="rId91">
        <w:r>
          <w:rPr>
            <w:rStyle w:val="Hyperlink"/>
          </w:rPr>
          <w:t xml:space="preserve">arxiv.org/abs/2408.08808</w:t>
        </w:r>
      </w:hyperlink>
      <w:bookmarkEnd w:id="92"/>
    </w:p>
    <w:p>
      <w:pPr>
        <w:pStyle w:val="ReferenceEntry"/>
        <w:numPr>
          <w:ilvl w:val="0"/>
          <w:numId w:val="1002"/>
        </w:numPr>
        <w:jc w:val="left"/>
        <w:keepNext w:val="0"/>
        <w:keepLines w:val="0"/>
        <w:widowControl w:val="1"/>
      </w:pPr>
      <w:bookmarkStart w:id="94" w:name="r26"/>
      <w:r>
        <w:t xml:space="preserve">Li, Y., et al. (2025).</w:t>
      </w:r>
      <w:r>
        <w:t xml:space="preserve"> </w:t>
      </w:r>
      <w:r>
        <w:rPr>
          <w:i/>
          <w:iCs/>
        </w:rPr>
        <w:t xml:space="preserve">Leveraging LLMs as Meta-Judges: A Multi-Agent Framework.</w:t>
      </w:r>
      <w:r>
        <w:t xml:space="preserve"> </w:t>
      </w:r>
      <w:hyperlink r:id="rId93">
        <w:r>
          <w:rPr>
            <w:rStyle w:val="Hyperlink"/>
          </w:rPr>
          <w:t xml:space="preserve">arxiv.org/abs/2504.17087</w:t>
        </w:r>
      </w:hyperlink>
      <w:bookmarkEnd w:id="94"/>
    </w:p>
    <w:p>
      <w:pPr>
        <w:pStyle w:val="ReferenceEntry"/>
        <w:numPr>
          <w:ilvl w:val="0"/>
          <w:numId w:val="1002"/>
        </w:numPr>
        <w:jc w:val="left"/>
        <w:keepNext w:val="0"/>
        <w:keepLines w:val="0"/>
        <w:widowControl w:val="1"/>
      </w:pPr>
      <w:bookmarkStart w:id="96" w:name="r27"/>
      <w:r>
        <w:t xml:space="preserve">Qian, C., Sun, G., Gales, M., Knill, K. (2026).</w:t>
      </w:r>
      <w:r>
        <w:t xml:space="preserve"> </w:t>
      </w:r>
      <w:r>
        <w:rPr>
          <w:i/>
          <w:iCs/>
        </w:rPr>
        <w:t xml:space="preserve">Who can we trust? LLM-as-a-jury for Comparative</w:t>
      </w:r>
      <w:r>
        <w:rPr>
          <w:i/>
          <w:iCs/>
        </w:rPr>
        <w:t xml:space="preserve"> </w:t>
      </w:r>
      <w:r>
        <w:rPr>
          <w:i/>
          <w:iCs/>
        </w:rPr>
        <w:t xml:space="preserve">Assessment.</w:t>
      </w:r>
      <w:r>
        <w:t xml:space="preserve"> </w:t>
      </w:r>
      <w:r>
        <w:t xml:space="preserve">ICML.</w:t>
      </w:r>
      <w:r>
        <w:t xml:space="preserve"> </w:t>
      </w:r>
      <w:hyperlink r:id="rId95">
        <w:r>
          <w:rPr>
            <w:rStyle w:val="Hyperlink"/>
          </w:rPr>
          <w:t xml:space="preserve">arxiv.org/abs/2602.16610</w:t>
        </w:r>
      </w:hyperlink>
      <w:bookmarkEnd w:id="96"/>
    </w:p>
    <w:p>
      <w:pPr>
        <w:pStyle w:val="ReferenceEntry"/>
        <w:numPr>
          <w:ilvl w:val="0"/>
          <w:numId w:val="1002"/>
        </w:numPr>
        <w:jc w:val="left"/>
        <w:keepNext w:val="0"/>
        <w:keepLines w:val="0"/>
        <w:widowControl w:val="1"/>
      </w:pPr>
      <w:bookmarkStart w:id="98" w:name="r28"/>
      <w:r>
        <w:t xml:space="preserve">Zhao, Y., Shin, J., Huang, Z., Namburi, S., Sala, F. (2026).</w:t>
      </w:r>
      <w:r>
        <w:t xml:space="preserve"> </w:t>
      </w:r>
      <w:r>
        <w:rPr>
          <w:i/>
          <w:iCs/>
        </w:rPr>
        <w:t xml:space="preserve">CARE: Confounder-Aware Aggregation</w:t>
      </w:r>
      <w:r>
        <w:rPr>
          <w:i/>
          <w:iCs/>
        </w:rPr>
        <w:t xml:space="preserve"> </w:t>
      </w:r>
      <w:r>
        <w:rPr>
          <w:i/>
          <w:iCs/>
        </w:rPr>
        <w:t xml:space="preserve">for Reliable LLM Evaluation.</w:t>
      </w:r>
      <w:r>
        <w:t xml:space="preserve"> </w:t>
      </w:r>
      <w:hyperlink r:id="rId97">
        <w:r>
          <w:rPr>
            <w:rStyle w:val="Hyperlink"/>
          </w:rPr>
          <w:t xml:space="preserve">arxiv.org/abs/2603.00039</w:t>
        </w:r>
      </w:hyperlink>
      <w:bookmarkEnd w:id="98"/>
    </w:p>
    <w:p>
      <w:pPr>
        <w:pStyle w:val="ReferenceEntry"/>
        <w:numPr>
          <w:ilvl w:val="0"/>
          <w:numId w:val="1002"/>
        </w:numPr>
        <w:jc w:val="left"/>
        <w:keepNext w:val="0"/>
        <w:keepLines w:val="0"/>
        <w:widowControl w:val="1"/>
      </w:pPr>
      <w:bookmarkStart w:id="100" w:name="r29"/>
      <w:r>
        <w:t xml:space="preserve">Xu, C., Tan, Z., Wu, J., Zhou, T. (2026).</w:t>
      </w:r>
      <w:r>
        <w:t xml:space="preserve"> </w:t>
      </w:r>
      <w:r>
        <w:rPr>
          <w:i/>
          <w:iCs/>
        </w:rPr>
        <w:t xml:space="preserve">A Judge-Aware Ranking Framework for Evaluating Large</w:t>
      </w:r>
      <w:r>
        <w:rPr>
          <w:i/>
          <w:iCs/>
        </w:rPr>
        <w:t xml:space="preserve"> </w:t>
      </w:r>
      <w:r>
        <w:rPr>
          <w:i/>
          <w:iCs/>
        </w:rPr>
        <w:t xml:space="preserve">Language Models without Ground Truth.</w:t>
      </w:r>
      <w:r>
        <w:t xml:space="preserve"> </w:t>
      </w:r>
      <w:hyperlink r:id="rId99">
        <w:r>
          <w:rPr>
            <w:rStyle w:val="Hyperlink"/>
          </w:rPr>
          <w:t xml:space="preserve">arxiv.org/abs/2601.21817</w:t>
        </w:r>
      </w:hyperlink>
      <w:bookmarkEnd w:id="100"/>
    </w:p>
    <w:p>
      <w:pPr>
        <w:pStyle w:val="ReferenceEntry"/>
        <w:numPr>
          <w:ilvl w:val="0"/>
          <w:numId w:val="1002"/>
        </w:numPr>
        <w:jc w:val="left"/>
        <w:keepNext w:val="0"/>
        <w:keepLines w:val="0"/>
        <w:widowControl w:val="1"/>
      </w:pPr>
      <w:bookmarkStart w:id="102" w:name="r30"/>
      <w:r>
        <w:t xml:space="preserve">Patel, A., Reddy, S., Bahdanau, D. (2025).</w:t>
      </w:r>
      <w:r>
        <w:t xml:space="preserve"> </w:t>
      </w:r>
      <w:r>
        <w:rPr>
          <w:i/>
          <w:iCs/>
        </w:rPr>
        <w:t xml:space="preserve">CHASE: How to Get Your LLM to Generate Challenging</w:t>
      </w:r>
      <w:r>
        <w:rPr>
          <w:i/>
          <w:iCs/>
        </w:rPr>
        <w:t xml:space="preserve"> </w:t>
      </w:r>
      <w:r>
        <w:rPr>
          <w:i/>
          <w:iCs/>
        </w:rPr>
        <w:t xml:space="preserve">Problems for Evaluation.</w:t>
      </w:r>
      <w:r>
        <w:t xml:space="preserve"> </w:t>
      </w:r>
      <w:hyperlink r:id="rId101">
        <w:r>
          <w:rPr>
            <w:rStyle w:val="Hyperlink"/>
          </w:rPr>
          <w:t xml:space="preserve">arxiv.org/abs/2502.14678</w:t>
        </w:r>
      </w:hyperlink>
      <w:bookmarkEnd w:id="102"/>
    </w:p>
    <w:p>
      <w:pPr>
        <w:pStyle w:val="ReferenceEntry"/>
        <w:numPr>
          <w:ilvl w:val="0"/>
          <w:numId w:val="1002"/>
        </w:numPr>
        <w:jc w:val="left"/>
        <w:keepNext w:val="0"/>
        <w:keepLines w:val="0"/>
        <w:widowControl w:val="1"/>
      </w:pPr>
      <w:bookmarkStart w:id="104" w:name="r31"/>
      <w:r>
        <w:t xml:space="preserve">Filice, S., Horowitz, G., Carmel, D., Karnin, Z., Lewin-Eytan, L., Maarek, Y. (2025).</w:t>
      </w:r>
      <w:r>
        <w:t xml:space="preserve"> </w:t>
      </w:r>
      <w:r>
        <w:rPr>
          <w:i/>
          <w:iCs/>
        </w:rPr>
        <w:t xml:space="preserve">Generating</w:t>
      </w:r>
      <w:r>
        <w:rPr>
          <w:i/>
          <w:iCs/>
        </w:rPr>
        <w:t xml:space="preserve"> </w:t>
      </w:r>
      <w:r>
        <w:rPr>
          <w:i/>
          <w:iCs/>
        </w:rPr>
        <w:t xml:space="preserve">Diverse Q&amp;A Benchmarks for RAG Evaluation with DataMorgana.</w:t>
      </w:r>
      <w:r>
        <w:t xml:space="preserve"> </w:t>
      </w:r>
      <w:r>
        <w:t xml:space="preserve">SIGIR LiveRAG.</w:t>
      </w:r>
      <w:r>
        <w:t xml:space="preserve"> </w:t>
      </w:r>
      <w:hyperlink r:id="rId103">
        <w:r>
          <w:rPr>
            <w:rStyle w:val="Hyperlink"/>
          </w:rPr>
          <w:t xml:space="preserve">arxiv.org/abs/2501.12789</w:t>
        </w:r>
      </w:hyperlink>
      <w:bookmarkEnd w:id="104"/>
    </w:p>
    <w:p>
      <w:pPr>
        <w:pStyle w:val="ReferenceEntry"/>
        <w:numPr>
          <w:ilvl w:val="0"/>
          <w:numId w:val="1002"/>
        </w:numPr>
        <w:jc w:val="left"/>
        <w:keepNext w:val="0"/>
        <w:keepLines w:val="0"/>
        <w:widowControl w:val="1"/>
      </w:pPr>
      <w:bookmarkStart w:id="106" w:name="r32"/>
      <w:r>
        <w:t xml:space="preserve">Chen, Y., et al. (2025).</w:t>
      </w:r>
      <w:r>
        <w:t xml:space="preserve"> </w:t>
      </w:r>
      <w:r>
        <w:rPr>
          <w:i/>
          <w:iCs/>
        </w:rPr>
        <w:t xml:space="preserve">Recent Advances in Large Language Model Benchmarks against Data</w:t>
      </w:r>
      <w:r>
        <w:rPr>
          <w:i/>
          <w:iCs/>
        </w:rPr>
        <w:t xml:space="preserve"> </w:t>
      </w:r>
      <w:r>
        <w:rPr>
          <w:i/>
          <w:iCs/>
        </w:rPr>
        <w:t xml:space="preserve">Contamination: From Static to Dynamic Evaluation.</w:t>
      </w:r>
      <w:r>
        <w:t xml:space="preserve"> </w:t>
      </w:r>
      <w:r>
        <w:t xml:space="preserve">EMNLP.</w:t>
      </w:r>
      <w:r>
        <w:t xml:space="preserve"> </w:t>
      </w:r>
      <w:hyperlink r:id="rId105">
        <w:r>
          <w:rPr>
            <w:rStyle w:val="Hyperlink"/>
          </w:rPr>
          <w:t xml:space="preserve">arxiv.org/abs/2502.17521</w:t>
        </w:r>
      </w:hyperlink>
      <w:bookmarkEnd w:id="106"/>
    </w:p>
    <w:bookmarkEnd w:id="107"/>
    <w:bookmarkStart w:id="108" w:name="appA"/>
    <w:p>
      <w:pPr>
        <w:pStyle w:val="Heading2"/>
        <w:keepNext/>
        <w:keepLines/>
        <w:widowControl w:val="1"/>
      </w:pPr>
      <w:r>
        <w:t xml:space="preserve">Appendix A. Statistical methods</w:t>
      </w:r>
    </w:p>
    <w:p>
      <w:pPr>
        <w:pStyle w:val="FirstParagraph"/>
        <w:jc w:val="both"/>
        <w:keepNext w:val="0"/>
        <w:keepLines w:val="0"/>
        <w:widowControl w:val="1"/>
      </w:pPr>
      <w:r>
        <w:t xml:space="preserve">This appendix collects the estimator definitions used in the main text. CoEval reports the agreement of the judge</w:t>
      </w:r>
      <w:r>
        <w:t xml:space="preserve"> </w:t>
      </w:r>
      <w:r>
        <w:t xml:space="preserve">panel using intraclass correlation. For an average-measures design over</w:t>
      </w:r>
      <w:r>
        <w:t xml:space="preserve"> </w:t>
      </w:r>
      <m:oMath>
        <m:r>
          <m:t>k</m:t>
        </m:r>
      </m:oMath>
      <w:r>
        <w:t xml:space="preserve"> </w:t>
      </w:r>
      <w:r>
        <w:t xml:space="preserve">judges, the ICC(3,k) reliability is</w:t>
      </w:r>
    </w:p>
    <w:p>
      <w:pPr>
        <w:pStyle w:val="BodyText"/>
      </w:pPr>
      <m:oMathPara>
        <m:oMathParaPr>
          <m:jc m:val="center"/>
        </m:oMathParaPr>
        <m:oMath>
          <m:r>
            <m:rPr>
              <m:sty m:val="p"/>
            </m:rPr>
            <m:t>I</m:t>
          </m:r>
          <m:r>
            <m:rPr>
              <m:sty m:val="p"/>
            </m:rPr>
            <m:t>C</m:t>
          </m:r>
          <m:r>
            <m:rPr>
              <m:sty m:val="p"/>
            </m:rPr>
            <m:t>C</m:t>
          </m:r>
          <m:r>
            <m:rPr>
              <m:sty m:val="p"/>
            </m:rPr>
            <m:t>(</m:t>
          </m:r>
          <m:r>
            <m:t>3</m:t>
          </m:r>
          <m:r>
            <m:rPr>
              <m:sty m:val="p"/>
            </m:rPr>
            <m:t>,</m:t>
          </m:r>
          <m:r>
            <m:t>k</m:t>
          </m:r>
          <m:r>
            <m:rPr>
              <m:sty m:val="p"/>
            </m:rPr>
            <m:t>)</m:t>
          </m:r>
          <m:r>
            <m:t> </m:t>
          </m:r>
          <m:r>
            <m:rPr>
              <m:sty m:val="p"/>
            </m:rPr>
            <m:t>=</m:t>
          </m:r>
          <m:r>
            <m:t> </m:t>
          </m:r>
          <m:f>
            <m:fPr>
              <m:type m:val="bar"/>
            </m:fPr>
            <m:num>
              <m:r>
                <m:t>M</m:t>
              </m:r>
              <m:r>
                <m:t>S</m:t>
              </m:r>
              <m:r>
                <m:t>R</m:t>
              </m:r>
              <m:r>
                <m:rPr>
                  <m:sty m:val="p"/>
                </m:rPr>
                <m:t>−</m:t>
              </m:r>
              <m:r>
                <m:t>M</m:t>
              </m:r>
              <m:r>
                <m:t>S</m:t>
              </m:r>
              <m:r>
                <m:t>E</m:t>
              </m:r>
            </m:num>
            <m:den>
              <m:r>
                <m:t>M</m:t>
              </m:r>
              <m:r>
                <m:t>S</m:t>
              </m:r>
              <m:r>
                <m:t>R</m:t>
              </m:r>
            </m:den>
          </m:f>
          <m:r>
            <m:rPr>
              <m:sty m:val="p"/>
            </m:rPr>
            <m:t>,</m:t>
          </m:r>
        </m:oMath>
      </m:oMathPara>
    </w:p>
    <w:p>
      <w:pPr>
        <w:pStyle w:val="FirstParagraph"/>
        <w:jc w:val="both"/>
        <w:keepNext w:val="0"/>
        <w:keepLines w:val="0"/>
        <w:widowControl w:val="1"/>
      </w:pPr>
      <w:r>
        <w:t xml:space="preserve">where</w:t>
      </w:r>
      <w:r>
        <w:t xml:space="preserve"> </w:t>
      </w:r>
      <m:oMath>
        <m:r>
          <m:t>M</m:t>
        </m:r>
        <m:r>
          <m:t>S</m:t>
        </m:r>
        <m:r>
          <m:t>R</m:t>
        </m:r>
      </m:oMath>
      <w:r>
        <w:t xml:space="preserve"> </w:t>
      </w:r>
      <w:r>
        <w:t xml:space="preserve">is the between-targets (rows) mean square and</w:t>
      </w:r>
      <w:r>
        <w:t xml:space="preserve"> </w:t>
      </w:r>
      <m:oMath>
        <m:r>
          <m:t>M</m:t>
        </m:r>
        <m:r>
          <m:t>S</m:t>
        </m:r>
        <m:r>
          <m:t>E</m:t>
        </m:r>
      </m:oMath>
      <w:r>
        <w:t xml:space="preserve"> </w:t>
      </w:r>
      <w:r>
        <w:t xml:space="preserve">the residual mean square. The gain from aggregating</w:t>
      </w:r>
      <w:r>
        <w:t xml:space="preserve"> </w:t>
      </w:r>
      <w:r>
        <w:t xml:space="preserve">more judges follows the</w:t>
      </w:r>
      <w:r>
        <w:t xml:space="preserve"> </w:t>
      </w:r>
      <w:r>
        <w:rPr>
          <w:b/>
          <w:bCs/>
        </w:rPr>
        <w:t xml:space="preserve">Spearman–Brown</w:t>
      </w:r>
      <w:r>
        <w:t xml:space="preserve"> </w:t>
      </w:r>
      <w:r>
        <w:t xml:space="preserve">prophecy relation: if</w:t>
      </w:r>
      <w:r>
        <w:t xml:space="preserve"> </w:t>
      </w:r>
      <m:oMath>
        <m:acc>
          <m:accPr>
            <m:chr m:val="‾"/>
          </m:accPr>
          <m:e>
            <m:r>
              <m:t>r</m:t>
            </m:r>
          </m:e>
        </m:acc>
      </m:oMath>
      <w:r>
        <w:t xml:space="preserve"> </w:t>
      </w:r>
      <w:r>
        <w:t xml:space="preserve">is the mean pairwise</w:t>
      </w:r>
      <w:r>
        <w:t xml:space="preserve"> </w:t>
      </w:r>
      <w:r>
        <w:t xml:space="preserve">inter-judge correlation, the reliability of a</w:t>
      </w:r>
      <w:r>
        <w:t xml:space="preserve"> </w:t>
      </w:r>
      <m:oMath>
        <m:r>
          <m:t>k</m:t>
        </m:r>
      </m:oMath>
      <w:r>
        <w:t xml:space="preserve">-judge mean is</w:t>
      </w:r>
    </w:p>
    <w:p>
      <w:pPr>
        <w:pStyle w:val="BodyText"/>
      </w:pPr>
      <m:oMathPara>
        <m:oMathParaPr>
          <m:jc m:val="center"/>
        </m:oMathParaPr>
        <m:oMath>
          <m:sSub>
            <m:e>
              <m:r>
                <m:t>R</m:t>
              </m:r>
            </m:e>
            <m:sub>
              <m:r>
                <m:t>k</m:t>
              </m:r>
            </m:sub>
          </m:sSub>
          <m:r>
            <m:t> </m:t>
          </m:r>
          <m:r>
            <m:rPr>
              <m:sty m:val="p"/>
            </m:rPr>
            <m:t>=</m:t>
          </m:r>
          <m:r>
            <m:t> </m:t>
          </m:r>
          <m:f>
            <m:fPr>
              <m:type m:val="bar"/>
            </m:fPr>
            <m:num>
              <m:r>
                <m:t>k</m:t>
              </m:r>
              <m:r>
                <m:t> </m:t>
              </m:r>
              <m:acc>
                <m:accPr>
                  <m:chr m:val="‾"/>
                </m:accPr>
                <m:e>
                  <m:r>
                    <m:t>r</m:t>
                  </m:r>
                </m:e>
              </m:acc>
            </m:num>
            <m:den>
              <m:r>
                <m:t>1</m:t>
              </m:r>
              <m:r>
                <m:rPr>
                  <m:sty m:val="p"/>
                </m:rPr>
                <m:t>+</m:t>
              </m:r>
              <m:r>
                <m:rPr>
                  <m:sty m:val="p"/>
                </m:rPr>
                <m:t>(</m:t>
              </m:r>
              <m:r>
                <m:t>k</m:t>
              </m:r>
              <m:r>
                <m:rPr>
                  <m:sty m:val="p"/>
                </m:rPr>
                <m:t>−</m:t>
              </m:r>
              <m:r>
                <m:t>1</m:t>
              </m:r>
              <m:r>
                <m:rPr>
                  <m:sty m:val="p"/>
                </m:rPr>
                <m:t>)</m:t>
              </m:r>
              <m:r>
                <m:t> </m:t>
              </m:r>
              <m:acc>
                <m:accPr>
                  <m:chr m:val="‾"/>
                </m:accPr>
                <m:e>
                  <m:r>
                    <m:t>r</m:t>
                  </m:r>
                </m:e>
              </m:acc>
            </m:den>
          </m:f>
          <m:r>
            <m:rPr>
              <m:sty m:val="p"/>
            </m:rPr>
            <m:t>.</m:t>
          </m:r>
        </m:oMath>
      </m:oMathPara>
    </w:p>
    <w:p>
      <w:pPr>
        <w:pStyle w:val="FirstParagraph"/>
        <w:jc w:val="both"/>
        <w:keepNext w:val="0"/>
        <w:keepLines w:val="0"/>
        <w:widowControl w:val="1"/>
      </w:pPr>
      <w:r>
        <w:t xml:space="preserve">For categorical agreement (e.g., pass/fail rubric criteria) CoEval reports Cohen's</w:t>
      </w:r>
      <w:r>
        <w:t xml:space="preserve"> </w:t>
      </w:r>
      <m:oMath>
        <m:r>
          <m:t>κ</m:t>
        </m:r>
      </m:oMath>
      <w:r>
        <w:t xml:space="preserve">,</w:t>
      </w:r>
    </w:p>
    <w:p>
      <w:pPr>
        <w:pStyle w:val="BodyText"/>
      </w:pPr>
      <m:oMathPara>
        <m:oMathParaPr>
          <m:jc m:val="center"/>
        </m:oMathParaPr>
        <m:oMath>
          <m:r>
            <m:t>κ</m:t>
          </m:r>
          <m:r>
            <m:t> </m:t>
          </m:r>
          <m:r>
            <m:rPr>
              <m:sty m:val="p"/>
            </m:rPr>
            <m:t>=</m:t>
          </m:r>
          <m:r>
            <m:t> </m:t>
          </m:r>
          <m:f>
            <m:fPr>
              <m:type m:val="bar"/>
            </m:fPr>
            <m:num>
              <m:sSub>
                <m:e>
                  <m:r>
                    <m:t>p</m:t>
                  </m:r>
                </m:e>
                <m:sub>
                  <m:r>
                    <m:t>o</m:t>
                  </m:r>
                </m:sub>
              </m:sSub>
              <m:r>
                <m:rPr>
                  <m:sty m:val="p"/>
                </m:rPr>
                <m:t>−</m:t>
              </m:r>
              <m:sSub>
                <m:e>
                  <m:r>
                    <m:t>p</m:t>
                  </m:r>
                </m:e>
                <m:sub>
                  <m:r>
                    <m:t>e</m:t>
                  </m:r>
                </m:sub>
              </m:sSub>
            </m:num>
            <m:den>
              <m:r>
                <m:t>1</m:t>
              </m:r>
              <m:r>
                <m:rPr>
                  <m:sty m:val="p"/>
                </m:rPr>
                <m:t>−</m:t>
              </m:r>
              <m:sSub>
                <m:e>
                  <m:r>
                    <m:t>p</m:t>
                  </m:r>
                </m:e>
                <m:sub>
                  <m:r>
                    <m:t>e</m:t>
                  </m:r>
                </m:sub>
              </m:sSub>
            </m:den>
          </m:f>
          <m:r>
            <m:rPr>
              <m:sty m:val="p"/>
            </m:rPr>
            <m:t>,</m:t>
          </m:r>
        </m:oMath>
      </m:oMathPara>
    </w:p>
    <w:p>
      <w:pPr>
        <w:pStyle w:val="FirstParagraph"/>
        <w:jc w:val="both"/>
        <w:keepNext w:val="0"/>
        <w:keepLines w:val="0"/>
        <w:widowControl w:val="1"/>
      </w:pPr>
      <w:r>
        <w:t xml:space="preserve">where</w:t>
      </w:r>
      <w:r>
        <w:t xml:space="preserve"> </w:t>
      </w:r>
      <m:oMath>
        <m:sSub>
          <m:e>
            <m:r>
              <m:t>p</m:t>
            </m:r>
          </m:e>
          <m:sub>
            <m:r>
              <m:t>o</m:t>
            </m:r>
          </m:sub>
        </m:sSub>
      </m:oMath>
      <w:r>
        <w:t xml:space="preserve"> </w:t>
      </w:r>
      <w:r>
        <w:t xml:space="preserve">is observed agreement and</w:t>
      </w:r>
      <w:r>
        <w:t xml:space="preserve"> </w:t>
      </w:r>
      <m:oMath>
        <m:sSub>
          <m:e>
            <m:r>
              <m:t>p</m:t>
            </m:r>
          </m:e>
          <m:sub>
            <m:r>
              <m:t>e</m:t>
            </m:r>
          </m:sub>
        </m:sSub>
      </m:oMath>
      <w:r>
        <w:t xml:space="preserve"> </w:t>
      </w:r>
      <w:r>
        <w:t xml:space="preserve">the agreement expected by chance. To quantify residual bias and its</w:t>
      </w:r>
      <w:r>
        <w:t xml:space="preserve"> </w:t>
      </w:r>
      <w:r>
        <w:t xml:space="preserve">uncertainty, CoEval computes the Pearson correlation between a candidate confound (e.g., response length) and the</w:t>
      </w:r>
      <w:r>
        <w:t xml:space="preserve"> </w:t>
      </w:r>
      <w:r>
        <w:t xml:space="preserve">assigned score, with a</w:t>
      </w:r>
      <w:r>
        <w:t xml:space="preserve"> </w:t>
      </w:r>
      <w:r>
        <w:rPr>
          <w:b/>
          <w:bCs/>
        </w:rPr>
        <w:t xml:space="preserve">nonparametric bootstrap</w:t>
      </w:r>
      <w:r>
        <w:t xml:space="preserve"> </w:t>
      </w:r>
      <w:r>
        <w:t xml:space="preserve">confidence interval: the per-item (length, score)</w:t>
      </w:r>
      <w:r>
        <w:t xml:space="preserve"> </w:t>
      </w:r>
      <w:r>
        <w:t xml:space="preserve">pairs are resampled with replacement</w:t>
      </w:r>
      <w:r>
        <w:t xml:space="preserve"> </w:t>
      </w:r>
      <m:oMath>
        <m:r>
          <m:t>B</m:t>
        </m:r>
      </m:oMath>
      <w:r>
        <w:t xml:space="preserve"> </w:t>
      </w:r>
      <w:r>
        <w:t xml:space="preserve">times, the correlation is recomputed on each resample, and the</w:t>
      </w:r>
      <w:r>
        <w:t xml:space="preserve"> </w:t>
      </w:r>
      <m:oMath>
        <m:r>
          <m:t>2.5</m:t>
        </m:r>
      </m:oMath>
      <w:r>
        <w:t xml:space="preserve">th–</w:t>
      </w:r>
      <m:oMath>
        <m:r>
          <m:t>97.5</m:t>
        </m:r>
      </m:oMath>
      <w:r>
        <w:t xml:space="preserve">th percentiles of the bootstrap distribution form the reported 95% CI. A CI that includes zero</w:t>
      </w:r>
      <w:r>
        <w:t xml:space="preserve"> </w:t>
      </w:r>
      <w:r>
        <w:t xml:space="preserve">indicates that the corresponding bias is statistically indistinguishable from absent. Across the family of correlation</w:t>
      </w:r>
      <w:r>
        <w:t xml:space="preserve"> </w:t>
      </w:r>
      <w:r>
        <w:t xml:space="preserve">tests reported in Section 5 we control the false-discovery rate with the Benjamini–Hochberg procedure</w:t>
      </w:r>
      <w:r>
        <w:t xml:space="preserve"> </w:t>
      </w:r>
      <w:r>
        <w:t xml:space="preserve">(</w:t>
      </w:r>
      <m:oMath>
        <m:r>
          <m:t>α</m:t>
        </m:r>
        <m:r>
          <m:rPr>
            <m:sty m:val="p"/>
          </m:rPr>
          <m:t>=</m:t>
        </m:r>
        <m:r>
          <m:t>0.05</m:t>
        </m:r>
      </m:oMath>
      <w:r>
        <w:t xml:space="preserve">), and confidence intervals use a</w:t>
      </w:r>
      <w:r>
        <w:t xml:space="preserve"> </w:t>
      </w:r>
      <w:r>
        <w:rPr>
          <w:i/>
          <w:iCs/>
        </w:rPr>
        <w:t xml:space="preserve">datapoint-clustered</w:t>
      </w:r>
      <w:r>
        <w:t xml:space="preserve"> </w:t>
      </w:r>
      <w:r>
        <w:t xml:space="preserve">resample wherever observations are</w:t>
      </w:r>
      <w:r>
        <w:t xml:space="preserve"> </w:t>
      </w:r>
      <w:r>
        <w:t xml:space="preserve">nested (multiple student responses per item).</w:t>
      </w:r>
    </w:p>
    <w:bookmarkEnd w:id="108"/>
    <w:bookmarkStart w:id="112" w:name="appB"/>
    <w:p>
      <w:pPr>
        <w:pStyle w:val="Heading2"/>
        <w:keepNext/>
        <w:keepLines/>
        <w:widowControl w:val="1"/>
      </w:pPr>
      <w:r>
        <w:t xml:space="preserve">Appendix B. Rubric structure</w:t>
      </w:r>
    </w:p>
    <w:p>
      <w:pPr>
        <w:pStyle w:val="FirstParagraph"/>
        <w:jc w:val="both"/>
        <w:sectPr w:rsidR="00FC693F" w:rsidRPr="0006063C" w:rsidSect="00034616">
          <w:type w:val="continuous"/>
          <w:pgSz w:h="15840" w:w="12240"/>
          <w:pgMar w:bottom="1080" w:footer="720" w:gutter="0" w:header="720" w:left="1080" w:right="1080" w:top="1080"/>
          <w:cols w:num="2" w:space="288" w:equalWidth="1"/>
          <w:docGrid w:linePitch="360"/>
        </w:sectPr>
        <w:keepNext w:val="0"/>
        <w:keepLines w:val="0"/>
        <w:widowControl w:val="1"/>
      </w:pPr>
      <w:r>
        <w:t xml:space="preserve">CoEval generates a scoring rubric automatically per task. We examine whether these rubrics are appropriately</w:t>
      </w:r>
      <w:r>
        <w:t xml:space="preserve"> </w:t>
      </w:r>
      <w:r>
        <w:t xml:space="preserve">task-specialized while sharing a common quality core. Across the four tasks, the 22 auto-generated rubric criteria</w:t>
      </w:r>
      <w:r>
        <w:t xml:space="preserve"> </w:t>
      </w:r>
      <w:r>
        <w:t xml:space="preserve">exhibit a mean</w:t>
      </w:r>
      <w:r>
        <w:t xml:space="preserve"> </w:t>
      </w:r>
      <w:r>
        <w:rPr>
          <w:i/>
          <w:iCs/>
        </w:rPr>
        <w:t xml:space="preserve">within-task</w:t>
      </w:r>
      <w:r>
        <w:t xml:space="preserve"> </w:t>
      </w:r>
      <w:r>
        <w:t xml:space="preserve">semantic similarity of</w:t>
      </w:r>
      <w:r>
        <w:t xml:space="preserve"> </w:t>
      </w:r>
      <m:oMath>
        <m:r>
          <m:t>0.342</m:t>
        </m:r>
      </m:oMath>
      <w:r>
        <w:t xml:space="preserve">, exceeding the mean</w:t>
      </w:r>
      <w:r>
        <w:t xml:space="preserve"> </w:t>
      </w:r>
      <w:r>
        <w:rPr>
          <w:i/>
          <w:iCs/>
        </w:rPr>
        <w:t xml:space="preserve">cross-task</w:t>
      </w:r>
      <w:r>
        <w:t xml:space="preserve"> </w:t>
      </w:r>
      <w:r>
        <w:t xml:space="preserve">similarity</w:t>
      </w:r>
      <w:r>
        <w:t xml:space="preserve"> </w:t>
      </w:r>
      <w:r>
        <w:t xml:space="preserve">of</w:t>
      </w:r>
      <w:r>
        <w:t xml:space="preserve"> </w:t>
      </w:r>
      <m:oMath>
        <m:r>
          <m:t>0.294</m:t>
        </m:r>
      </m:oMath>
      <w:r>
        <w:t xml:space="preserve">: criteria cluster by task, as desired. At the same time, a shared universal</w:t>
      </w:r>
      <w:r>
        <w:t xml:space="preserve"> </w:t>
      </w:r>
      <w:r>
        <w:rPr>
          <w:i/>
          <w:iCs/>
        </w:rPr>
        <w:t xml:space="preserve">“completeness”</w:t>
      </w:r>
      <w:r>
        <w:t xml:space="preserve"> </w:t>
      </w:r>
      <w:r>
        <w:t xml:space="preserve">dimension recurs across three of the four tasks, indicating a common quality core.</w:t>
      </w:r>
      <w:r>
        <w:t xml:space="preserve"> </w:t>
      </w:r>
      <w:r>
        <w:t xml:space="preserve">CoEval's rubrics are thus specialized to each task's demands yet anchored by a transferable notion of answer quality.</w:t>
      </w:r>
    </w:p>
    <w:p>
      <w:pPr>
        <w:pStyle w:val="BodyText"/>
        <w:jc w:val="center"/>
        <w:keepNext/>
        <w:keepLines/>
        <w:widowControl w:val="1"/>
      </w:pPr>
      <w:r>
        <w:drawing>
          <wp:inline>
            <wp:extent cx="5736336" cy="4998720"/>
            <wp:effectExtent b="0" l="0" r="0" t="0"/>
            <wp:docPr descr="Heatmap of pairwise semantic similarity between auto-generated rubric criteria" title="" id="110" name="Picture"/>
            <a:graphic>
              <a:graphicData uri="http://schemas.openxmlformats.org/drawingml/2006/picture">
                <pic:pic>
                  <pic:nvPicPr>
                    <pic:cNvPr descr="figures/f5_rubric_heatmap.png" id="111" name="Picture"/>
                    <pic:cNvPicPr>
                      <a:picLocks noChangeArrowheads="1" noChangeAspect="1"/>
                    </pic:cNvPicPr>
                  </pic:nvPicPr>
                  <pic:blipFill>
                    <a:blip r:embed="rId109"/>
                    <a:stretch>
                      <a:fillRect/>
                    </a:stretch>
                  </pic:blipFill>
                  <pic:spPr bwMode="auto">
                    <a:xfrm>
                      <a:off x="0" y="0"/>
                      <a:ext cx="5736336" cy="4998720"/>
                    </a:xfrm>
                    <a:prstGeom prst="rect">
                      <a:avLst/>
                    </a:prstGeom>
                    <a:noFill/>
                    <a:ln w="9525">
                      <a:noFill/>
                      <a:headEnd/>
                      <a:tailEnd/>
                    </a:ln>
                  </pic:spPr>
                </pic:pic>
              </a:graphicData>
            </a:graphic>
          </wp:inline>
        </w:drawing>
      </w:r>
    </w:p>
    <w:p>
      <w:pPr>
        <w:pStyle w:val="ImageCaption"/>
        <w:spacing w:before="80" w:after="120" w:line="240" w:lineRule="auto"/>
        <w:jc w:val="center"/>
        <w:sectPr w:rsidR="00FC693F" w:rsidRPr="0006063C" w:rsidSect="00034616">
          <w:type w:val="continuous"/>
          <w:pgSz w:h="15840" w:w="12240"/>
          <w:pgMar w:bottom="1080" w:footer="720" w:gutter="0" w:header="720" w:left="1080" w:right="1080" w:top="1080"/>
          <w:cols w:num="1" w:space="288"/>
          <w:docGrid w:linePitch="360"/>
        </w:sectPr>
        <w:keepNext w:val="0"/>
        <w:keepLines/>
        <w:widowControl w:val="1"/>
      </w:pPr>
      <w:r>
        <w:rPr>
          <w:b/>
          <w:bCs/>
        </w:rPr>
        <w:t xml:space="preserve">Figure 5.</w:t>
      </w:r>
      <w:r>
        <w:t xml:space="preserve"> </w:t>
      </w:r>
      <w:r>
        <w:t xml:space="preserve">Pairwise semantic similarity of the 22 auto-generated rubric criteria across</w:t>
      </w:r>
      <w:r>
        <w:t xml:space="preserve"> </w:t>
      </w:r>
      <w:r>
        <w:t xml:space="preserve">four tasks. Block structure along the diagonal reflects task specialization (within-task</w:t>
      </w:r>
      <w:r>
        <w:t xml:space="preserve"> </w:t>
      </w:r>
      <m:oMath>
        <m:r>
          <m:t>0.342</m:t>
        </m:r>
        <m:r>
          <m:rPr>
            <m:sty m:val="p"/>
          </m:rPr>
          <m:t>&gt;</m:t>
        </m:r>
      </m:oMath>
      <w:r>
        <w:t xml:space="preserve"> </w:t>
      </w:r>
      <w:r>
        <w:t xml:space="preserve">cross-task</w:t>
      </w:r>
      <w:r>
        <w:t xml:space="preserve"> </w:t>
      </w:r>
      <m:oMath>
        <m:r>
          <m:t>0.294</m:t>
        </m:r>
      </m:oMath>
      <w:r>
        <w:t xml:space="preserve">), while a recurring “completeness” dimension forms a cross-task cluster.</w:t>
      </w:r>
    </w:p>
    <w:bookmarkEnd w:id="112"/>
    <w:bookmarkStart w:id="116" w:name="appC"/>
    <w:p>
      <w:pPr>
        <w:pStyle w:val="Heading2"/>
        <w:sectPr w:rsidR="00FC693F" w:rsidRPr="0006063C" w:rsidSect="00034616">
          <w:type w:val="continuous"/>
          <w:pgSz w:h="15840" w:w="12240"/>
          <w:pgMar w:bottom="1080" w:footer="720" w:gutter="0" w:header="720" w:left="1080" w:right="1080" w:top="1080"/>
          <w:cols w:num="2" w:space="288" w:equalWidth="1"/>
          <w:docGrid w:linePitch="360"/>
        </w:sectPr>
        <w:keepNext/>
        <w:keepLines/>
        <w:widowControl w:val="1"/>
      </w:pPr>
      <w:r>
        <w:t xml:space="preserve">Appendix C. Evaluation throughput</w:t>
      </w:r>
    </w:p>
    <w:p>
      <w:pPr>
        <w:pStyle w:val="BodyText"/>
        <w:jc w:val="center"/>
        <w:keepNext/>
        <w:keepLines/>
        <w:widowControl w:val="1"/>
      </w:pPr>
      <w:r>
        <w:drawing>
          <wp:inline>
            <wp:extent cx="4632960" cy="2987040"/>
            <wp:effectExtent b="0" l="0" r="0" t="0"/>
            <wp:docPr descr="Evaluations per dollar: CoEval versus human annotation" title="" id="114" name="Picture"/>
            <a:graphic>
              <a:graphicData uri="http://schemas.openxmlformats.org/drawingml/2006/picture">
                <pic:pic>
                  <pic:nvPicPr>
                    <pic:cNvPr descr="figures/f6_cost.png" id="115" name="Picture"/>
                    <pic:cNvPicPr>
                      <a:picLocks noChangeArrowheads="1" noChangeAspect="1"/>
                    </pic:cNvPicPr>
                  </pic:nvPicPr>
                  <pic:blipFill>
                    <a:blip r:embed="rId113"/>
                    <a:stretch>
                      <a:fillRect/>
                    </a:stretch>
                  </pic:blipFill>
                  <pic:spPr bwMode="auto">
                    <a:xfrm>
                      <a:off x="0" y="0"/>
                      <a:ext cx="4632960" cy="2987040"/>
                    </a:xfrm>
                    <a:prstGeom prst="rect">
                      <a:avLst/>
                    </a:prstGeom>
                    <a:noFill/>
                    <a:ln w="9525">
                      <a:noFill/>
                      <a:headEnd/>
                      <a:tailEnd/>
                    </a:ln>
                  </pic:spPr>
                </pic:pic>
              </a:graphicData>
            </a:graphic>
          </wp:inline>
        </w:drawing>
      </w:r>
    </w:p>
    <w:p>
      <w:pPr>
        <w:pStyle w:val="ImageCaption"/>
        <w:spacing w:before="80" w:after="120" w:line="240" w:lineRule="auto"/>
        <w:jc w:val="center"/>
        <w:sectPr w:rsidR="00FC693F" w:rsidRPr="0006063C" w:rsidSect="00034616">
          <w:type w:val="continuous"/>
          <w:pgSz w:h="15840" w:w="12240"/>
          <w:pgMar w:bottom="1080" w:footer="720" w:gutter="0" w:header="720" w:left="1080" w:right="1080" w:top="1080"/>
          <w:cols w:num="1" w:space="288"/>
          <w:docGrid w:linePitch="360"/>
        </w:sectPr>
        <w:keepNext w:val="0"/>
        <w:keepLines/>
        <w:widowControl w:val="1"/>
      </w:pPr>
      <w:r>
        <w:rPr>
          <w:b/>
          <w:bCs/>
        </w:rPr>
        <w:t xml:space="preserve">Figure 6.</w:t>
      </w:r>
      <w:r>
        <w:t xml:space="preserve"> </w:t>
      </w:r>
      <w:r>
        <w:t xml:space="preserve">Throughput. CoEval produces roughly</w:t>
      </w:r>
      <w:r>
        <w:t xml:space="preserve"> </w:t>
      </w:r>
      <m:oMath>
        <m:r>
          <m:t>1</m:t>
        </m:r>
        <m:r>
          <m:rPr>
            <m:sty m:val="p"/>
          </m:rPr>
          <m:t>,</m:t>
        </m:r>
        <m:r>
          <m:t>350</m:t>
        </m:r>
      </m:oMath>
      <w:r>
        <w:t xml:space="preserve"> </w:t>
      </w:r>
      <w:r>
        <w:t xml:space="preserve">evaluations per dollar</w:t>
      </w:r>
      <w:r>
        <w:t xml:space="preserve"> </w:t>
      </w:r>
      <w:r>
        <w:t xml:space="preserve">(7,978 evaluations for USD 5.89), two to three orders of magnitude above typical human annotation, enabling</w:t>
      </w:r>
      <w:r>
        <w:t xml:space="preserve"> </w:t>
      </w:r>
      <w:r>
        <w:t xml:space="preserve">re-evaluation on every model release.</w:t>
      </w:r>
    </w:p>
    <w:bookmarkEnd w:id="116"/>
    <w:bookmarkStart w:id="117" w:name="appD"/>
    <w:p>
      <w:pPr>
        <w:pStyle w:val="Heading2"/>
        <w:keepNext/>
        <w:keepLines/>
        <w:widowControl w:val="1"/>
      </w:pPr>
      <w:r>
        <w:t xml:space="preserve">Appendix D. Worked examples on data-scarce domains</w:t>
      </w:r>
    </w:p>
    <w:p>
      <w:pPr>
        <w:pStyle w:val="FirstParagraph"/>
        <w:jc w:val="both"/>
        <w:keepNext w:val="0"/>
        <w:keepLines w:val="0"/>
        <w:widowControl w:val="1"/>
      </w:pPr>
      <w:r>
        <w:t xml:space="preserve">The three verticals of Section 5.7 are domains where a practitioner typically has</w:t>
      </w:r>
      <w:r>
        <w:t xml:space="preserve"> </w:t>
      </w:r>
      <w:r>
        <w:rPr>
          <w:i/>
          <w:iCs/>
        </w:rPr>
        <w:t xml:space="preserve">no</w:t>
      </w:r>
      <w:r>
        <w:t xml:space="preserve"> </w:t>
      </w:r>
      <w:r>
        <w:t xml:space="preserve">labeled</w:t>
      </w:r>
      <w:r>
        <w:t xml:space="preserve"> </w:t>
      </w:r>
      <w:r>
        <w:t xml:space="preserve">benchmark and no trustworthy public one: drug–drug interaction (DDI) reasoning, clinical decision support, and</w:t>
      </w:r>
      <w:r>
        <w:t xml:space="preserve"> </w:t>
      </w:r>
      <w:r>
        <w:t xml:space="preserve">legal analysis. The artifacts below are the</w:t>
      </w:r>
      <w:r>
        <w:t xml:space="preserve"> </w:t>
      </w:r>
      <w:r>
        <w:rPr>
          <w:i/>
          <w:iCs/>
        </w:rPr>
        <w:t xml:space="preserve">actual</w:t>
      </w:r>
      <w:r>
        <w:t xml:space="preserve"> </w:t>
      </w:r>
      <w:r>
        <w:t xml:space="preserve">output CoEval generated for each, from a single one-line</w:t>
      </w:r>
      <w:r>
        <w:t xml:space="preserve"> </w:t>
      </w:r>
      <w:r>
        <w:t xml:space="preserve">task description and with no human labels. From that description the teacher inferred the attribute strata, synthesized</w:t>
      </w:r>
      <w:r>
        <w:t xml:space="preserve"> </w:t>
      </w:r>
      <m:oMath>
        <m:r>
          <m:t>40</m:t>
        </m:r>
      </m:oMath>
      <w:r>
        <w:t xml:space="preserve"> </w:t>
      </w:r>
      <w:r>
        <w:t xml:space="preserve">contamination-free items stratified over them, and wrote a scoring rubric; the vendor-disjoint panel</w:t>
      </w:r>
      <w:r>
        <w:t xml:space="preserve"> </w:t>
      </w:r>
      <w:r>
        <w:t xml:space="preserve">(OpenAI + Anthropic + Google) then ranked three candidate models (Table 5).</w:t>
      </w:r>
    </w:p>
    <w:p>
      <w:pPr>
        <w:pStyle w:val="BodyText"/>
        <w:jc w:val="both"/>
        <w:sectPr w:rsidR="00FC693F" w:rsidRPr="0006063C" w:rsidSect="00034616">
          <w:type w:val="continuous"/>
          <w:pgSz w:h="15840" w:w="12240"/>
          <w:pgMar w:bottom="1080" w:footer="720" w:gutter="0" w:header="720" w:left="1080" w:right="1080" w:top="1080"/>
          <w:cols w:num="2" w:space="288" w:equalWidth="1"/>
          <w:docGrid w:linePitch="360"/>
        </w:sectPr>
        <w:keepNext w:val="0"/>
        <w:keepLines w:val="0"/>
        <w:widowControl w:val="1"/>
      </w:pPr>
      <w:r>
        <w:rPr>
          <w:b/>
          <w:bCs/>
        </w:rPr>
        <w:t xml:space="preserve">Table D1.</w:t>
      </w:r>
      <w:r>
        <w:t xml:space="preserve"> </w:t>
      </w:r>
      <w:r>
        <w:t xml:space="preserve">From a one-line description to a scored benchmark, for three domains with no</w:t>
      </w:r>
      <w:r>
        <w:t xml:space="preserve"> </w:t>
      </w:r>
      <w:r>
        <w:t xml:space="preserve">public labeled data. The attribute strata and rubric criteria are auto-generated by the teacher; each domain yields</w:t>
      </w:r>
      <w:r>
        <w:t xml:space="preserve"> </w:t>
      </w:r>
      <m:oMath>
        <m:r>
          <m:t>40</m:t>
        </m:r>
      </m:oMath>
      <w:r>
        <w:t xml:space="preserve"> </w:t>
      </w:r>
      <w:r>
        <w:t xml:space="preserve">stratified, contamination-free items, scored by the cross-family panel.</w:t>
      </w:r>
    </w:p>
    <w:tbl>
      <w:tblPr>
        <w:tblStyle w:val="Table"/>
        <w:tblW w:type="pct" w:w="5000"/>
        <w:jc w:val="center"/>
        <w:tblLayout w:type="autofit"/>
        <w:tblLook w:firstRow="1" w:lastRow="0" w:firstColumn="0" w:lastColumn="0" w:noHBand="0" w:noVBand="0" w:val="0020"/>
        <w:tblCaption w:val="Table D1. From a one-line description to a scored benchmark, for three domains with no public labeled data. The attribute strata and rubric criteria are auto-generated by the teacher; each domain yields 40 stratified, contamination-free items, scored by the cross-family panel."/>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Domain and one-line seed</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Auto-generated attribute strata</w:t>
            </w:r>
          </w:p>
        </w:tc>
        <w:tc>
          <w:tcPr>
            <w:shd w:fill="EEF3F7"/>
            <w:tcBorders>
              <w:left w:val="nil"/>
              <w:right w:val="nil"/>
              <w:top w:val="nil"/>
              <w:bottom w:val="single" w:sz="8" w:color="9FB0C2"/>
            </w:tcBorders>
          </w:tcPr>
          <w:p>
            <w:pPr>
              <w:pStyle w:val="Compact"/>
              <w:spacing w:before="0" w:after="20" w:line="240" w:lineRule="auto"/>
              <w:jc w:val="center"/>
              <w:keepNext w:val="0"/>
              <w:keepLines/>
              <w:widowControl w:val="1"/>
            </w:pPr>
            <w:r>
              <w:rPr>
                <w:rFonts w:ascii="Times New Roman" w:hAnsi="Times New Roman"/>
                <w:b/>
                <w:sz w:val="19"/>
              </w:rPr>
              <w:t xml:space="preserve">Auto-generated rubric</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Drug–drug interaction reasoning</w:t>
            </w:r>
            <w:r>
              <w:rPr>
                <w:rFonts w:ascii="Times New Roman" w:hAnsi="Times New Roman"/>
                <w:sz w:val="20"/>
              </w:rPr>
              <w:br/>
            </w:r>
            <w:r>
              <w:rPr>
                <w:rFonts w:ascii="Times New Roman" w:hAnsi="Times New Roman"/>
                <w:i/>
                <w:iCs/>
                <w:sz w:val="20"/>
              </w:rPr>
              <w:t xml:space="preserve">"given two or more co-administered drugs and a patient context, assess the interaction, its mechanism, severity, and clinical action"</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severity {contraindicated, major, moderate, minor}; mechanism {pharmacokinetic, pharmacodynamic};</w:t>
            </w:r>
            <w:r>
              <w:rPr>
                <w:rFonts w:ascii="Times New Roman" w:hAnsi="Times New Roman"/>
                <w:sz w:val="20"/>
              </w:rPr>
              <w:t xml:space="preserve"> </w:t>
            </w:r>
            <w:r>
              <w:rPr>
                <w:rFonts w:ascii="Times New Roman" w:hAnsi="Times New Roman"/>
                <w:sz w:val="20"/>
              </w:rPr>
              <w:t xml:space="preserve">patient_context {renal, hepatic, polypharmacy-elderly, pregnancy}</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interaction_accuracy, severity_correct, safety, completeness</w:t>
            </w:r>
          </w:p>
        </w:tc>
      </w:tr>
      <w:tr>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b/>
                <w:bCs/>
                <w:sz w:val="20"/>
              </w:rPr>
              <w:t xml:space="preserve">Clinical reasoning</w:t>
            </w:r>
            <w:r>
              <w:rPr>
                <w:rFonts w:ascii="Times New Roman" w:hAnsi="Times New Roman"/>
                <w:sz w:val="20"/>
              </w:rPr>
              <w:br/>
            </w:r>
            <w:r>
              <w:rPr>
                <w:rFonts w:ascii="Times New Roman" w:hAnsi="Times New Roman"/>
                <w:i/>
                <w:iCs/>
                <w:sz w:val="20"/>
              </w:rPr>
              <w:t xml:space="preserve">"a clinical reasoning question a clinician would face, requiring medical knowledge and safe, accurate reasoning"</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specialty {cardiology, infectious_disease, pediatrics, oncology, emergency}; difficulty {routine, intermediate, hard}</w:t>
            </w:r>
          </w:p>
        </w:tc>
        <w:tc>
          <w:tcPr>
            <w:tcBorders>
              <w:left w:val="nil"/>
              <w:right w:val="nil"/>
              <w:top w:val="nil"/>
              <w:bottom w:val="single" w:sz="4" w:color="D9E1E8"/>
            </w:tcBorders>
          </w:tcPr>
          <w:p>
            <w:pPr>
              <w:pStyle w:val="Compact"/>
              <w:spacing w:before="0" w:after="20" w:line="240" w:lineRule="auto"/>
              <w:jc w:val="center"/>
              <w:keepNext w:val="0"/>
              <w:keepLines/>
              <w:widowControl w:val="1"/>
            </w:pPr>
            <w:r>
              <w:rPr>
                <w:rFonts w:ascii="Times New Roman" w:hAnsi="Times New Roman"/>
                <w:sz w:val="20"/>
              </w:rPr>
              <w:t xml:space="preserve">clinical_accuracy, safety, completeness, clarity</w:t>
            </w:r>
          </w:p>
        </w:tc>
      </w:tr>
      <w:tr>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b/>
                <w:bCs/>
                <w:sz w:val="20"/>
              </w:rPr>
              <w:t xml:space="preserve">Legal analysis</w:t>
            </w:r>
            <w:r>
              <w:rPr>
                <w:rFonts w:ascii="Times New Roman" w:hAnsi="Times New Roman"/>
                <w:sz w:val="20"/>
              </w:rPr>
              <w:br/>
            </w:r>
            <w:r>
              <w:rPr>
                <w:rFonts w:ascii="Times New Roman" w:hAnsi="Times New Roman"/>
                <w:i/>
                <w:iCs/>
                <w:sz w:val="20"/>
              </w:rPr>
              <w:t xml:space="preserve">"a legal analysis question requiring identification of the relevant rule and correct application to the facts"</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area_of_law {contracts, torts, criminal, constitutional, intellectual_property}; complexity {basic, intermediate, advanced}</w:t>
            </w:r>
          </w:p>
        </w:tc>
        <w:tc>
          <w:tcPr>
            <w:tcBorders>
              <w:left w:val="nil"/>
              <w:right w:val="nil"/>
              <w:top w:val="nil"/>
              <w:bottom w:val="nil"/>
            </w:tcBorders>
          </w:tcPr>
          <w:p>
            <w:pPr>
              <w:pStyle w:val="Compact"/>
              <w:spacing w:before="0" w:after="20" w:line="240" w:lineRule="auto"/>
              <w:jc w:val="center"/>
              <w:keepNext w:val="0"/>
              <w:keepLines/>
              <w:widowControl w:val="1"/>
            </w:pPr>
            <w:r>
              <w:rPr>
                <w:rFonts w:ascii="Times New Roman" w:hAnsi="Times New Roman"/>
                <w:sz w:val="20"/>
              </w:rPr>
              <w:t xml:space="preserve">legal_accuracy, reasoning_quality, completeness, clarity</w:t>
            </w:r>
          </w:p>
        </w:tc>
      </w:tr>
    </w:tbl>
    <w:p>
      <w:p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One representative</w:t>
      </w:r>
      <w:r>
        <w:t xml:space="preserve"> </w:t>
      </w:r>
      <w:r>
        <w:rPr>
          <w:i/>
          <w:iCs/>
        </w:rPr>
        <w:t xml:space="preserve">generated</w:t>
      </w:r>
      <w:r>
        <w:t xml:space="preserve"> </w:t>
      </w:r>
      <w:r>
        <w:t xml:space="preserve">item per domain (verbatim teacher output, labeled with its sampled attribute</w:t>
      </w:r>
      <w:r>
        <w:t xml:space="preserve"> </w:t>
      </w:r>
      <w:r>
        <w:t xml:space="preserve">cell), showing the synthesized items are specific and realistic rather than templated:</w:t>
      </w:r>
    </w:p>
    <w:p>
      <w:pPr>
        <w:pStyle w:val="Compact"/>
        <w:numPr>
          <w:ilvl w:val="0"/>
          <w:numId w:val="1003"/>
        </w:numPr>
        <w:jc w:val="both"/>
        <w:keepNext w:val="0"/>
        <w:keepLines w:val="0"/>
        <w:widowControl w:val="1"/>
      </w:pPr>
      <w:r>
        <w:rPr>
          <w:b/>
          <w:bCs/>
        </w:rPr>
        <w:t xml:space="preserve">DDI</w:t>
      </w:r>
      <w:r>
        <w:t xml:space="preserve"> </w:t>
      </w:r>
      <w:r>
        <w:t xml:space="preserve">(severity = moderate, mechanism = pharmacokinetic, patient_context = pregnancy):</w:t>
      </w:r>
      <w:r>
        <w:t xml:space="preserve"> </w:t>
      </w:r>
      <w:r>
        <w:rPr>
          <w:i/>
          <w:iCs/>
        </w:rPr>
        <w:t xml:space="preserve">"A 30-year-old pregnant woman is prescribed lamotrigine for bipolar disorder and is also taking oral</w:t>
      </w:r>
      <w:r>
        <w:rPr>
          <w:i/>
          <w:iCs/>
        </w:rPr>
        <w:t xml:space="preserve"> </w:t>
      </w:r>
      <w:r>
        <w:rPr>
          <w:i/>
          <w:iCs/>
        </w:rPr>
        <w:t xml:space="preserve">contraceptives. Assess the drug–drug interaction between these medications, identify the mechanism, and provide</w:t>
      </w:r>
      <w:r>
        <w:rPr>
          <w:i/>
          <w:iCs/>
        </w:rPr>
        <w:t xml:space="preserve"> </w:t>
      </w:r>
      <w:r>
        <w:rPr>
          <w:i/>
          <w:iCs/>
        </w:rPr>
        <w:t xml:space="preserve">the severity and clinical recommendation."</w:t>
      </w:r>
    </w:p>
    <w:p>
      <w:pPr>
        <w:pStyle w:val="Compact"/>
        <w:numPr>
          <w:ilvl w:val="0"/>
          <w:numId w:val="1003"/>
        </w:numPr>
        <w:jc w:val="both"/>
        <w:keepNext w:val="0"/>
        <w:keepLines w:val="0"/>
        <w:widowControl w:val="1"/>
      </w:pPr>
      <w:r>
        <w:rPr>
          <w:b/>
          <w:bCs/>
        </w:rPr>
        <w:t xml:space="preserve">Clinical</w:t>
      </w:r>
      <w:r>
        <w:t xml:space="preserve"> </w:t>
      </w:r>
      <w:r>
        <w:t xml:space="preserve">(specialty = cardiology, difficulty = routine):</w:t>
      </w:r>
      <w:r>
        <w:t xml:space="preserve"> </w:t>
      </w:r>
      <w:r>
        <w:rPr>
          <w:i/>
          <w:iCs/>
        </w:rPr>
        <w:t xml:space="preserve">"A 62-year-old male with a history of hypertension and hyperlipidemia presents with progressive shortness of</w:t>
      </w:r>
      <w:r>
        <w:rPr>
          <w:i/>
          <w:iCs/>
        </w:rPr>
        <w:t xml:space="preserve"> </w:t>
      </w:r>
      <w:r>
        <w:rPr>
          <w:i/>
          <w:iCs/>
        </w:rPr>
        <w:t xml:space="preserve">breath and occasional palpitations. On examination, you note elevated jugular venous pressure and a third heart</w:t>
      </w:r>
      <w:r>
        <w:rPr>
          <w:i/>
          <w:iCs/>
        </w:rPr>
        <w:t xml:space="preserve"> </w:t>
      </w:r>
      <w:r>
        <w:rPr>
          <w:i/>
          <w:iCs/>
        </w:rPr>
        <w:t xml:space="preserve">sound. An ECG shows left ventricular hypertrophy. What is the most likely diagnosis and what initial management</w:t>
      </w:r>
      <w:r>
        <w:rPr>
          <w:i/>
          <w:iCs/>
        </w:rPr>
        <w:t xml:space="preserve"> </w:t>
      </w:r>
      <w:r>
        <w:rPr>
          <w:i/>
          <w:iCs/>
        </w:rPr>
        <w:t xml:space="preserve">strategy should be considered?"</w:t>
      </w:r>
    </w:p>
    <w:p>
      <w:pPr>
        <w:pStyle w:val="Compact"/>
        <w:numPr>
          <w:ilvl w:val="0"/>
          <w:numId w:val="1003"/>
        </w:numPr>
        <w:jc w:val="both"/>
        <w:keepNext w:val="0"/>
        <w:keepLines w:val="0"/>
        <w:widowControl w:val="1"/>
      </w:pPr>
      <w:r>
        <w:rPr>
          <w:b/>
          <w:bCs/>
        </w:rPr>
        <w:t xml:space="preserve">Legal</w:t>
      </w:r>
      <w:r>
        <w:t xml:space="preserve"> </w:t>
      </w:r>
      <w:r>
        <w:t xml:space="preserve">(area_of_law = torts, complexity = basic):</w:t>
      </w:r>
      <w:r>
        <w:t xml:space="preserve"> </w:t>
      </w:r>
      <w:r>
        <w:rPr>
          <w:i/>
          <w:iCs/>
        </w:rPr>
        <w:t xml:space="preserve">"Alice, while jogging in the park, trips over a tree root that has been exposed due to erosion and falls,</w:t>
      </w:r>
      <w:r>
        <w:rPr>
          <w:i/>
          <w:iCs/>
        </w:rPr>
        <w:t xml:space="preserve"> </w:t>
      </w:r>
      <w:r>
        <w:rPr>
          <w:i/>
          <w:iCs/>
        </w:rPr>
        <w:t xml:space="preserve">breaking her wrist. The park is owned by the city, and Alice claims the city is liable for her injuries due to</w:t>
      </w:r>
      <w:r>
        <w:rPr>
          <w:i/>
          <w:iCs/>
        </w:rPr>
        <w:t xml:space="preserve"> </w:t>
      </w:r>
      <w:r>
        <w:rPr>
          <w:i/>
          <w:iCs/>
        </w:rPr>
        <w:t xml:space="preserve">negligence. Identify the relevant rule and determine if Alice can successfully hold the city liable."</w:t>
      </w:r>
    </w:p>
    <w:p>
      <w:pPr>
        <w:pStyle w:val="FirstParagraph"/>
        <w:jc w:val="both"/>
        <w:keepNext w:val="0"/>
        <w:keepLines w:val="0"/>
        <w:widowControl w:val="1"/>
      </w:pPr>
      <w:r>
        <w:t xml:space="preserve">Each item is scored on its rubric by the panel, producing the rankings in Table 5. On DDI the three judges are</w:t>
      </w:r>
      <w:r>
        <w:t xml:space="preserve"> </w:t>
      </w:r>
      <w:r>
        <w:t xml:space="preserve">unanimous,</w:t>
      </w:r>
      <w:r>
        <w:t xml:space="preserve"> </w:t>
      </w:r>
      <w:r>
        <w:rPr>
          <w:rStyle w:val="VerbatimChar"/>
        </w:rPr>
        <w:t xml:space="preserve">gpt-4o-mini</w:t>
      </w:r>
      <w:r>
        <w:t xml:space="preserve"> </w:t>
      </w:r>
      <w:r>
        <w:t xml:space="preserve">(</w:t>
      </w:r>
      <m:oMath>
        <m:r>
          <m:t>0.770</m:t>
        </m:r>
      </m:oMath>
      <w:r>
        <w:t xml:space="preserve">) &gt;</w:t>
      </w:r>
      <w:r>
        <w:t xml:space="preserve"> </w:t>
      </w:r>
      <w:r>
        <w:rPr>
          <w:rStyle w:val="VerbatimChar"/>
        </w:rPr>
        <w:t xml:space="preserve">gpt-3.5-turbo</w:t>
      </w:r>
      <w:r>
        <w:t xml:space="preserve"> </w:t>
      </w:r>
      <w:r>
        <w:t xml:space="preserve">(</w:t>
      </w:r>
      <m:oMath>
        <m:r>
          <m:t>0.682</m:t>
        </m:r>
      </m:oMath>
      <w:r>
        <w:t xml:space="preserve">) &gt;</w:t>
      </w:r>
      <w:r>
        <w:t xml:space="preserve"> </w:t>
      </w:r>
      <w:r>
        <w:rPr>
          <w:rStyle w:val="VerbatimChar"/>
        </w:rPr>
        <w:t xml:space="preserve">llama-3.2-3b</w:t>
      </w:r>
      <w:r>
        <w:t xml:space="preserve"> </w:t>
      </w:r>
      <w:r>
        <w:t xml:space="preserve">(</w:t>
      </w:r>
      <m:oMath>
        <m:r>
          <m:t>0.497</m:t>
        </m:r>
      </m:oMath>
      <w:r>
        <w:t xml:space="preserve">), with non-overlapping confidence intervals; on clinical reasoning the two stronger</w:t>
      </w:r>
      <w:r>
        <w:t xml:space="preserve"> </w:t>
      </w:r>
      <w:r>
        <w:t xml:space="preserve">models are statistically close (</w:t>
      </w:r>
      <m:oMath>
        <m:r>
          <m:t>0.873</m:t>
        </m:r>
      </m:oMath>
      <w:r>
        <w:t xml:space="preserve"> </w:t>
      </w:r>
      <w:r>
        <w:t xml:space="preserve">vs</w:t>
      </w:r>
      <w:r>
        <w:t xml:space="preserve"> </w:t>
      </w:r>
      <m:oMath>
        <m:r>
          <m:t>0.864</m:t>
        </m:r>
      </m:oMath>
      <w:r>
        <w:t xml:space="preserve">), which the overlapping intervals correctly expose. The entire path</w:t>
      </w:r>
      <w:r>
        <w:t xml:space="preserve"> </w:t>
      </w:r>
      <w:r>
        <w:t xml:space="preserve">from a one-line description to a defensible, contamination-free ranking is a single configuration file with no labeled</w:t>
      </w:r>
      <w:r>
        <w:t xml:space="preserve"> </w:t>
      </w:r>
      <w:r>
        <w:t xml:space="preserve">data and no human raters.</w:t>
      </w:r>
    </w:p>
    <w:bookmarkEnd w:id="117"/>
    <w:sectPr w:rsidR="00FC693F" w:rsidRPr="0006063C" w:rsidSect="00034616">
      <w:type w:val="continuous"/>
      <w:pgSz w:h="15840" w:w="12240"/>
      <w:pgMar w:bottom="1080" w:footer="720" w:gutter="0" w:header="720" w:left="1080" w:right="1080" w:top="1080"/>
      <w:cols w:num="2" w:space="288" w:equalWidth="1"/>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18"/>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40" w:lineRule="auto"/>
    </w:pPr>
    <w:rPr>
      <w:rFonts w:ascii="Times New Roman" w:hAnsi="Times New Roman"/>
      <w:b w:val="0"/>
      <w:i w:val="0"/>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i w:val="0"/>
      <w:color w:themeColor="accent1" w:themeShade="BF" w:val="365F91"/>
      <w:sz w:val="24"/>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Times New Roman" w:asciiTheme="majorHAnsi" w:cstheme="majorBidi" w:eastAsiaTheme="majorEastAsia" w:hAnsi="Times New Roman" w:hAnsiTheme="majorHAnsi"/>
      <w:b/>
      <w:bCs/>
      <w:i w:val="0"/>
      <w:color w:themeColor="accent1" w:val="4F81BD"/>
      <w:sz w:val="22"/>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Times New Roman" w:asciiTheme="majorHAnsi" w:cstheme="majorBidi" w:eastAsiaTheme="majorEastAsia" w:hAnsi="Times New Roman" w:hAnsiTheme="majorHAnsi"/>
      <w:b/>
      <w:bCs/>
      <w:i w:val="0"/>
      <w:color w:themeColor="accent1" w:val="4F81BD"/>
      <w:sz w:val="2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Times New Roman" w:asciiTheme="majorHAnsi" w:cstheme="majorBidi" w:eastAsiaTheme="majorEastAsia" w:hAnsi="Times New Roman" w:hAnsiTheme="majorHAnsi"/>
      <w:b/>
      <w:i w:val="0"/>
      <w:color w:themeColor="text2" w:themeShade="BF" w:val="17365D"/>
      <w:spacing w:val="5"/>
      <w:kern w:val="28"/>
      <w:sz w:val="3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Times New Roman" w:asciiTheme="majorHAnsi" w:cstheme="majorBidi" w:eastAsiaTheme="majorEastAsia" w:hAnsi="Times New Roman" w:hAnsiTheme="majorHAnsi"/>
      <w:b w:val="0"/>
      <w:i w:val="0"/>
      <w:iCs/>
      <w:color w:themeColor="accent1" w:val="4F81BD"/>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40" w:lineRule="auto"/>
      <w:jc w:val="both"/>
    </w:pPr>
    <w:rPr>
      <w:rFonts w:ascii="Times New Roman" w:hAnsi="Times New Roman"/>
      <w:b w:val="0"/>
      <w:i w:val="0"/>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40" w:lineRule="auto"/>
      <w:jc w:val="both"/>
    </w:pPr>
    <w:rPr>
      <w:rFonts w:ascii="Times New Roman" w:hAnsi="Times New Roman"/>
      <w:b w:val="0"/>
      <w:i w:val="0"/>
      <w:sz w:val="20"/>
    </w:rPr>
  </w:style>
  <w:style w:customStyle="1" w:styleId="Compact" w:type="paragraph">
    <w:name w:val="Compact"/>
    <w:basedOn w:val="BodyText"/>
    <w:pPr>
      <w:keepNext w:val="0"/>
      <w:spacing w:after="40" w:before="0" w:line="252" w:lineRule="auto"/>
      <w:ind w:left="317" w:hanging="259"/>
      <w:jc w:val="both"/>
    </w:pPr>
    <w:rPr>
      <w:rFonts w:ascii="Times New Roman" w:hAnsi="Times New Roman"/>
      <w:b w:val="0"/>
      <w:i w:val="0"/>
      <w:sz w:val="20"/>
    </w:rPr>
  </w:style>
  <w:style w:customStyle="1" w:styleId="AbstractLabel" w:type="paragraph">
    <w:name w:val="Abstract Label"/>
    <w:basedOn w:val="BodyText"/>
    <w:pPr>
      <w:keepNext/>
      <w:spacing w:after="80" w:before="80"/>
      <w:jc w:val="center"/>
    </w:pPr>
    <w:rPr>
      <w:rFonts w:ascii="Times New Roman" w:hAnsi="Times New Roman"/>
      <w:b/>
      <w:i w:val="0"/>
      <w:sz w:val="20"/>
    </w:rPr>
  </w:style>
  <w:style w:customStyle="1" w:styleId="Keywords" w:type="paragraph">
    <w:name w:val="Keywords"/>
    <w:basedOn w:val="BodyText"/>
    <w:pPr>
      <w:keepNext w:val="0"/>
      <w:spacing w:after="80" w:before="0"/>
      <w:jc w:val="both"/>
    </w:pPr>
    <w:rPr>
      <w:rFonts w:ascii="Times New Roman" w:hAnsi="Times New Roman"/>
      <w:b w:val="0"/>
      <w:i w:val="0"/>
      <w:sz w:val="20"/>
    </w:rPr>
  </w:style>
  <w:style w:customStyle="1" w:styleId="ImageCaption" w:type="paragraph">
    <w:name w:val="Image Caption"/>
    <w:basedOn w:val="BodyText"/>
    <w:pPr>
      <w:keepNext w:val="0"/>
      <w:spacing w:after="120" w:before="80" w:line="240" w:lineRule="auto"/>
      <w:jc w:val="center"/>
    </w:pPr>
    <w:rPr>
      <w:rFonts w:ascii="Times New Roman" w:hAnsi="Times New Roman"/>
      <w:b w:val="0"/>
      <w:i/>
      <w:sz w:val="18"/>
    </w:rPr>
  </w:style>
  <w:style w:customStyle="1" w:styleId="TableCaption" w:type="paragraph">
    <w:name w:val="Table Caption"/>
    <w:basedOn w:val="BodyText"/>
    <w:pPr>
      <w:keepNext/>
      <w:spacing w:after="60" w:before="120" w:line="240" w:lineRule="auto"/>
      <w:jc w:val="center"/>
    </w:pPr>
    <w:rPr>
      <w:rFonts w:ascii="Times New Roman" w:hAnsi="Times New Roman"/>
      <w:b w:val="0"/>
      <w:i/>
      <w:sz w:val="18"/>
    </w:rPr>
  </w:style>
  <w:style w:customStyle="1" w:styleId="ReferencesHeading" w:type="paragraph">
    <w:name w:val="References Heading"/>
    <w:basedOn w:val="Heading1"/>
    <w:pPr>
      <w:keepNext/>
      <w:spacing w:after="120" w:before="240"/>
    </w:pPr>
    <w:rPr>
      <w:rFonts w:ascii="Times New Roman" w:hAnsi="Times New Roman"/>
      <w:b/>
      <w:i w:val="0"/>
      <w:sz w:val="24"/>
    </w:rPr>
  </w:style>
  <w:style w:customStyle="1" w:styleId="ReferenceEntry" w:type="paragraph">
    <w:name w:val="Reference Entry"/>
    <w:basedOn w:val="BodyText"/>
    <w:pPr>
      <w:keepNext w:val="0"/>
      <w:spacing w:after="40" w:before="0" w:line="240" w:lineRule="auto"/>
      <w:ind w:left="0" w:firstLine="0"/>
      <w:jc w:val="both"/>
    </w:pPr>
    <w:rPr>
      <w:rFonts w:ascii="Times New Roman" w:hAnsi="Times New Roman"/>
      <w:b w:val="0"/>
      <w:i w:val="0"/>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image" Target="media/rId15.png"/><Relationship Id="rId28" Type="http://schemas.openxmlformats.org/officeDocument/2006/relationships/image" Target="media/rId28.png"/><Relationship Id="rId32" Type="http://schemas.openxmlformats.org/officeDocument/2006/relationships/image" Target="media/rId32.png"/><Relationship Id="rId24" Type="http://schemas.openxmlformats.org/officeDocument/2006/relationships/image" Target="media/rId24.png"/><Relationship Id="rId109" Type="http://schemas.openxmlformats.org/officeDocument/2006/relationships/image" Target="media/rId109.png"/><Relationship Id="rId113" Type="http://schemas.openxmlformats.org/officeDocument/2006/relationships/image" Target="media/rId113.png"/><Relationship Id="rId69" Type="http://schemas.openxmlformats.org/officeDocument/2006/relationships/hyperlink" Target="https://arxiv.org/abs/2104.14337" TargetMode="External"/><Relationship Id="rId45" Type="http://schemas.openxmlformats.org/officeDocument/2006/relationships/hyperlink" Target="https://arxiv.org/abs/2303.16634" TargetMode="External"/><Relationship Id="rId43" Type="http://schemas.openxmlformats.org/officeDocument/2006/relationships/hyperlink" Target="https://arxiv.org/abs/2306.05685" TargetMode="External"/><Relationship Id="rId83" Type="http://schemas.openxmlformats.org/officeDocument/2006/relationships/hyperlink" Target="https://arxiv.org/abs/2308.07201" TargetMode="External"/><Relationship Id="rId87" Type="http://schemas.openxmlformats.org/officeDocument/2006/relationships/hyperlink" Target="https://arxiv.org/abs/2403.07974" TargetMode="External"/><Relationship Id="rId57" Type="http://schemas.openxmlformats.org/officeDocument/2006/relationships/hyperlink" Target="https://arxiv.org/abs/2404.04475" TargetMode="External"/><Relationship Id="rId51" Type="http://schemas.openxmlformats.org/officeDocument/2006/relationships/hyperlink" Target="https://arxiv.org/abs/2404.18796" TargetMode="External"/><Relationship Id="rId65" Type="http://schemas.openxmlformats.org/officeDocument/2006/relationships/hyperlink" Target="https://arxiv.org/abs/2405.00332" TargetMode="External"/><Relationship Id="rId47" Type="http://schemas.openxmlformats.org/officeDocument/2006/relationships/hyperlink" Target="https://arxiv.org/abs/2405.01535" TargetMode="External"/><Relationship Id="rId55" Type="http://schemas.openxmlformats.org/officeDocument/2006/relationships/hyperlink" Target="https://arxiv.org/abs/2406.05761" TargetMode="External"/><Relationship Id="rId85" Type="http://schemas.openxmlformats.org/officeDocument/2006/relationships/hyperlink" Target="https://arxiv.org/abs/2406.19314" TargetMode="External"/><Relationship Id="rId59" Type="http://schemas.openxmlformats.org/officeDocument/2006/relationships/hyperlink" Target="https://arxiv.org/abs/2407.08351" TargetMode="External"/><Relationship Id="rId49" Type="http://schemas.openxmlformats.org/officeDocument/2006/relationships/hyperlink" Target="https://arxiv.org/abs/2407.10817" TargetMode="External"/><Relationship Id="rId91" Type="http://schemas.openxmlformats.org/officeDocument/2006/relationships/hyperlink" Target="https://arxiv.org/abs/2408.08808" TargetMode="External"/><Relationship Id="rId75" Type="http://schemas.openxmlformats.org/officeDocument/2006/relationships/hyperlink" Target="https://arxiv.org/abs/2410.02736" TargetMode="External"/><Relationship Id="rId53" Type="http://schemas.openxmlformats.org/officeDocument/2006/relationships/hyperlink" Target="https://arxiv.org/abs/2410.12784" TargetMode="External"/><Relationship Id="rId77" Type="http://schemas.openxmlformats.org/officeDocument/2006/relationships/hyperlink" Target="https://arxiv.org/abs/2410.21819" TargetMode="External"/><Relationship Id="rId61" Type="http://schemas.openxmlformats.org/officeDocument/2006/relationships/hyperlink" Target="https://arxiv.org/abs/2410.22584" TargetMode="External"/><Relationship Id="rId79" Type="http://schemas.openxmlformats.org/officeDocument/2006/relationships/hyperlink" Target="https://arxiv.org/abs/2411.15594" TargetMode="External"/><Relationship Id="rId81" Type="http://schemas.openxmlformats.org/officeDocument/2006/relationships/hyperlink" Target="https://arxiv.org/abs/2411.16594" TargetMode="External"/><Relationship Id="rId103" Type="http://schemas.openxmlformats.org/officeDocument/2006/relationships/hyperlink" Target="https://arxiv.org/abs/2501.12789" TargetMode="External"/><Relationship Id="rId71" Type="http://schemas.openxmlformats.org/officeDocument/2006/relationships/hyperlink" Target="https://arxiv.org/abs/2502.01534" TargetMode="External"/><Relationship Id="rId67" Type="http://schemas.openxmlformats.org/officeDocument/2006/relationships/hyperlink" Target="https://arxiv.org/abs/2502.14425" TargetMode="External"/><Relationship Id="rId101" Type="http://schemas.openxmlformats.org/officeDocument/2006/relationships/hyperlink" Target="https://arxiv.org/abs/2502.14678" TargetMode="External"/><Relationship Id="rId105" Type="http://schemas.openxmlformats.org/officeDocument/2006/relationships/hyperlink" Target="https://arxiv.org/abs/2502.17521" TargetMode="External"/><Relationship Id="rId63" Type="http://schemas.openxmlformats.org/officeDocument/2006/relationships/hyperlink" Target="https://arxiv.org/abs/2504.01833" TargetMode="External"/><Relationship Id="rId89" Type="http://schemas.openxmlformats.org/officeDocument/2006/relationships/hyperlink" Target="https://arxiv.org/abs/2504.03846" TargetMode="External"/><Relationship Id="rId93" Type="http://schemas.openxmlformats.org/officeDocument/2006/relationships/hyperlink" Target="https://arxiv.org/abs/2504.17087" TargetMode="External"/><Relationship Id="rId73" Type="http://schemas.openxmlformats.org/officeDocument/2006/relationships/hyperlink" Target="https://arxiv.org/abs/2508.06709" TargetMode="External"/><Relationship Id="rId99" Type="http://schemas.openxmlformats.org/officeDocument/2006/relationships/hyperlink" Target="https://arxiv.org/abs/2601.21817" TargetMode="External"/><Relationship Id="rId95" Type="http://schemas.openxmlformats.org/officeDocument/2006/relationships/hyperlink" Target="https://arxiv.org/abs/2602.16610" TargetMode="External"/><Relationship Id="rId97" Type="http://schemas.openxmlformats.org/officeDocument/2006/relationships/hyperlink" Target="https://arxiv.org/abs/2603.00039"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69" Type="http://schemas.openxmlformats.org/officeDocument/2006/relationships/hyperlink" Target="https://arxiv.org/abs/2104.14337" TargetMode="External"/><Relationship Id="rId45" Type="http://schemas.openxmlformats.org/officeDocument/2006/relationships/hyperlink" Target="https://arxiv.org/abs/2303.16634" TargetMode="External"/><Relationship Id="rId43" Type="http://schemas.openxmlformats.org/officeDocument/2006/relationships/hyperlink" Target="https://arxiv.org/abs/2306.05685" TargetMode="External"/><Relationship Id="rId83" Type="http://schemas.openxmlformats.org/officeDocument/2006/relationships/hyperlink" Target="https://arxiv.org/abs/2308.07201" TargetMode="External"/><Relationship Id="rId87" Type="http://schemas.openxmlformats.org/officeDocument/2006/relationships/hyperlink" Target="https://arxiv.org/abs/2403.07974" TargetMode="External"/><Relationship Id="rId57" Type="http://schemas.openxmlformats.org/officeDocument/2006/relationships/hyperlink" Target="https://arxiv.org/abs/2404.04475" TargetMode="External"/><Relationship Id="rId51" Type="http://schemas.openxmlformats.org/officeDocument/2006/relationships/hyperlink" Target="https://arxiv.org/abs/2404.18796" TargetMode="External"/><Relationship Id="rId65" Type="http://schemas.openxmlformats.org/officeDocument/2006/relationships/hyperlink" Target="https://arxiv.org/abs/2405.00332" TargetMode="External"/><Relationship Id="rId47" Type="http://schemas.openxmlformats.org/officeDocument/2006/relationships/hyperlink" Target="https://arxiv.org/abs/2405.01535" TargetMode="External"/><Relationship Id="rId55" Type="http://schemas.openxmlformats.org/officeDocument/2006/relationships/hyperlink" Target="https://arxiv.org/abs/2406.05761" TargetMode="External"/><Relationship Id="rId85" Type="http://schemas.openxmlformats.org/officeDocument/2006/relationships/hyperlink" Target="https://arxiv.org/abs/2406.19314" TargetMode="External"/><Relationship Id="rId59" Type="http://schemas.openxmlformats.org/officeDocument/2006/relationships/hyperlink" Target="https://arxiv.org/abs/2407.08351" TargetMode="External"/><Relationship Id="rId49" Type="http://schemas.openxmlformats.org/officeDocument/2006/relationships/hyperlink" Target="https://arxiv.org/abs/2407.10817" TargetMode="External"/><Relationship Id="rId91" Type="http://schemas.openxmlformats.org/officeDocument/2006/relationships/hyperlink" Target="https://arxiv.org/abs/2408.08808" TargetMode="External"/><Relationship Id="rId75" Type="http://schemas.openxmlformats.org/officeDocument/2006/relationships/hyperlink" Target="https://arxiv.org/abs/2410.02736" TargetMode="External"/><Relationship Id="rId53" Type="http://schemas.openxmlformats.org/officeDocument/2006/relationships/hyperlink" Target="https://arxiv.org/abs/2410.12784" TargetMode="External"/><Relationship Id="rId77" Type="http://schemas.openxmlformats.org/officeDocument/2006/relationships/hyperlink" Target="https://arxiv.org/abs/2410.21819" TargetMode="External"/><Relationship Id="rId61" Type="http://schemas.openxmlformats.org/officeDocument/2006/relationships/hyperlink" Target="https://arxiv.org/abs/2410.22584" TargetMode="External"/><Relationship Id="rId79" Type="http://schemas.openxmlformats.org/officeDocument/2006/relationships/hyperlink" Target="https://arxiv.org/abs/2411.15594" TargetMode="External"/><Relationship Id="rId81" Type="http://schemas.openxmlformats.org/officeDocument/2006/relationships/hyperlink" Target="https://arxiv.org/abs/2411.16594" TargetMode="External"/><Relationship Id="rId103" Type="http://schemas.openxmlformats.org/officeDocument/2006/relationships/hyperlink" Target="https://arxiv.org/abs/2501.12789" TargetMode="External"/><Relationship Id="rId71" Type="http://schemas.openxmlformats.org/officeDocument/2006/relationships/hyperlink" Target="https://arxiv.org/abs/2502.01534" TargetMode="External"/><Relationship Id="rId67" Type="http://schemas.openxmlformats.org/officeDocument/2006/relationships/hyperlink" Target="https://arxiv.org/abs/2502.14425" TargetMode="External"/><Relationship Id="rId101" Type="http://schemas.openxmlformats.org/officeDocument/2006/relationships/hyperlink" Target="https://arxiv.org/abs/2502.14678" TargetMode="External"/><Relationship Id="rId105" Type="http://schemas.openxmlformats.org/officeDocument/2006/relationships/hyperlink" Target="https://arxiv.org/abs/2502.17521" TargetMode="External"/><Relationship Id="rId63" Type="http://schemas.openxmlformats.org/officeDocument/2006/relationships/hyperlink" Target="https://arxiv.org/abs/2504.01833" TargetMode="External"/><Relationship Id="rId89" Type="http://schemas.openxmlformats.org/officeDocument/2006/relationships/hyperlink" Target="https://arxiv.org/abs/2504.03846" TargetMode="External"/><Relationship Id="rId93" Type="http://schemas.openxmlformats.org/officeDocument/2006/relationships/hyperlink" Target="https://arxiv.org/abs/2504.17087" TargetMode="External"/><Relationship Id="rId73" Type="http://schemas.openxmlformats.org/officeDocument/2006/relationships/hyperlink" Target="https://arxiv.org/abs/2508.06709" TargetMode="External"/><Relationship Id="rId99" Type="http://schemas.openxmlformats.org/officeDocument/2006/relationships/hyperlink" Target="https://arxiv.org/abs/2601.21817" TargetMode="External"/><Relationship Id="rId95" Type="http://schemas.openxmlformats.org/officeDocument/2006/relationships/hyperlink" Target="https://arxiv.org/abs/2602.16610" TargetMode="External"/><Relationship Id="rId97" Type="http://schemas.openxmlformats.org/officeDocument/2006/relationships/hyperlink" Target="https://arxiv.org/abs/2603.000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2026-06-02T13:30:09Z</dcterms:created>
  <dcterms:modified xsi:type="dcterms:W3CDTF">2026-06-02T13:30:09Z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