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40"/>
        <w:jc w:val="center"/>
        <w:keepNext/>
        <w:keepLines/>
        <w:widowControl w:val="1"/>
      </w:pPr>
      <w:r>
        <w:rPr>
          <w:rFonts w:ascii="Times New Roman" w:hAnsi="Times New Roman"/>
          <w:b/>
          <w:i w:val="0"/>
          <w:sz w:val="24"/>
        </w:rPr>
        <w:t xml:space="preserve">Alexander Apartsin</w:t>
      </w:r>
    </w:p>
    <w:p>
      <w:pPr>
        <w:pStyle w:val="Subtitle"/>
        <w:spacing w:before="0" w:after="160"/>
        <w:jc w:val="center"/>
        <w:keepNext w:val="0"/>
        <w:keepLines/>
        <w:widowControl w:val="1"/>
      </w:pPr>
      <w:r>
        <w:rPr>
          <w:rFonts w:ascii="Times New Roman" w:hAnsi="Times New Roman"/>
          <w:b w:val="0"/>
          <w:i/>
          <w:sz w:val="20"/>
        </w:rPr>
        <w:t xml:space="preserve">Holon Institute of Technology, Israel</w:t>
      </w:r>
    </w:p>
    <w:p>
      <w:pPr>
        <w:pStyle w:val="Subtitle"/>
        <w:spacing w:before="0" w:after="40"/>
        <w:jc w:val="center"/>
        <w:keepNext/>
        <w:keepLines/>
        <w:widowControl w:val="1"/>
      </w:pPr>
      <w:r>
        <w:rPr>
          <w:rFonts w:ascii="Times New Roman" w:hAnsi="Times New Roman"/>
          <w:b/>
          <w:i w:val="0"/>
          <w:sz w:val="24"/>
        </w:rPr>
        <w:t xml:space="preserve">Yehudit Aperstein</w:t>
      </w:r>
    </w:p>
    <w:p>
      <w:pPr>
        <w:pStyle w:val="Subtitle"/>
        <w:spacing w:before="0" w:after="160"/>
        <w:jc w:val="center"/>
        <w:keepNext w:val="0"/>
        <w:keepLines/>
        <w:widowControl w:val="1"/>
      </w:pPr>
      <w:r>
        <w:rPr>
          <w:rFonts w:ascii="Times New Roman" w:hAnsi="Times New Roman"/>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jc w:val="both"/>
        <w:keepNext w:val="0"/>
        <w:keepLines w:val="0"/>
        <w:widowControl w:val="1"/>
      </w:pPr>
      <w:r>
        <w:t xml:space="preserve">Choosing or ranking language models for a specific application is hardest when it matters most: when</w:t>
      </w:r>
      <w:r>
        <w:t xml:space="preserve"> </w:t>
      </w:r>
      <w:r>
        <w:rPr>
          <w:i/>
          <w:iCs/>
        </w:rPr>
        <w:t xml:space="preserve">no task-specific labeled data exists</w:t>
      </w:r>
      <w:r>
        <w:t xml:space="preserve"> </w:t>
      </w:r>
      <w:r>
        <w:t xml:space="preserve">to build an evaluation set, and when</w:t>
      </w:r>
      <w:r>
        <w:t xml:space="preserve"> </w:t>
      </w:r>
      <w:r>
        <w:rPr>
          <w:i/>
          <w:iCs/>
        </w:rPr>
        <w:t xml:space="preserve">standard public benchmarks</w:t>
      </w:r>
      <w:r>
        <w:rPr>
          <w:i/>
          <w:iCs/>
        </w:rPr>
        <w:t xml:space="preserve"> </w:t>
      </w:r>
      <w:r>
        <w:rPr>
          <w:i/>
          <w:iCs/>
        </w:rPr>
        <w:t xml:space="preserve">cannot be trusted</w:t>
      </w:r>
      <w:r>
        <w:t xml:space="preserve"> </w:t>
      </w:r>
      <w:r>
        <w:t xml:space="preserve">because their items have likely leaked into pretraining, so leaderboard numbers may reflect</w:t>
      </w:r>
      <w:r>
        <w:t xml:space="preserve"> </w:t>
      </w:r>
      <w:r>
        <w:t xml:space="preserve">memorization rather than fitness for the use case. Existing tools address only one side of this gap: automated</w:t>
      </w:r>
      <w:r>
        <w:t xml:space="preserve"> </w:t>
      </w:r>
      <w:r>
        <w:t xml:space="preserve">benchmark generators still score with a single, bias-prone judge; LLM-as-judge panels presuppose that an evaluation</w:t>
      </w:r>
      <w:r>
        <w:t xml:space="preserve"> </w:t>
      </w:r>
      <w:r>
        <w:t xml:space="preserve">set already exists; and continually refreshed live benchmarks curb leakage only through ongoing human curation and</w:t>
      </w:r>
      <w:r>
        <w:t xml:space="preserve"> </w:t>
      </w:r>
      <w:r>
        <w:t xml:space="preserve">avoid open-ended, judge-scored tasks. No existing approach supplies contamination-free, label-free, domain-targeted</w:t>
      </w:r>
      <w:r>
        <w:t xml:space="preserve"> </w:t>
      </w:r>
      <w:r>
        <w:t xml:space="preserve">evaluation end to end. We present</w:t>
      </w:r>
      <w:r>
        <w:t xml:space="preserve"> </w:t>
      </w:r>
      <w:r>
        <w:rPr>
          <w:b/>
          <w:bCs/>
        </w:rPr>
        <w:t xml:space="preserve">CoEval</w:t>
      </w:r>
      <w:r>
        <w:t xml:space="preserve">, an open-source framework that</w:t>
      </w:r>
      <w:r>
        <w:t xml:space="preserve"> </w:t>
      </w:r>
      <w:r>
        <w:t xml:space="preserve">addresses both conditions: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w:t>
      </w:r>
      <w:r>
        <w:t xml:space="preserve"> </w:t>
      </w:r>
      <w:r>
        <w:t xml:space="preserve">anew on each run. A cross-family judge ensemble then ranks candidate models, with no human raters. We validate the</w:t>
      </w:r>
      <w:r>
        <w:t xml:space="preserve"> </w:t>
      </w:r>
      <w:r>
        <w:t xml:space="preserve">tool against objective ground truth, then apply it where none exists: CoEval recovers the true model ranking</w:t>
      </w:r>
      <w:r>
        <w:t xml:space="preserve"> </w:t>
      </w:r>
      <w:r>
        <w:t xml:space="preserve">with no labeled data and its label-free scores track ground-truth correctness at</w:t>
      </w:r>
      <w:r>
        <w:t xml:space="preserve"> </w:t>
      </w:r>
      <m:oMath>
        <m:r>
          <m:t>ρ</m:t>
        </m:r>
        <m:r>
          <m:rPr>
            <m:sty m:val="p"/>
          </m:rPr>
          <m:t>=</m:t>
        </m:r>
        <m:r>
          <m:t>0.86</m:t>
        </m:r>
      </m:oMath>
      <w:r>
        <w:t xml:space="preserve">. A complementary</w:t>
      </w:r>
      <w:r>
        <w:t xml:space="preserve"> </w:t>
      </w:r>
      <w:r>
        <w:t xml:space="preserve">technical finding makes the label-free judging reliable without human calibration: judge-panel</w:t>
      </w:r>
      <w:r>
        <w:t xml:space="preserve"> </w:t>
      </w:r>
      <w:r>
        <w:rPr>
          <w:i/>
          <w:iCs/>
        </w:rPr>
        <w:t xml:space="preserve">composition</w:t>
      </w:r>
      <w:r>
        <w:t xml:space="preserve"> </w:t>
      </w:r>
      <w:r>
        <w:t xml:space="preserve">(diversity across vendor families), not panel</w:t>
      </w:r>
      <w:r>
        <w:t xml:space="preserve"> </w:t>
      </w:r>
      <w:r>
        <w:rPr>
          <w:i/>
          <w:iCs/>
        </w:rPr>
        <w:t xml:space="preserve">size</w:t>
      </w:r>
      <w:r>
        <w:t xml:space="preserve">, determines</w:t>
      </w:r>
      <w:r>
        <w:t xml:space="preserve"> </w:t>
      </w:r>
      <w:r>
        <w:t xml:space="preserve">reliability, and indiscriminately enlarging a panel can</w:t>
      </w:r>
      <w:r>
        <w:t xml:space="preserve"> </w:t>
      </w:r>
      <w:r>
        <w:rPr>
          <w:i/>
          <w:iCs/>
        </w:rPr>
        <w:t xml:space="preserve">reduce</w:t>
      </w:r>
      <w:r>
        <w:t xml:space="preserve"> </w:t>
      </w:r>
      <w:r>
        <w:t xml:space="preserve">it (inter-rater reliability peaks at two</w:t>
      </w:r>
      <w:r>
        <w:t xml:space="preserve"> </w:t>
      </w:r>
      <w:r>
        <w:t xml:space="preserve">well-chosen judges and falls as low-agreement judges are added, exactly matching the Spearman–Brown relation).</w:t>
      </w:r>
      <w:r>
        <w:t xml:space="preserve"> </w:t>
      </w:r>
      <w:r>
        <w:t xml:space="preserve">Composition is what makes a single judge unsafe to pick blind: on a benchmark-grounded set the candidate judges range</w:t>
      </w:r>
      <w:r>
        <w:t xml:space="preserve"> </w:t>
      </w:r>
      <w:r>
        <w:t xml:space="preserve">from anti-correlated to moderately correlated with ground truth (a judge-choice regret of</w:t>
      </w:r>
      <w:r>
        <w:t xml:space="preserve"> </w:t>
      </w:r>
      <m:oMath>
        <m:r>
          <m:t>0.35</m:t>
        </m:r>
      </m:oMath>
      <w:r>
        <w:t xml:space="preserve">), whereas the</w:t>
      </w:r>
      <w:r>
        <w:t xml:space="preserve"> </w:t>
      </w:r>
      <w:r>
        <w:t xml:space="preserve">cross-family ensemble is never anti-correlated, and an unsupervised reliability-weighted aggregator is the strongest</w:t>
      </w:r>
      <w:r>
        <w:t xml:space="preserve"> </w:t>
      </w:r>
      <w:r>
        <w:t xml:space="preserve">label-free choice.</w:t>
      </w:r>
      <w:r>
        <w:t xml:space="preserve"> </w:t>
      </w:r>
      <w:r>
        <w:t xml:space="preserve">CoEval fills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from one shared pool of models: any model can take any role, and a model that judges in one run can be a candidate in another, all configured from a single file across many provider interfaces. Generated items have</w:t>
      </w:r>
      <w:r>
        <w:t xml:space="preserve"> </w:t>
      </w:r>
      <m:oMath>
        <m:r>
          <m:t>0.0000</m:t>
        </m:r>
      </m:oMath>
      <w:r>
        <w:t xml:space="preserve"> </w:t>
      </w:r>
      <w:r>
        <w:t xml:space="preserve">verbatim 13-gram overlap with five major public benchmarks. Across a four-task medium-scale</w:t>
      </w:r>
      <w:r>
        <w:t xml:space="preserve"> </w:t>
      </w:r>
      <w:r>
        <w:t xml:space="preserve">study, CoEval produced 7,978 valid evaluations at a total cost of USD 5.89 with no human annotation. We show that the</w:t>
      </w:r>
      <w:r>
        <w:t xml:space="preserve"> </w:t>
      </w:r>
      <w:r>
        <w:t xml:space="preserve">ensemble removes a verbosity bias that no single judge avoids (mean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with a bootstrap CI spanning zero, a 93% reduction) and structurally precludes same-family</w:t>
      </w:r>
      <w:r>
        <w:t xml:space="preserve"> </w:t>
      </w:r>
      <w:r>
        <w:t xml:space="preserve">self-preference, while producing task-specialized rubrics that share a universal quality core. On objective</w:t>
      </w:r>
      <w:r>
        <w:t xml:space="preserve"> </w:t>
      </w:r>
      <w:r>
        <w:t xml:space="preserve">exact-match QA the frontier cross-family ensemble tracks ground-truth correctness at</w:t>
      </w:r>
      <w:r>
        <w:t xml:space="preserve"> </w:t>
      </w:r>
      <m:oMath>
        <m:r>
          <m:t>ρ</m:t>
        </m:r>
        <m:r>
          <m:rPr>
            <m:sty m:val="p"/>
          </m:rPr>
          <m:t>=</m:t>
        </m:r>
        <m:r>
          <m:t>0.86</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 with vendor-independent agreement. This non-monotone reliability result, where adding low-agreement judges</w:t>
      </w:r>
      <w:r>
        <w:t xml:space="preserve"> </w:t>
      </w:r>
      <w:r>
        <w:rPr>
          <w:i/>
          <w:iCs/>
        </w:rPr>
        <w:t xml:space="preserve">reduces</w:t>
      </w:r>
      <w:r>
        <w:t xml:space="preserve"> </w:t>
      </w:r>
      <w:r>
        <w:t xml:space="preserve">reliability, is what lets a small, well-chosen cross-family panel serve as a trustworthy, label-free substitute for a contaminated leaderboard.</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w:t>
      </w:r>
    </w:p>
    <w:p>
      <w:pPr>
        <w:pStyle w:val="Compact"/>
        <w:numPr>
          <w:ilvl w:val="0"/>
          <w:numId w:val="1001"/>
        </w:numPr>
        <w:jc w:val="both"/>
        <w:keepNext w:val="0"/>
        <w:keepLines w:val="0"/>
        <w:widowControl w:val="1"/>
      </w:pPr>
      <w:r>
        <w:rPr>
          <w:b/>
          <w:bCs/>
        </w:rPr>
        <w:t xml:space="preserve">(2) Composition over size in cross-family judge ensembles.</w:t>
      </w:r>
      <w:r>
        <w:t xml:space="preserve"> </w:t>
      </w:r>
      <w:r>
        <w:t xml:space="preserve">Responses are scored by judges drawn</w:t>
      </w:r>
      <w:r>
        <w:t xml:space="preserve"> </w:t>
      </w:r>
      <w:r>
        <w:t xml:space="preserve">from distinct model vendors. Our central finding is that</w:t>
      </w:r>
      <w:r>
        <w:t xml:space="preserve"> </w:t>
      </w:r>
      <w:r>
        <w:rPr>
          <w:i/>
          <w:iCs/>
        </w:rPr>
        <w:t xml:space="preserve">composition</w:t>
      </w:r>
      <w:r>
        <w:t xml:space="preserve"> </w:t>
      </w:r>
      <w:r>
        <w:t xml:space="preserve">(vendor diversity), not 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An open, declarative system that ranks models from one specification.</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described declaratively. Ranking a family of candidate</w:t>
      </w:r>
      <w:r>
        <w:t xml:space="preserve"> </w:t>
      </w:r>
      <w:r>
        <w:t xml:space="preserve">models on a custom use case requires only this declarative specification, and we demonstrate (Section 5.1, Table 3) that CoEval</w:t>
      </w:r>
      <w:r>
        <w:t xml:space="preserve"> </w:t>
      </w:r>
      <w:r>
        <w:t xml:space="preserve">recovers the correct ground-truth ranking. The whole pipeline is reproducible from a single declarative</w:t>
      </w:r>
      <w:r>
        <w:t xml:space="preserve"> </w:t>
      </w:r>
      <w:r>
        <w:t xml:space="preserve">configuration.</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CoEval is open-source, declarative, and</w:t>
      </w:r>
      <w:r>
        <w:t xml:space="preserve"> </w:t>
      </w:r>
      <w:r>
        <w:t xml:space="preserve">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12"/>
    <w:bookmarkStart w:id="116"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16"/>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2026-06-02T06:58:44Z</dcterms:created>
  <dcterms:modified xsi:type="dcterms:W3CDTF">2026-06-02T06:58:44Z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