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w:t>
      </w:r>
      <w:r>
        <w:rPr>
          <w:i/>
          <w:iCs/>
        </w:rPr>
        <w:t xml:space="preserve">no human labels</w:t>
      </w:r>
      <w:r>
        <w:t xml:space="preserve">, and contamination-free because items are generated</w:t>
      </w:r>
      <w:r>
        <w:t xml:space="preserve"> </w:t>
      </w:r>
      <w:r>
        <w:t xml:space="preserve">anew per run—and a cross-family judge ensemble ranks candidate models with no human raters. We validate the</w:t>
      </w:r>
      <w:r>
        <w:t xml:space="preserve"> </w:t>
      </w:r>
      <w:r>
        <w:t xml:space="preserve">tool where ground truth happens to exist, then trust it where it does not: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factors evaluation into three interchangeable roles —</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w:t>
      </w:r>
      <w:r>
        <w:t xml:space="preserve">— and runs any models across sixteen provider interfaces from one configuration file;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result—adding low-agreement judges</w:t>
      </w:r>
      <w:r>
        <w:t xml:space="preserve"> </w:t>
      </w:r>
      <w:r>
        <w:rPr>
          <w:i/>
          <w:iCs/>
        </w:rPr>
        <w:t xml:space="preserve">reduces</w:t>
      </w:r>
      <w:r>
        <w:t xml:space="preserve"> </w:t>
      </w:r>
      <w:r>
        <w:t xml:space="preserve">reliability—is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application—summarizing clinical notes, answering</w:t>
      </w:r>
      <w:r>
        <w:t xml:space="preserve"> </w:t>
      </w:r>
      <w:r>
        <w:t xml:space="preserve">questions over an internal knowledge base, triaging support tickets for a particular product—faces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hold—no data</w:t>
      </w:r>
      <w:r>
        <w:t xml:space="preserve"> </w:t>
      </w:r>
      <w:r>
        <w:rPr>
          <w:i/>
          <w:iCs/>
        </w:rPr>
        <w:t xml:space="preserve">and</w:t>
      </w:r>
      <w:r>
        <w:t xml:space="preserve"> </w:t>
      </w:r>
      <w:r>
        <w:t xml:space="preserve">no benchmark one can trust—the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three—contamination-free,</w:t>
      </w:r>
      <w:r>
        <w:t xml:space="preserve"> </w:t>
      </w:r>
      <w:r>
        <w:t xml:space="preserve">label-free, domain-targeted generation with a reliability-controlled cross-family judge ensemble—into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jc w:val="both"/>
        <w:keepNext w:val="0"/>
        <w:keepLines w:val="0"/>
        <w:widowControl w:val="1"/>
      </w:pPr>
      <w:r>
        <w:t xml:space="preserve">$</w:t>
      </w: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w:r>
        <w:t xml:space="preserve">$</w:t>
      </w:r>
    </w:p>
    <w:p>
      <w:pPr>
        <w:pStyle w:val="BodyText"/>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and we treat stratified coverage as a system feature whose</w:t>
      </w:r>
      <w:r>
        <w:t xml:space="preserve"> </w:t>
      </w:r>
      <w:r>
        <w:t xml:space="preserve">downstream effect on ranking discrimination we do not separately quantify here. Because items are generated fresh on</w:t>
      </w:r>
      <w:r>
        <w:t xml:space="preserve"> </w:t>
      </w:r>
      <w:r>
        <w:t xml:space="preserve">each run from the attribute specification, the resulting benchmark cannot have been seen during any student's</w:t>
      </w:r>
      <w:r>
        <w:t xml:space="preserve"> </w:t>
      </w:r>
      <w:r>
        <w:t xml:space="preserve">pretraining —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jc w:val="both"/>
        <w:keepNext w:val="0"/>
        <w:keepLines w:val="0"/>
        <w:widowControl w:val="1"/>
      </w:pPr>
      <w:r>
        <w:t xml:space="preserve">$</w:t>
      </w: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w:r>
        <w:t xml:space="preserve">$</w:t>
      </w:r>
    </w:p>
    <w:p>
      <w:pPr>
        <w:pStyle w:val="BodyText"/>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jc w:val="both"/>
        <w:keepNext w:val="0"/>
        <w:keepLines w:val="0"/>
        <w:widowControl w:val="1"/>
      </w:pPr>
      <w:r>
        <w:t xml:space="preserve">$</w:t>
      </w: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w:r>
        <w:t xml:space="preserve">$</w:t>
      </w:r>
    </w:p>
    <w:p>
      <w:pPr>
        <w:pStyle w:val="BodyText"/>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jc w:val="both"/>
        <w:keepNext w:val="0"/>
        <w:keepLines w:val="0"/>
        <w:widowControl w:val="1"/>
      </w:pPr>
      <w:r>
        <w:t xml:space="preserve">$</w:t>
      </w: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w:r>
        <w:t xml:space="preserve">$</w:t>
      </w:r>
    </w:p>
    <w:p>
      <w:pPr>
        <w:pStyle w:val="BodyText"/>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jc w:val="both"/>
        <w:keepNext w:val="0"/>
        <w:keepLines w:val="0"/>
        <w:widowControl w:val="1"/>
      </w:pPr>
      <w:r>
        <w:t xml:space="preserve">$</w:t>
      </w: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w:r>
        <w:t xml:space="preserve">$</w:t>
      </w:r>
    </w:p>
    <w:p>
      <w:pPr>
        <w:pStyle w:val="BodyText"/>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configuration—model identifiers,</w:t>
      </w:r>
      <w:r>
        <w:t xml:space="preserve"> </w:t>
      </w:r>
      <w:r>
        <w:t xml:space="preserve">attribute strata, and prompts—is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—they track objective ground truth ($</w:t>
      </w:r>
      <w:r>
        <w:t xml:space="preserve"> </w:t>
      </w:r>
      <w:r>
        <w:t xml:space="preserve">ho = 0.86$) and reproduce the true model</w:t>
      </w:r>
      <w:r>
        <w:t xml:space="preserve"> </w:t>
      </w:r>
      <w:r>
        <w:t xml:space="preserve">ranking (Table 2)—benchmarked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directly—that the generated items are</w:t>
      </w:r>
      <w:r>
        <w:t xml:space="preserve"> </w:t>
      </w:r>
      <w:r>
        <w:rPr>
          <w:i/>
          <w:iCs/>
        </w:rPr>
        <w:t xml:space="preserve">contamination-free</w:t>
      </w:r>
      <w:r>
        <w:t xml:space="preserve">—and Section 5.7 shows the process is cheap enough to re-run per use case, and Section 5.8 exercises the complete tool on two custom verticals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sanity test,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here the ensemble</w:t>
      </w:r>
      <w:r>
        <w:t xml:space="preserve"> </w:t>
      </w:r>
      <w:r>
        <w:rPr>
          <w:i/>
          <w:iCs/>
        </w:rPr>
        <w:t xml:space="preserve">equals</w:t>
      </w:r>
      <w:r>
        <w:t xml:space="preserve"> </w:t>
      </w:r>
      <w:r>
        <w:t xml:space="preserve">its best member rather than exceeding it: this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it—a</w:t>
      </w:r>
      <w:r>
        <w:t xml:space="preserve"> </w:t>
      </w:r>
      <w:r>
        <w:t xml:space="preserve">reliability floor rather than a demonstration of ensemble gain. The ensemble's distinctive value emerges where judges</w:t>
      </w:r>
      <w:r>
        <w:t xml:space="preserve"> </w:t>
      </w:r>
      <w:r>
        <w:t xml:space="preserve">legitimately disagree. On open-ended summarization scored against BERTScore, the ensemble (</w:t>
      </w:r>
      <m:oMath>
        <m:r>
          <m:t>ρ</m:t>
        </m:r>
        <m:r>
          <m:rPr>
            <m:sty m:val="p"/>
          </m:rPr>
          <m:t>=</m:t>
        </m:r>
        <m:r>
          <m:t>0.244</m:t>
        </m:r>
      </m:oMath>
      <w:r>
        <w:t xml:space="preserve">) exceeds the</w:t>
      </w:r>
      <w:r>
        <w:t xml:space="preserve"> </w:t>
      </w:r>
      <w:r>
        <w:rPr>
          <w:i/>
          <w:iCs/>
        </w:rPr>
        <w:t xml:space="preserve">average</w:t>
      </w:r>
      <w:r>
        <w:t xml:space="preserve"> </w:t>
      </w:r>
      <w:r>
        <w:t xml:space="preserve">single judge (</w:t>
      </w:r>
      <m:oMath>
        <m:r>
          <m:t>ρ</m:t>
        </m:r>
        <m:r>
          <m:rPr>
            <m:sty m:val="p"/>
          </m:rPr>
          <m:t>=</m:t>
        </m:r>
        <m:r>
          <m:t>0.121</m:t>
        </m:r>
      </m:oMath>
      <w:r>
        <w:t xml:space="preserve">) but not the</w:t>
      </w:r>
      <w:r>
        <w:t xml:space="preserve"> </w:t>
      </w:r>
      <w:r>
        <w:rPr>
          <w:i/>
          <w:iCs/>
        </w:rPr>
        <w:t xml:space="preserve">best</w:t>
      </w:r>
      <w:r>
        <w:t xml:space="preserve"> </w:t>
      </w:r>
      <w:r>
        <w:t xml:space="preserve">single judge (</w:t>
      </w:r>
      <m:oMath>
        <m:r>
          <m:t>ρ</m:t>
        </m:r>
        <m:r>
          <m:rPr>
            <m:sty m:val="p"/>
          </m:rPr>
          <m:t>=</m:t>
        </m:r>
        <m:r>
          <m:t>0.354</m:t>
        </m:r>
      </m:oMath>
      <w:r>
        <w:t xml:space="preserve">). As an external</w:t>
      </w:r>
      <w:r>
        <w:t xml:space="preserve"> </w:t>
      </w:r>
      <w:r>
        <w:t xml:space="preserve">baseline we run</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(a single GPT-4o judge with chain-of-thought)</w:t>
      </w:r>
      <w:r>
        <w:t xml:space="preserve"> </w:t>
      </w:r>
      <w:r>
        <w:t xml:space="preserve">on the same responses; it correlates comparably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confirming that</w:t>
      </w:r>
      <w:r>
        <w:t xml:space="preserve"> </w:t>
      </w:r>
      <w:r>
        <w:rPr>
          <w:i/>
          <w:iCs/>
        </w:rPr>
        <w:t xml:space="preserve">no</w:t>
      </w:r>
      <w:r>
        <w:t xml:space="preserve"> </w:t>
      </w:r>
      <w:r>
        <w:t xml:space="preserve">evaluator aligns strongly with this lexical reference (the code-explanation subtask, where BLEU is</w:t>
      </w:r>
      <w:r>
        <w:t xml:space="preserve"> </w:t>
      </w:r>
      <w:r>
        <w:t xml:space="preserve">near-degenerate at</w:t>
      </w:r>
      <w:r>
        <w:t xml:space="preserve"> </w:t>
      </w:r>
      <m:oMath>
        <m:r>
          <m:t>ρ</m:t>
        </m:r>
        <m:r>
          <m:rPr>
            <m:sty m:val="p"/>
          </m:rPr>
          <m:t>=</m:t>
        </m:r>
        <m:r>
          <m:rPr>
            <m:sty m:val="p"/>
          </m:rPr>
          <m:t>−</m:t>
        </m:r>
        <m:r>
          <m:t>0.031</m:t>
        </m:r>
      </m:oMath>
      <w:r>
        <w:t xml:space="preserve">, is uninformative for every method). What distinguishes CoEval from a single G-Eval</w:t>
      </w:r>
      <w:r>
        <w:t xml:space="preserve"> </w:t>
      </w:r>
      <w:r>
        <w:t xml:space="preserve">judge is therefore not point-correlation but the bias-robustness of Section 5.3 and the contamination-resistant</w:t>
      </w:r>
      <w:r>
        <w:t xml:space="preserve"> </w:t>
      </w:r>
      <w:r>
        <w:t xml:space="preserve">items CoEval</w:t>
      </w:r>
      <w:r>
        <w:t xml:space="preserve"> </w:t>
      </w:r>
      <w:r>
        <w:rPr>
          <w:i/>
          <w:iCs/>
        </w:rPr>
        <w:t xml:space="preserve">generates</w:t>
      </w:r>
      <w:r>
        <w:t xml:space="preserve"> </w:t>
      </w:r>
      <w:r>
        <w:t xml:space="preserve">rather than consumes. Point-correlation against a noisy reference</w:t>
      </w:r>
      <w:r>
        <w:t xml:space="preserve"> </w:t>
      </w:r>
      <w:r>
        <w:t xml:space="preserve">is therefore the wrong lens for the ensemble's contribution. That contribution is</w:t>
      </w:r>
      <w:r>
        <w:t xml:space="preserve"> </w:t>
      </w:r>
      <w:r>
        <w:rPr>
          <w:i/>
          <w:iCs/>
        </w:rPr>
        <w:t xml:space="preserve">bias-robustness</w:t>
      </w:r>
      <w:r>
        <w:t xml:space="preserve">: on the</w:t>
      </w:r>
      <w:r>
        <w:t xml:space="preserve"> </w:t>
      </w:r>
      <w:r>
        <w:t xml:space="preserve">subjective dimensions of Section 5.3, individual judges carry verbosity biases of opposite sign that the ensemble</w:t>
      </w:r>
      <w:r>
        <w:t xml:space="preserve"> </w:t>
      </w:r>
      <w:r>
        <w:t xml:space="preserve">provably cancels—an advantage no single judge, however well it correlates with one reference, can provide.</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p>
      <w:pPr>
        <w:pStyle w:val="BodyText"/>
        <w:jc w:val="both"/>
        <w:keepNext w:val="0"/>
        <w:keepLines w:val="0"/>
        <w:widowControl w:val="1"/>
      </w:pPr>
      <w:r>
        <w:t xml:space="preserve">Evaluation is a means to an end—</w:t>
      </w:r>
      <w:r>
        <w:rPr>
          <w:i/>
          <w:iCs/>
        </w:rPr>
        <w:t xml:space="preserve">ranking</w:t>
      </w:r>
      <w:r>
        <w:t xml:space="preserve"> </w:t>
      </w:r>
      <w:r>
        <w:t xml:space="preserve">candidate models for a use case—so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As an expected stability check (not an independent result),</w:t>
      </w:r>
      <w:r>
        <w:t xml:space="preserve"> </w:t>
      </w:r>
      <w:r>
        <w:t xml:space="preserve">the</w:t>
      </w:r>
      <w:r>
        <w:t xml:space="preserve"> </w:t>
      </w:r>
      <m:oMath>
        <m:r>
          <m:t>k</m:t>
        </m:r>
      </m:oMath>
      <w:r>
        <w:t xml:space="preserve">-judge ensemble's rank-agreement with the full-panel consensus rises with</w:t>
      </w:r>
      <w:r>
        <w:t xml:space="preserve"> </w:t>
      </w:r>
      <m:oMath>
        <m:r>
          <m:t>k</m:t>
        </m:r>
      </m:oMath>
      <w:r>
        <w:t xml:space="preserve"> </w:t>
      </w:r>
      <w:r>
        <w:t xml:space="preserve">(Spearman</w:t>
      </w:r>
      <w:r>
        <w:t xml:space="preserve"> </w:t>
      </w:r>
      <m:oMath>
        <m:r>
          <m:t>ρ</m:t>
        </m:r>
      </m:oMath>
      <w:r>
        <w:t xml:space="preserve">: $0.67, 0.74,</w:t>
      </w:r>
      <w:r>
        <w:t xml:space="preserve"> </w:t>
      </w:r>
      <w:r>
        <w:t xml:space="preserve">0.93, 1.00</w:t>
      </w:r>
      <m:oMath>
        <m:r>
          <m:rPr>
            <m:sty m:val="p"/>
          </m:rPr>
          <m:t>)</m:t>
        </m:r>
        <m:r>
          <m:rPr>
            <m:sty m:val="p"/>
          </m:rPr>
          <m:t>;</m:t>
        </m:r>
        <m:r>
          <m:t>c</m:t>
        </m:r>
        <m:r>
          <m:t>o</m:t>
        </m:r>
        <m:r>
          <m:t>n</m:t>
        </m:r>
        <m:r>
          <m:t>v</m:t>
        </m:r>
        <m:r>
          <m:t>e</m:t>
        </m:r>
        <m:r>
          <m:t>r</m:t>
        </m:r>
        <m:r>
          <m:t>g</m:t>
        </m:r>
        <m:r>
          <m:t>e</m:t>
        </m:r>
        <m:r>
          <m:t>n</m:t>
        </m:r>
        <m:r>
          <m:t>c</m:t>
        </m:r>
        <m:r>
          <m:t>e</m:t>
        </m:r>
        <m:r>
          <m:t>t</m:t>
        </m:r>
        <m:r>
          <m:t>o</m:t>
        </m:r>
      </m:oMath>
      <w:r>
        <w:t xml:space="preserve">1.00$ holds by construction and simply confirms that a small selected panel already</w:t>
      </w:r>
      <w:r>
        <w:t xml:space="preserve"> </w:t>
      </w:r>
      <w:r>
        <w:t xml:space="preserve">recovers most of 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same—assemble judges whose idiosyncratic biases are unlikely to align—and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A preliminary re-analysis is consistent with the effect—a model is rated</w:t>
      </w:r>
      <w:r>
        <w:t xml:space="preserve"> </w:t>
      </w:r>
      <m:oMath>
        <m:r>
          <m:rPr>
            <m:sty m:val="p"/>
          </m:rPr>
          <m:t>≈</m:t>
        </m:r>
        <m:r>
          <m:t>0.09</m:t>
        </m:r>
      </m:oMath>
      <w:r>
        <w:t xml:space="preserve"> </w:t>
      </w:r>
      <w:r>
        <w:t xml:space="preserve">higher (normalized</w:t>
      </w:r>
      <w:r>
        <w:t xml:space="preserve"> </w:t>
      </w:r>
      <m:oMath>
        <m:r>
          <m:rPr>
            <m:sty m:val="p"/>
          </m:rPr>
          <m:t>[</m:t>
        </m:r>
        <m:r>
          <m:t>0</m:t>
        </m:r>
        <m:r>
          <m:rPr>
            <m:sty m:val="p"/>
          </m:rPr>
          <m:t>,</m:t>
        </m:r>
        <m:r>
          <m:t>1</m:t>
        </m:r>
        <m:r>
          <m:rPr>
            <m:sty m:val="p"/>
          </m:rPr>
          <m:t>]</m:t>
        </m:r>
      </m:oMath>
      <w:r>
        <w:t xml:space="preserve">) by same-family than by out-of-family judges—though in that panel the out-of-family</w:t>
      </w:r>
      <w:r>
        <w:t xml:space="preserve"> </w:t>
      </w:r>
      <w:r>
        <w:t xml:space="preserve">judges are also smaller models, so this figure conflates family with capability and is reported as indicative only.</w:t>
      </w:r>
      <w:r>
        <w:t xml:space="preserve"> </w:t>
      </w:r>
      <w:r>
        <w:t xml:space="preserve">A controlled measurement holding judge capability fixed across</w:t>
      </w:r>
      <w:r>
        <w:t xml:space="preserve"> </w:t>
      </w:r>
      <m:oMath>
        <m:r>
          <m:rPr>
            <m:sty m:val="p"/>
          </m:rPr>
          <m:t>≥</m:t>
        </m:r>
        <m:r>
          <m:t>3</m:t>
        </m:r>
      </m:oMath>
      <w:r>
        <w:t xml:space="preserve"> </w:t>
      </w:r>
      <w:r>
        <w:t xml:space="preserve">families (the protocol of [16]) is the natural</w:t>
      </w:r>
      <w:r>
        <w:t xml:space="preserve"> </w:t>
      </w:r>
      <w:r>
        <w:t xml:space="preserve">validation and is left to future work; the design guarantee itself does not depend on it.</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A controlled cross-capability measurement is</w:t>
      </w:r>
      <w:r>
        <w:t xml:space="preserve"> </w:t>
      </w:r>
      <w:r>
        <w:t xml:space="preserve">future work; the present cross-family estimate (</w:t>
      </w:r>
      <m:oMath>
        <m:r>
          <m:rPr>
            <m:sty m:val="p"/>
          </m:rPr>
          <m:t>≈</m:t>
        </m:r>
        <m:r>
          <m:t>0.09</m:t>
        </m:r>
      </m:oMath>
      <w:r>
        <w:t xml:space="preserve">) is indicative, not a confirmed bias magnitude.</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measures verbatim non-duplication of the sampled public test sets—it does not, on its own, certify absence from</w:t>
      </w:r>
      <w:r>
        <w:t xml:space="preserve"> </w:t>
      </w:r>
      <w:r>
        <w:t xml:space="preserve">the full (unobservable) pretraining corpus, and it is defeated in principle by paraphrase. It nonetheless</w:t>
      </w:r>
      <w:r>
        <w:t xml:space="preserve"> </w:t>
      </w:r>
      <w:r>
        <w:rPr>
          <w:i/>
          <w:iCs/>
        </w:rPr>
        <w:t xml:space="preserve">corroborates</w:t>
      </w:r>
      <w:r>
        <w:t xml:space="preserve"> </w:t>
      </w:r>
      <w:r>
        <w:t xml:space="preserve">the real guarantee, which is structural: because items are synthesized fresh from the attribute</w:t>
      </w:r>
      <w:r>
        <w:t xml:space="preserve"> </w:t>
      </w:r>
      <w:r>
        <w:t xml:space="preserve">specification on each run, they cannot have appeared in any model's</w:t>
      </w:r>
      <w:r>
        <w:t xml:space="preserve"> </w:t>
      </w:r>
      <w:r>
        <w:rPr>
          <w:i/>
          <w:iCs/>
        </w:rPr>
        <w:t xml:space="preserve">prior</w:t>
      </w:r>
      <w:r>
        <w:t xml:space="preserve"> </w:t>
      </w:r>
      <w:r>
        <w:t xml:space="preserve">training, and a model cannot retrieve</w:t>
      </w:r>
      <w:r>
        <w:t xml:space="preserve"> </w:t>
      </w:r>
      <w:r>
        <w:t xml:space="preserve">them from a leaked copy of these widely-used benchmarks. (We re-emphasize the scope from Section 5.1: this holds</w:t>
      </w:r>
      <w:r>
        <w:t xml:space="preserve"> </w:t>
      </w:r>
      <w:r>
        <w:t xml:space="preserve">for CoEval's generated items; the benchmark-grounded anchor of Table 1 deliberately reuses public items to obtain</w:t>
      </w:r>
      <w:r>
        <w:t xml:space="preserve"> </w:t>
      </w:r>
      <w:r>
        <w:t xml:space="preserve">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corroborating—alongside</w:t>
      </w:r>
      <w:r>
        <w:t xml:space="preserve"> </w:t>
      </w:r>
      <w:r>
        <w:t xml:space="preserve">the structural freshness guarantee—that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 the ensemble ranks</w:t>
      </w:r>
      <w:r>
        <w:t xml:space="preserve"> </w:t>
      </w:r>
      <w:r>
        <w:rPr>
          <w:rStyle w:val="VerbatimChar"/>
        </w:rPr>
        <w:t xml:space="preserve">llama-3.2-3b</w:t>
      </w:r>
      <w:r>
        <w:t xml:space="preserve"> </w:t>
      </w:r>
      <w:r>
        <w:t xml:space="preserve">weakest in both verticals; the three judges agree unanimously on the</w:t>
      </w:r>
      <w:r>
        <w:t xml:space="preserve"> </w:t>
      </w:r>
      <w:r>
        <w:t xml:space="preserve">weakest model in clinical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the ensemble ranks llama-3.2-3b weakest in both verticals; the three judges agree unanimously on the weakest model in clinica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need—its</w:t>
      </w:r>
      <w:r>
        <w:t xml:space="preserve"> </w:t>
      </w:r>
      <w:r>
        <w:t xml:space="preserve">label-free scores reproduce the true model ranking and track ground truth, and its generated items are verifiably</w:t>
      </w:r>
      <w:r>
        <w:t xml:space="preserve"> </w:t>
      </w:r>
      <w:r>
        <w:t xml:space="preserve">fresh—and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biases—verbosity,</w:t>
      </w:r>
      <w:r>
        <w:t xml:space="preserve"> </w:t>
      </w:r>
      <w:r>
        <w:t xml:space="preserve">self-preference—that any individual judge carries, while a same-family panel would merely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six task families and two verticals; broader model pools and additional domains would further</w:t>
      </w:r>
      <w:r>
        <w:t xml:space="preserve"> </w:t>
      </w:r>
      <w:r>
        <w:t xml:space="preserve">test generality. Self-preference (Section 5.4) is a structural design property whose magnitude we do not</w:t>
      </w:r>
      <w:r>
        <w:t xml:space="preserve"> </w:t>
      </w:r>
      <w:r>
        <w:t xml:space="preserve">cleanly isolate from capability.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2026-06-01T08:39:56Z</dcterms:created>
  <dcterms:modified xsi:type="dcterms:W3CDTF">2026-06-01T08:39:56Z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