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Word (.docx)</w:t>
        </w:r>
      </w:hyperlink>
    </w:p>
    <w:bookmarkStart w:id="10" w:name="Xab5dd0b7b022e0e3b4332f7f482ca1588b7b75a"/>
    <w:p>
      <w:pPr>
        <w:pStyle w:val="Title"/>
        <w:spacing w:before="0" w:after="160"/>
        <w:jc w:val="center"/>
        <w:keepNext/>
        <w:keepLines/>
        <w:widowControl w:val="1"/>
      </w:pPr>
      <w:r>
        <w:t xml:space="preserve">CoEval: Ranking Language Models for Custom Tasks</w:t>
      </w:r>
      <w:r>
        <w:br/>
      </w:r>
      <w:r>
        <w:t xml:space="preserve">Without Labeled Data or Trustworthy Benchmarks</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sixteen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1"/>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w:t>
      </w:r>
      <w:r>
        <w:t xml:space="preserve"> </w:t>
      </w:r>
      <w:hyperlink w:anchor="r1">
        <w:r>
          <w:rPr>
            <w:rStyle w:val="Hyperlink"/>
            <w:vertAlign w:val="superscript"/>
          </w:rPr>
          <w:t xml:space="preserve">[1]</w:t>
        </w:r>
      </w:hyperlink>
      <w:hyperlink w:anchor="r2">
        <w:r>
          <w:rPr>
            <w:rStyle w:val="Hyperlink"/>
            <w:vertAlign w:val="superscript"/>
          </w:rPr>
          <w:t xml:space="preserve">[2]</w:t>
        </w:r>
      </w:hyperlink>
      <w:r>
        <w:t xml:space="preserve"> </w:t>
      </w:r>
      <w:r>
        <w:t xml:space="preserve">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hyperlink w:anchor="r8">
        <w:r>
          <w:rPr>
            <w:rStyle w:val="Hyperlink"/>
            <w:vertAlign w:val="superscript"/>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2"/>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w:t>
      </w:r>
      <w:r>
        <w:t xml:space="preserve"> </w:t>
      </w:r>
      <w:hyperlink w:anchor="r12">
        <w:r>
          <w:rPr>
            <w:rStyle w:val="Hyperlink"/>
            <w:vertAlign w:val="superscript"/>
          </w:rPr>
          <w:t xml:space="preserve">[12]</w:t>
        </w:r>
      </w:hyperlink>
      <w:r>
        <w:t xml:space="preserve">,</w:t>
      </w:r>
      <w:r>
        <w:t xml:space="preserve"> </w:t>
      </w:r>
      <w:r>
        <w:t xml:space="preserve">contamination surveys</w:t>
      </w:r>
      <w:r>
        <w:t xml:space="preserve"> </w:t>
      </w:r>
      <w:hyperlink w:anchor="r13">
        <w:r>
          <w:rPr>
            <w:rStyle w:val="Hyperlink"/>
            <w:vertAlign w:val="superscript"/>
          </w:rPr>
          <w:t xml:space="preserve">[13]</w:t>
        </w:r>
      </w:hyperlink>
      <w:r>
        <w:t xml:space="preserve">), which has driven continuously-refreshed</w:t>
      </w:r>
      <w:r>
        <w:t xml:space="preserve"> </w:t>
      </w:r>
      <w:r>
        <w:rPr>
          <w:i/>
          <w:iCs/>
        </w:rPr>
        <w:t xml:space="preserve">live</w:t>
      </w:r>
      <w:r>
        <w:t xml:space="preserve"> </w:t>
      </w:r>
      <w:r>
        <w:t xml:space="preserve">benchmarks (LiveBench</w:t>
      </w:r>
      <w:r>
        <w:t xml:space="preserve"> </w:t>
      </w:r>
      <w:hyperlink w:anchor="r22">
        <w:r>
          <w:rPr>
            <w:rStyle w:val="Hyperlink"/>
            <w:vertAlign w:val="superscript"/>
          </w:rPr>
          <w:t xml:space="preserve">[22]</w:t>
        </w:r>
      </w:hyperlink>
      <w:r>
        <w:t xml:space="preserve">, LiveCodeBench</w:t>
      </w:r>
      <w:r>
        <w:t xml:space="preserve"> </w:t>
      </w:r>
      <w:hyperlink w:anchor="r23">
        <w:r>
          <w:rPr>
            <w:rStyle w:val="Hyperlink"/>
            <w:vertAlign w:val="superscript"/>
          </w:rPr>
          <w:t xml:space="preserve">[23]</w:t>
        </w:r>
      </w:hyperlink>
      <w:r>
        <w:t xml:space="preserve">) and</w:t>
      </w:r>
      <w:r>
        <w:t xml:space="preserve"> </w:t>
      </w:r>
      <w:r>
        <w:t xml:space="preserve">exposed leakage on the judge side as well (Preference Leakage</w:t>
      </w:r>
      <w:r>
        <w:t xml:space="preserve"> </w:t>
      </w:r>
      <w:hyperlink w:anchor="r15">
        <w:r>
          <w:rPr>
            <w:rStyle w:val="Hyperlink"/>
            <w:vertAlign w:val="superscript"/>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hyperlink w:anchor="r9">
        <w:r>
          <w:rPr>
            <w:rStyle w:val="Hyperlink"/>
            <w:vertAlign w:val="superscript"/>
          </w:rPr>
          <w:t xml:space="preserve">[9]</w:t>
        </w:r>
      </w:hyperlink>
      <w:r>
        <w:t xml:space="preserve">, BenchAgents</w:t>
      </w:r>
      <w:r>
        <w:t xml:space="preserve"> </w:t>
      </w:r>
      <w:hyperlink w:anchor="r10">
        <w:r>
          <w:rPr>
            <w:rStyle w:val="Hyperlink"/>
            <w:vertAlign w:val="superscript"/>
          </w:rPr>
          <w:t xml:space="preserve">[10]</w:t>
        </w:r>
      </w:hyperlink>
      <w:r>
        <w:t xml:space="preserve">, YourBench</w:t>
      </w:r>
      <w:r>
        <w:t xml:space="preserve"> </w:t>
      </w:r>
      <w:hyperlink w:anchor="r11">
        <w:r>
          <w:rPr>
            <w:rStyle w:val="Hyperlink"/>
            <w:vertAlign w:val="superscript"/>
          </w:rPr>
          <w:t xml:space="preserve">[11]</w:t>
        </w:r>
      </w:hyperlink>
      <w:r>
        <w:t xml:space="preserve">, domain-specific construction</w:t>
      </w:r>
      <w:r>
        <w:t xml:space="preserve"> </w:t>
      </w:r>
      <w:hyperlink w:anchor="r25">
        <w:r>
          <w:rPr>
            <w:rStyle w:val="Hyperlink"/>
            <w:vertAlign w:val="superscript"/>
          </w:rPr>
          <w:t xml:space="preserve">[25]</w:t>
        </w:r>
      </w:hyperlink>
      <w:r>
        <w:t xml:space="preserve">).</w:t>
      </w:r>
      <w:r>
        <w:t xml:space="preserve"> </w:t>
      </w:r>
      <w:r>
        <w:t xml:space="preserve">(iii) </w:t>
      </w:r>
      <w:r>
        <w:rPr>
          <w:i/>
          <w:iCs/>
        </w:rPr>
        <w:t xml:space="preserve">LLM-as-judge</w:t>
      </w:r>
      <w:r>
        <w:t xml:space="preserve"> </w:t>
      </w:r>
      <w:r>
        <w:t xml:space="preserve">methods (G-Eval</w:t>
      </w:r>
      <w:r>
        <w:t xml:space="preserve"> </w:t>
      </w:r>
      <w:hyperlink w:anchor="r2">
        <w:r>
          <w:rPr>
            <w:rStyle w:val="Hyperlink"/>
            <w:vertAlign w:val="superscript"/>
          </w:rPr>
          <w:t xml:space="preserve">[2]</w:t>
        </w:r>
      </w:hyperlink>
      <w:r>
        <w:t xml:space="preserve">, Prometheus 2</w:t>
      </w:r>
      <w:r>
        <w:t xml:space="preserve"> </w:t>
      </w:r>
      <w:hyperlink w:anchor="r3">
        <w:r>
          <w:rPr>
            <w:rStyle w:val="Hyperlink"/>
            <w:vertAlign w:val="superscript"/>
          </w:rPr>
          <w:t xml:space="preserve">[3]</w:t>
        </w:r>
      </w:hyperlink>
      <w:r>
        <w:t xml:space="preserve">, panels</w:t>
      </w:r>
      <w:r>
        <w:t xml:space="preserve"> </w:t>
      </w:r>
      <w:hyperlink w:anchor="r5">
        <w:r>
          <w:rPr>
            <w:rStyle w:val="Hyperlink"/>
            <w:vertAlign w:val="superscript"/>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3"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w:t>
      </w:r>
      <w:r>
        <w:t xml:space="preserve"> </w:t>
      </w:r>
      <w:hyperlink w:anchor="r1">
        <w:r>
          <w:rPr>
            <w:rStyle w:val="Hyperlink"/>
            <w:vertAlign w:val="superscript"/>
          </w:rPr>
          <w:t xml:space="preserve">[1]</w:t>
        </w:r>
      </w:hyperlink>
      <w:r>
        <w:t xml:space="preserve"> </w:t>
      </w:r>
      <w:r>
        <w:t xml:space="preserve">established LLM-as-judge as a scalable proxy for human</w:t>
      </w:r>
      <w:r>
        <w:t xml:space="preserve"> </w:t>
      </w:r>
      <w:r>
        <w:t xml:space="preserve">preference, and documented its biases. G-Eval</w:t>
      </w:r>
      <w:r>
        <w:t xml:space="preserve"> </w:t>
      </w:r>
      <w:hyperlink w:anchor="r2">
        <w:r>
          <w:rPr>
            <w:rStyle w:val="Hyperlink"/>
            <w:vertAlign w:val="superscript"/>
          </w:rPr>
          <w:t xml:space="preserve">[2]</w:t>
        </w:r>
      </w:hyperlink>
      <w:r>
        <w:t xml:space="preserve"> </w:t>
      </w:r>
      <w:r>
        <w:t xml:space="preserve">uses a single strong model with</w:t>
      </w:r>
      <w:r>
        <w:t xml:space="preserve"> </w:t>
      </w:r>
      <w:r>
        <w:t xml:space="preserve">chain-of-thought to score generation quality against a user-supplied rubric, while Prometheus 2</w:t>
      </w:r>
      <w:r>
        <w:t xml:space="preserve"> </w:t>
      </w:r>
      <w:hyperlink w:anchor="r3">
        <w:r>
          <w:rPr>
            <w:rStyle w:val="Hyperlink"/>
            <w:vertAlign w:val="superscript"/>
          </w:rPr>
          <w:t xml:space="preserve">[3]</w:t>
        </w:r>
      </w:hyperlink>
      <w:r>
        <w:t xml:space="preserve"> </w:t>
      </w:r>
      <w:r>
        <w:t xml:space="preserve">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w:t>
      </w:r>
      <w:r>
        <w:t xml:space="preserve"> </w:t>
      </w:r>
      <w:hyperlink w:anchor="r4">
        <w:r>
          <w:rPr>
            <w:rStyle w:val="Hyperlink"/>
            <w:vertAlign w:val="superscript"/>
          </w:rPr>
          <w:t xml:space="preserve">[4]</w:t>
        </w:r>
      </w:hyperlink>
      <w:r>
        <w:t xml:space="preserve"> </w:t>
      </w:r>
      <w:r>
        <w:t xml:space="preserve">and JudgeBench</w:t>
      </w:r>
      <w:r>
        <w:t xml:space="preserve"> </w:t>
      </w:r>
      <w:hyperlink w:anchor="r6">
        <w:r>
          <w:rPr>
            <w:rStyle w:val="Hyperlink"/>
            <w:vertAlign w:val="superscript"/>
          </w:rPr>
          <w:t xml:space="preserve">[6]</w:t>
        </w:r>
      </w:hyperlink>
      <w:r>
        <w:t xml:space="preserve"> </w:t>
      </w:r>
      <w:r>
        <w:t xml:space="preserve">study the reliability of judge models, and BiGGen-Bench</w:t>
      </w:r>
      <w:r>
        <w:t xml:space="preserve"> </w:t>
      </w:r>
      <w:hyperlink w:anchor="r7">
        <w:r>
          <w:rPr>
            <w:rStyle w:val="Hyperlink"/>
            <w:vertAlign w:val="superscript"/>
          </w:rPr>
          <w:t xml:space="preserve">[7]</w:t>
        </w:r>
      </w:hyperlink>
      <w:r>
        <w:t xml:space="preserve"> </w:t>
      </w:r>
      <w:r>
        <w:t xml:space="preserve">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w:t>
      </w:r>
      <w:r>
        <w:t xml:space="preserve"> </w:t>
      </w:r>
      <w:hyperlink w:anchor="r5">
        <w:r>
          <w:rPr>
            <w:rStyle w:val="Hyperlink"/>
            <w:vertAlign w:val="superscript"/>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w:t>
      </w:r>
      <w:r>
        <w:t xml:space="preserve"> </w:t>
      </w:r>
      <w:hyperlink w:anchor="r21">
        <w:r>
          <w:rPr>
            <w:rStyle w:val="Hyperlink"/>
            <w:vertAlign w:val="superscript"/>
          </w:rPr>
          <w:t xml:space="preserve">[21]</w:t>
        </w:r>
      </w:hyperlink>
      <w:r>
        <w:t xml:space="preserve"> </w:t>
      </w:r>
      <w:r>
        <w:t xml:space="preserve">and</w:t>
      </w:r>
      <w:r>
        <w:t xml:space="preserve"> </w:t>
      </w:r>
      <w:r>
        <w:t xml:space="preserve">meta-judge frameworks</w:t>
      </w:r>
      <w:r>
        <w:t xml:space="preserve"> </w:t>
      </w:r>
      <w:hyperlink w:anchor="r26">
        <w:r>
          <w:rPr>
            <w:rStyle w:val="Hyperlink"/>
            <w:vertAlign w:val="superscript"/>
          </w:rPr>
          <w:t xml:space="preserve">[26]</w:t>
        </w:r>
      </w:hyperlink>
      <w:r>
        <w:t xml:space="preserve"> </w:t>
      </w:r>
      <w:r>
        <w:t xml:space="preserve">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this same-family bias statistically, finding that frontier models favor</w:t>
      </w:r>
      <w:r>
        <w:t xml:space="preserve"> </w:t>
      </w:r>
      <w:r>
        <w:t xml:space="preserve">same-family outputs. Self-preference has been characterized mechanistically</w:t>
      </w:r>
      <w:r>
        <w:t xml:space="preserve"> </w:t>
      </w:r>
      <w:hyperlink w:anchor="r18">
        <w:r>
          <w:rPr>
            <w:rStyle w:val="Hyperlink"/>
            <w:vertAlign w:val="superscript"/>
          </w:rPr>
          <w:t xml:space="preserve">[18]</w:t>
        </w:r>
      </w:hyperlink>
      <w:r>
        <w:t xml:space="preserve"> </w:t>
      </w:r>
      <w:r>
        <w:t xml:space="preserve">and</w:t>
      </w:r>
      <w:r>
        <w:t xml:space="preserve"> </w:t>
      </w:r>
      <w:r>
        <w:t xml:space="preserve">partly attributed to legitimate capability rather than pure bias</w:t>
      </w:r>
      <w:r>
        <w:t xml:space="preserve"> </w:t>
      </w:r>
      <w:hyperlink w:anchor="r24">
        <w:r>
          <w:rPr>
            <w:rStyle w:val="Hyperlink"/>
            <w:vertAlign w:val="superscript"/>
          </w:rPr>
          <w:t xml:space="preserve">[24]</w:t>
        </w:r>
      </w:hyperlink>
      <w:r>
        <w:t xml:space="preserve">. Broad bias</w:t>
      </w:r>
      <w:r>
        <w:t xml:space="preserve"> </w:t>
      </w:r>
      <w:r>
        <w:t xml:space="preserve">taxonomies</w:t>
      </w:r>
      <w:r>
        <w:t xml:space="preserve"> </w:t>
      </w:r>
      <w:hyperlink w:anchor="r17">
        <w:r>
          <w:rPr>
            <w:rStyle w:val="Hyperlink"/>
            <w:vertAlign w:val="superscript"/>
          </w:rPr>
          <w:t xml:space="preserve">[17]</w:t>
        </w:r>
      </w:hyperlink>
      <w:r>
        <w:t xml:space="preserve"> </w:t>
      </w:r>
      <w:r>
        <w:t xml:space="preserve">and recent surveys</w:t>
      </w:r>
      <w:r>
        <w:t xml:space="preserve"> </w:t>
      </w:r>
      <w:hyperlink w:anchor="r19">
        <w:r>
          <w:rPr>
            <w:rStyle w:val="Hyperlink"/>
            <w:vertAlign w:val="superscript"/>
          </w:rPr>
          <w:t xml:space="preserve">[19]</w:t>
        </w:r>
      </w:hyperlink>
      <w:hyperlink w:anchor="r20">
        <w:r>
          <w:rPr>
            <w:rStyle w:val="Hyperlink"/>
            <w:vertAlign w:val="superscript"/>
          </w:rPr>
          <w:t xml:space="preserve">[20]</w:t>
        </w:r>
      </w:hyperlink>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3"/>
    <w:bookmarkStart w:id="14"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w:t>
      </w:r>
      <w:r>
        <w:t xml:space="preserve"> </w:t>
      </w:r>
      <w:hyperlink w:anchor="r9">
        <w:r>
          <w:rPr>
            <w:rStyle w:val="Hyperlink"/>
            <w:vertAlign w:val="superscript"/>
          </w:rPr>
          <w:t xml:space="preserve">[9]</w:t>
        </w:r>
      </w:hyperlink>
      <w:r>
        <w:t xml:space="preserve"> </w:t>
      </w:r>
      <w:r>
        <w:t xml:space="preserve">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w:t>
      </w:r>
      <w:r>
        <w:t xml:space="preserve"> </w:t>
      </w:r>
      <w:hyperlink w:anchor="r10">
        <w:r>
          <w:rPr>
            <w:rStyle w:val="Hyperlink"/>
            <w:vertAlign w:val="superscript"/>
          </w:rPr>
          <w:t xml:space="preserve">[10]</w:t>
        </w:r>
      </w:hyperlink>
      <w:r>
        <w:t xml:space="preserve"> </w:t>
      </w:r>
      <w:r>
        <w:t xml:space="preserve">and YourBench</w:t>
      </w:r>
      <w:r>
        <w:t xml:space="preserve"> </w:t>
      </w:r>
      <w:hyperlink w:anchor="r11">
        <w:r>
          <w:rPr>
            <w:rStyle w:val="Hyperlink"/>
            <w:vertAlign w:val="superscript"/>
          </w:rPr>
          <w:t xml:space="preserve">[11]</w:t>
        </w:r>
      </w:hyperlink>
      <w:r>
        <w:t xml:space="preserve"> </w:t>
      </w:r>
      <w:r>
        <w:t xml:space="preserve">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hyperlink w:anchor="r12">
        <w:r>
          <w:rPr>
            <w:rStyle w:val="Hyperlink"/>
            <w:vertAlign w:val="superscript"/>
          </w:rPr>
          <w:t xml:space="preserve">[12]</w:t>
        </w:r>
      </w:hyperlink>
      <w:r>
        <w:t xml:space="preserve">, which exposed memorization on grade-school arithmetic, and by recent surveys of</w:t>
      </w:r>
      <w:r>
        <w:t xml:space="preserve"> </w:t>
      </w:r>
      <w:r>
        <w:t xml:space="preserve">data contamination in LLMs</w:t>
      </w:r>
      <w:r>
        <w:t xml:space="preserve"> </w:t>
      </w:r>
      <w:hyperlink w:anchor="r13">
        <w:r>
          <w:rPr>
            <w:rStyle w:val="Hyperlink"/>
            <w:vertAlign w:val="superscript"/>
          </w:rPr>
          <w:t xml:space="preserve">[13]</w:t>
        </w:r>
      </w:hyperlink>
      <w:r>
        <w:t xml:space="preserve">. Live benchmarks such as LiveBench</w:t>
      </w:r>
      <w:r>
        <w:t xml:space="preserve"> </w:t>
      </w:r>
      <w:hyperlink w:anchor="r22">
        <w:r>
          <w:rPr>
            <w:rStyle w:val="Hyperlink"/>
            <w:vertAlign w:val="superscript"/>
          </w:rPr>
          <w:t xml:space="preserve">[22]</w:t>
        </w:r>
      </w:hyperlink>
      <w:r>
        <w:t xml:space="preserve"> </w:t>
      </w:r>
      <w:r>
        <w:t xml:space="preserve">and LiveCodeBench</w:t>
      </w:r>
      <w:r>
        <w:t xml:space="preserve"> </w:t>
      </w:r>
      <w:hyperlink w:anchor="r23">
        <w:r>
          <w:rPr>
            <w:rStyle w:val="Hyperlink"/>
            <w:vertAlign w:val="superscript"/>
          </w:rPr>
          <w:t xml:space="preserve">[23]</w:t>
        </w:r>
      </w:hyperlink>
      <w:r>
        <w:t xml:space="preserve"> </w:t>
      </w:r>
      <w:r>
        <w:t xml:space="preserve">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w:t>
      </w:r>
      <w:r>
        <w:t xml:space="preserve"> </w:t>
      </w:r>
      <w:hyperlink w:anchor="r14">
        <w:r>
          <w:rPr>
            <w:rStyle w:val="Hyperlink"/>
            <w:vertAlign w:val="superscript"/>
          </w:rPr>
          <w:t xml:space="preserve">[14]</w:t>
        </w:r>
      </w:hyperlink>
      <w:r>
        <w:t xml:space="preserve"> </w:t>
      </w:r>
      <w:r>
        <w:t xml:space="preserve">proposed dynamic, human-in-the-loop</w:t>
      </w:r>
      <w:r>
        <w:t xml:space="preserve"> </w:t>
      </w:r>
      <w:r>
        <w:t xml:space="preserve">renewal; CoEval automates renewal without humans. Constructing domain-specific evaluation sets for LLM judges</w:t>
      </w:r>
      <w:r>
        <w:t xml:space="preserve"> </w:t>
      </w:r>
      <w:hyperlink w:anchor="r25">
        <w:r>
          <w:rPr>
            <w:rStyle w:val="Hyperlink"/>
            <w:vertAlign w:val="superscript"/>
          </w:rPr>
          <w:t xml:space="preserve">[25]</w:t>
        </w:r>
      </w:hyperlink>
      <w:r>
        <w:t xml:space="preserve"> </w:t>
      </w:r>
      <w:r>
        <w:t xml:space="preserve">targets verticals such as medicine and law; CoEval generates such domain-targeted</w:t>
      </w:r>
      <w:r>
        <w:t xml:space="preserve"> </w:t>
      </w:r>
      <w:r>
        <w:t xml:space="preserve">items automatically within the same pipeline. Length-Controlled AlpacaEval</w:t>
      </w:r>
      <w:r>
        <w:t xml:space="preserve"> </w:t>
      </w:r>
      <w:hyperlink w:anchor="r8">
        <w:r>
          <w:rPr>
            <w:rStyle w:val="Hyperlink"/>
            <w:vertAlign w:val="superscript"/>
          </w:rPr>
          <w:t xml:space="preserve">[8]</w:t>
        </w:r>
      </w:hyperlink>
      <w:r>
        <w:t xml:space="preserve"> </w:t>
      </w:r>
      <w:r>
        <w:t xml:space="preserve">debiases for</w:t>
      </w:r>
      <w:r>
        <w:t xml:space="preserve"> </w:t>
      </w:r>
      <w:r>
        <w:t xml:space="preserve">verbosity post hoc on a single judge; CoEval instead cancels verbosity bias through panel diversity (Section 5.3).</w:t>
      </w:r>
    </w:p>
    <w:bookmarkEnd w:id="14"/>
    <w:bookmarkEnd w:id="15"/>
    <w:bookmarkStart w:id="23"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7" name="Picture"/>
            <a:graphic>
              <a:graphicData uri="http://schemas.openxmlformats.org/drawingml/2006/picture">
                <pic:pic>
                  <pic:nvPicPr>
                    <pic:cNvPr descr="figures/f1_architecture.png" id="18" name="Picture"/>
                    <pic:cNvPicPr>
                      <a:picLocks noChangeArrowheads="1" noChangeAspect="1"/>
                    </pic:cNvPicPr>
                  </pic:nvPicPr>
                  <pic:blipFill>
                    <a:blip r:embed="rId16"/>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9"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9"/>
    <w:bookmarkStart w:id="20"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20"/>
    <w:bookmarkStart w:id="21"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1"/>
    <w:bookmarkStart w:id="22"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2"/>
    <w:bookmarkEnd w:id="23"/>
    <w:bookmarkStart w:id="24"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4"/>
    <w:bookmarkStart w:id="48"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8"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hyperlink w:anchor="r2">
        <w:r>
          <w:rPr>
            <w:rStyle w:val="Hyperlink"/>
            <w:vertAlign w:val="superscript"/>
          </w:rPr>
          <w:t xml:space="preserve">[2]</w:t>
        </w:r>
      </w:hyperlink>
      <w:r>
        <w:t xml:space="preserve"> </w:t>
      </w:r>
      <w:r>
        <w:t xml:space="preserve">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center"/>
        <w:keepNext/>
        <w:keepLines/>
        <w:widowControl w:val="1"/>
      </w:pPr>
      <w:r>
        <w:drawing>
          <wp:inline>
            <wp:extent cx="5023104" cy="3169920"/>
            <wp:effectExtent b="0" l="0" r="0" t="0"/>
            <wp:docPr descr="Spearman correlation with ground-truth correctness per judge and ensemble" title="" id="26" name="Picture"/>
            <a:graphic>
              <a:graphicData uri="http://schemas.openxmlformats.org/drawingml/2006/picture">
                <pic:pic>
                  <pic:nvPicPr>
                    <pic:cNvPr descr="figures/f4_correctness_corr.png" id="27" name="Picture"/>
                    <pic:cNvPicPr>
                      <a:picLocks noChangeArrowheads="1" noChangeAspect="1"/>
                    </pic:cNvPicPr>
                  </pic:nvPicPr>
                  <pic:blipFill>
                    <a:blip r:embed="rId25"/>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 a vendor-independent reliability floor on objective tasks.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8"/>
    <w:bookmarkStart w:id="32"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30" name="Picture"/>
            <a:graphic>
              <a:graphicData uri="http://schemas.openxmlformats.org/drawingml/2006/picture">
                <pic:pic>
                  <pic:nvPicPr>
                    <pic:cNvPr descr="figures/f2_icc_curve.png" id="31" name="Picture"/>
                    <pic:cNvPicPr>
                      <a:picLocks noChangeArrowheads="1" noChangeAspect="1"/>
                    </pic:cNvPicPr>
                  </pic:nvPicPr>
                  <pic:blipFill>
                    <a:blip r:embed="rId29"/>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2"/>
    <w:bookmarkStart w:id="36"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4" name="Picture"/>
            <a:graphic>
              <a:graphicData uri="http://schemas.openxmlformats.org/drawingml/2006/picture">
                <pic:pic>
                  <pic:nvPicPr>
                    <pic:cNvPr descr="figures/f3_verbosity_forest.png" id="35" name="Picture"/>
                    <pic:cNvPicPr>
                      <a:picLocks noChangeArrowheads="1" noChangeAspect="1"/>
                    </pic:cNvPicPr>
                  </pic:nvPicPr>
                  <pic:blipFill>
                    <a:blip r:embed="rId33"/>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6"/>
    <w:bookmarkStart w:id="37"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identifies same-model and same-family relatedness as a contamination vector,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7"/>
    <w:bookmarkStart w:id="41"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9" name="Picture"/>
            <a:graphic>
              <a:graphicData uri="http://schemas.openxmlformats.org/drawingml/2006/picture">
                <pic:pic>
                  <pic:nvPicPr>
                    <pic:cNvPr descr="figures/f5_rubric_heatmap.png" id="40" name="Picture"/>
                    <pic:cNvPicPr>
                      <a:picLocks noChangeArrowheads="1" noChangeAspect="1"/>
                    </pic:cNvPicPr>
                  </pic:nvPicPr>
                  <pic:blipFill>
                    <a:blip r:embed="rId3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1"/>
    <w:bookmarkStart w:id="42"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2"/>
    <w:bookmarkStart w:id="46"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4" name="Picture"/>
            <a:graphic>
              <a:graphicData uri="http://schemas.openxmlformats.org/drawingml/2006/picture">
                <pic:pic>
                  <pic:nvPicPr>
                    <pic:cNvPr descr="figures/f6_cost.png" id="45" name="Picture"/>
                    <pic:cNvPicPr>
                      <a:picLocks noChangeArrowheads="1" noChangeAspect="1"/>
                    </pic:cNvPicPr>
                  </pic:nvPicPr>
                  <pic:blipFill>
                    <a:blip r:embed="rId4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6"/>
    <w:bookmarkStart w:id="47"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7"/>
    <w:bookmarkEnd w:id="48"/>
    <w:bookmarkStart w:id="49"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9"/>
    <w:bookmarkStart w:id="50"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50"/>
    <w:bookmarkStart w:id="103"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2"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1">
        <w:r>
          <w:rPr>
            <w:rStyle w:val="Hyperlink"/>
          </w:rPr>
          <w:t xml:space="preserve">arxiv.org/abs/2306.05685</w:t>
        </w:r>
      </w:hyperlink>
      <w:bookmarkEnd w:id="52"/>
    </w:p>
    <w:p>
      <w:pPr>
        <w:pStyle w:val="ReferenceEntry"/>
        <w:numPr>
          <w:ilvl w:val="0"/>
          <w:numId w:val="1002"/>
        </w:numPr>
        <w:jc w:val="left"/>
        <w:keepNext w:val="0"/>
        <w:keepLines w:val="0"/>
        <w:widowControl w:val="1"/>
      </w:pPr>
      <w:bookmarkStart w:id="54"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3">
        <w:r>
          <w:rPr>
            <w:rStyle w:val="Hyperlink"/>
          </w:rPr>
          <w:t xml:space="preserve">arxiv.org/abs/2303.16634</w:t>
        </w:r>
      </w:hyperlink>
      <w:bookmarkEnd w:id="54"/>
    </w:p>
    <w:p>
      <w:pPr>
        <w:pStyle w:val="ReferenceEntry"/>
        <w:numPr>
          <w:ilvl w:val="0"/>
          <w:numId w:val="1002"/>
        </w:numPr>
        <w:jc w:val="left"/>
        <w:keepNext w:val="0"/>
        <w:keepLines w:val="0"/>
        <w:widowControl w:val="1"/>
      </w:pPr>
      <w:bookmarkStart w:id="56"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5">
        <w:r>
          <w:rPr>
            <w:rStyle w:val="Hyperlink"/>
          </w:rPr>
          <w:t xml:space="preserve">arxiv.org/abs/2405.01535</w:t>
        </w:r>
      </w:hyperlink>
      <w:bookmarkEnd w:id="56"/>
    </w:p>
    <w:p>
      <w:pPr>
        <w:pStyle w:val="ReferenceEntry"/>
        <w:numPr>
          <w:ilvl w:val="0"/>
          <w:numId w:val="1002"/>
        </w:numPr>
        <w:jc w:val="left"/>
        <w:keepNext w:val="0"/>
        <w:keepLines w:val="0"/>
        <w:widowControl w:val="1"/>
      </w:pPr>
      <w:bookmarkStart w:id="58"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7">
        <w:r>
          <w:rPr>
            <w:rStyle w:val="Hyperlink"/>
          </w:rPr>
          <w:t xml:space="preserve">arxiv.org/abs/2407.10817</w:t>
        </w:r>
      </w:hyperlink>
      <w:bookmarkEnd w:id="58"/>
    </w:p>
    <w:p>
      <w:pPr>
        <w:pStyle w:val="ReferenceEntry"/>
        <w:numPr>
          <w:ilvl w:val="0"/>
          <w:numId w:val="1002"/>
        </w:numPr>
        <w:jc w:val="left"/>
        <w:keepNext w:val="0"/>
        <w:keepLines w:val="0"/>
        <w:widowControl w:val="1"/>
      </w:pPr>
      <w:bookmarkStart w:id="60"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9">
        <w:r>
          <w:rPr>
            <w:rStyle w:val="Hyperlink"/>
          </w:rPr>
          <w:t xml:space="preserve">arxiv.org/abs/2404.18796</w:t>
        </w:r>
      </w:hyperlink>
      <w:bookmarkEnd w:id="60"/>
    </w:p>
    <w:p>
      <w:pPr>
        <w:pStyle w:val="ReferenceEntry"/>
        <w:numPr>
          <w:ilvl w:val="0"/>
          <w:numId w:val="1002"/>
        </w:numPr>
        <w:jc w:val="left"/>
        <w:keepNext w:val="0"/>
        <w:keepLines w:val="0"/>
        <w:widowControl w:val="1"/>
      </w:pPr>
      <w:bookmarkStart w:id="62"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1">
        <w:r>
          <w:rPr>
            <w:rStyle w:val="Hyperlink"/>
          </w:rPr>
          <w:t xml:space="preserve">arxiv.org/abs/2410.12784</w:t>
        </w:r>
      </w:hyperlink>
      <w:bookmarkEnd w:id="62"/>
    </w:p>
    <w:p>
      <w:pPr>
        <w:pStyle w:val="ReferenceEntry"/>
        <w:numPr>
          <w:ilvl w:val="0"/>
          <w:numId w:val="1002"/>
        </w:numPr>
        <w:jc w:val="left"/>
        <w:keepNext w:val="0"/>
        <w:keepLines w:val="0"/>
        <w:widowControl w:val="1"/>
      </w:pPr>
      <w:bookmarkStart w:id="64"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3">
        <w:r>
          <w:rPr>
            <w:rStyle w:val="Hyperlink"/>
          </w:rPr>
          <w:t xml:space="preserve">arxiv.org/abs/2406.05761</w:t>
        </w:r>
      </w:hyperlink>
      <w:bookmarkEnd w:id="64"/>
    </w:p>
    <w:p>
      <w:pPr>
        <w:pStyle w:val="ReferenceEntry"/>
        <w:numPr>
          <w:ilvl w:val="0"/>
          <w:numId w:val="1002"/>
        </w:numPr>
        <w:jc w:val="left"/>
        <w:keepNext w:val="0"/>
        <w:keepLines w:val="0"/>
        <w:widowControl w:val="1"/>
      </w:pPr>
      <w:bookmarkStart w:id="66"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5">
        <w:r>
          <w:rPr>
            <w:rStyle w:val="Hyperlink"/>
          </w:rPr>
          <w:t xml:space="preserve">arxiv.org/abs/2404.04475</w:t>
        </w:r>
      </w:hyperlink>
      <w:bookmarkEnd w:id="66"/>
    </w:p>
    <w:p>
      <w:pPr>
        <w:pStyle w:val="ReferenceEntry"/>
        <w:numPr>
          <w:ilvl w:val="0"/>
          <w:numId w:val="1002"/>
        </w:numPr>
        <w:jc w:val="left"/>
        <w:keepNext w:val="0"/>
        <w:keepLines w:val="0"/>
        <w:widowControl w:val="1"/>
      </w:pPr>
      <w:bookmarkStart w:id="68" w:name="r9"/>
      <w:r>
        <w:t xml:space="preserve">Li, X. L., Kazemi, M., et al. (2024).</w:t>
      </w:r>
      <w:r>
        <w:t xml:space="preserve"> </w:t>
      </w:r>
      <w:r>
        <w:rPr>
          <w:i/>
          <w:iCs/>
        </w:rPr>
        <w:t xml:space="preserve">AutoBencher: Towards Declarative Benchmark Construction.</w:t>
      </w:r>
      <w:r>
        <w:t xml:space="preserve"> </w:t>
      </w:r>
      <w:hyperlink r:id="rId67">
        <w:r>
          <w:rPr>
            <w:rStyle w:val="Hyperlink"/>
          </w:rPr>
          <w:t xml:space="preserve">arxiv.org/abs/2407.08351</w:t>
        </w:r>
      </w:hyperlink>
      <w:bookmarkEnd w:id="68"/>
    </w:p>
    <w:p>
      <w:pPr>
        <w:pStyle w:val="ReferenceEntry"/>
        <w:numPr>
          <w:ilvl w:val="0"/>
          <w:numId w:val="1002"/>
        </w:numPr>
        <w:jc w:val="left"/>
        <w:keepNext w:val="0"/>
        <w:keepLines w:val="0"/>
        <w:widowControl w:val="1"/>
      </w:pPr>
      <w:bookmarkStart w:id="70"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9">
        <w:r>
          <w:rPr>
            <w:rStyle w:val="Hyperlink"/>
          </w:rPr>
          <w:t xml:space="preserve">arxiv.org/abs/2410.22584</w:t>
        </w:r>
      </w:hyperlink>
      <w:bookmarkEnd w:id="70"/>
    </w:p>
    <w:p>
      <w:pPr>
        <w:pStyle w:val="ReferenceEntry"/>
        <w:numPr>
          <w:ilvl w:val="0"/>
          <w:numId w:val="1002"/>
        </w:numPr>
        <w:jc w:val="left"/>
        <w:keepNext w:val="0"/>
        <w:keepLines w:val="0"/>
        <w:widowControl w:val="1"/>
      </w:pPr>
      <w:bookmarkStart w:id="72" w:name="r11"/>
      <w:r>
        <w:t xml:space="preserve">Shashidhar, S., et al. (2025).</w:t>
      </w:r>
      <w:r>
        <w:t xml:space="preserve"> </w:t>
      </w:r>
      <w:r>
        <w:rPr>
          <w:i/>
          <w:iCs/>
        </w:rPr>
        <w:t xml:space="preserve">YourBench: Easy Custom Evaluation Sets for Everyone.</w:t>
      </w:r>
      <w:r>
        <w:t xml:space="preserve"> </w:t>
      </w:r>
      <w:hyperlink r:id="rId71">
        <w:r>
          <w:rPr>
            <w:rStyle w:val="Hyperlink"/>
          </w:rPr>
          <w:t xml:space="preserve">arxiv.org/abs/2504.01833</w:t>
        </w:r>
      </w:hyperlink>
      <w:bookmarkEnd w:id="72"/>
    </w:p>
    <w:p>
      <w:pPr>
        <w:pStyle w:val="ReferenceEntry"/>
        <w:numPr>
          <w:ilvl w:val="0"/>
          <w:numId w:val="1002"/>
        </w:numPr>
        <w:jc w:val="left"/>
        <w:keepNext w:val="0"/>
        <w:keepLines w:val="0"/>
        <w:widowControl w:val="1"/>
      </w:pPr>
      <w:bookmarkStart w:id="74"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3">
        <w:r>
          <w:rPr>
            <w:rStyle w:val="Hyperlink"/>
          </w:rPr>
          <w:t xml:space="preserve">arxiv.org/abs/2405.00332</w:t>
        </w:r>
      </w:hyperlink>
      <w:bookmarkEnd w:id="74"/>
    </w:p>
    <w:p>
      <w:pPr>
        <w:pStyle w:val="ReferenceEntry"/>
        <w:numPr>
          <w:ilvl w:val="0"/>
          <w:numId w:val="1002"/>
        </w:numPr>
        <w:jc w:val="left"/>
        <w:keepNext w:val="0"/>
        <w:keepLines w:val="0"/>
        <w:widowControl w:val="1"/>
      </w:pPr>
      <w:bookmarkStart w:id="76" w:name="r13"/>
      <w:r>
        <w:t xml:space="preserve">Xu, C., et al. (2025).</w:t>
      </w:r>
      <w:r>
        <w:t xml:space="preserve"> </w:t>
      </w:r>
      <w:r>
        <w:rPr>
          <w:i/>
          <w:iCs/>
        </w:rPr>
        <w:t xml:space="preserve">Benchmark Data Contamination of Large Language Models: A Survey.</w:t>
      </w:r>
      <w:r>
        <w:t xml:space="preserve"> </w:t>
      </w:r>
      <w:hyperlink r:id="rId75">
        <w:r>
          <w:rPr>
            <w:rStyle w:val="Hyperlink"/>
          </w:rPr>
          <w:t xml:space="preserve">arxiv.org/abs/2502.14425</w:t>
        </w:r>
      </w:hyperlink>
      <w:bookmarkEnd w:id="76"/>
    </w:p>
    <w:p>
      <w:pPr>
        <w:pStyle w:val="ReferenceEntry"/>
        <w:numPr>
          <w:ilvl w:val="0"/>
          <w:numId w:val="1002"/>
        </w:numPr>
        <w:jc w:val="left"/>
        <w:keepNext w:val="0"/>
        <w:keepLines w:val="0"/>
        <w:widowControl w:val="1"/>
      </w:pPr>
      <w:bookmarkStart w:id="78"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7">
        <w:r>
          <w:rPr>
            <w:rStyle w:val="Hyperlink"/>
          </w:rPr>
          <w:t xml:space="preserve">arxiv.org/abs/2104.14337</w:t>
        </w:r>
      </w:hyperlink>
      <w:bookmarkEnd w:id="78"/>
    </w:p>
    <w:p>
      <w:pPr>
        <w:pStyle w:val="ReferenceEntry"/>
        <w:numPr>
          <w:ilvl w:val="0"/>
          <w:numId w:val="1002"/>
        </w:numPr>
        <w:jc w:val="left"/>
        <w:keepNext w:val="0"/>
        <w:keepLines w:val="0"/>
        <w:widowControl w:val="1"/>
      </w:pPr>
      <w:bookmarkStart w:id="80"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9">
        <w:r>
          <w:rPr>
            <w:rStyle w:val="Hyperlink"/>
          </w:rPr>
          <w:t xml:space="preserve">arxiv.org/abs/2502.01534</w:t>
        </w:r>
      </w:hyperlink>
      <w:bookmarkEnd w:id="80"/>
    </w:p>
    <w:p>
      <w:pPr>
        <w:pStyle w:val="ReferenceEntry"/>
        <w:numPr>
          <w:ilvl w:val="0"/>
          <w:numId w:val="1002"/>
        </w:numPr>
        <w:jc w:val="left"/>
        <w:keepNext w:val="0"/>
        <w:keepLines w:val="0"/>
        <w:widowControl w:val="1"/>
      </w:pPr>
      <w:bookmarkStart w:id="82"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1">
        <w:r>
          <w:rPr>
            <w:rStyle w:val="Hyperlink"/>
          </w:rPr>
          <w:t xml:space="preserve">arxiv.org/abs/2508.06709</w:t>
        </w:r>
      </w:hyperlink>
      <w:bookmarkEnd w:id="82"/>
    </w:p>
    <w:p>
      <w:pPr>
        <w:pStyle w:val="ReferenceEntry"/>
        <w:numPr>
          <w:ilvl w:val="0"/>
          <w:numId w:val="1002"/>
        </w:numPr>
        <w:jc w:val="left"/>
        <w:keepNext w:val="0"/>
        <w:keepLines w:val="0"/>
        <w:widowControl w:val="1"/>
      </w:pPr>
      <w:bookmarkStart w:id="84"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3">
        <w:r>
          <w:rPr>
            <w:rStyle w:val="Hyperlink"/>
          </w:rPr>
          <w:t xml:space="preserve">arxiv.org/abs/2410.02736</w:t>
        </w:r>
      </w:hyperlink>
      <w:bookmarkEnd w:id="84"/>
    </w:p>
    <w:p>
      <w:pPr>
        <w:pStyle w:val="ReferenceEntry"/>
        <w:numPr>
          <w:ilvl w:val="0"/>
          <w:numId w:val="1002"/>
        </w:numPr>
        <w:jc w:val="left"/>
        <w:keepNext w:val="0"/>
        <w:keepLines w:val="0"/>
        <w:widowControl w:val="1"/>
      </w:pPr>
      <w:bookmarkStart w:id="86" w:name="r18"/>
      <w:r>
        <w:t xml:space="preserve">Wataoka, K., Takahashi, T., Ri, R. (2024).</w:t>
      </w:r>
      <w:r>
        <w:t xml:space="preserve"> </w:t>
      </w:r>
      <w:r>
        <w:rPr>
          <w:i/>
          <w:iCs/>
        </w:rPr>
        <w:t xml:space="preserve">Self-Preference Bias in LLM-as-a-Judge.</w:t>
      </w:r>
      <w:r>
        <w:t xml:space="preserve"> </w:t>
      </w:r>
      <w:hyperlink r:id="rId85">
        <w:r>
          <w:rPr>
            <w:rStyle w:val="Hyperlink"/>
          </w:rPr>
          <w:t xml:space="preserve">arxiv.org/abs/2410.21819</w:t>
        </w:r>
      </w:hyperlink>
      <w:bookmarkEnd w:id="86"/>
    </w:p>
    <w:p>
      <w:pPr>
        <w:pStyle w:val="ReferenceEntry"/>
        <w:numPr>
          <w:ilvl w:val="0"/>
          <w:numId w:val="1002"/>
        </w:numPr>
        <w:jc w:val="left"/>
        <w:keepNext w:val="0"/>
        <w:keepLines w:val="0"/>
        <w:widowControl w:val="1"/>
      </w:pPr>
      <w:bookmarkStart w:id="88" w:name="r19"/>
      <w:r>
        <w:t xml:space="preserve">Gu, J., Jiang, X., Shi, Z., et al. (2024).</w:t>
      </w:r>
      <w:r>
        <w:t xml:space="preserve"> </w:t>
      </w:r>
      <w:r>
        <w:rPr>
          <w:i/>
          <w:iCs/>
        </w:rPr>
        <w:t xml:space="preserve">A Survey on LLM-as-a-Judge.</w:t>
      </w:r>
      <w:r>
        <w:t xml:space="preserve"> </w:t>
      </w:r>
      <w:hyperlink r:id="rId87">
        <w:r>
          <w:rPr>
            <w:rStyle w:val="Hyperlink"/>
          </w:rPr>
          <w:t xml:space="preserve">arxiv.org/abs/2411.15594</w:t>
        </w:r>
      </w:hyperlink>
      <w:bookmarkEnd w:id="88"/>
    </w:p>
    <w:p>
      <w:pPr>
        <w:pStyle w:val="ReferenceEntry"/>
        <w:numPr>
          <w:ilvl w:val="0"/>
          <w:numId w:val="1002"/>
        </w:numPr>
        <w:jc w:val="left"/>
        <w:keepNext w:val="0"/>
        <w:keepLines w:val="0"/>
        <w:widowControl w:val="1"/>
      </w:pPr>
      <w:bookmarkStart w:id="90"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9">
        <w:r>
          <w:rPr>
            <w:rStyle w:val="Hyperlink"/>
          </w:rPr>
          <w:t xml:space="preserve">arxiv.org/abs/2411.16594</w:t>
        </w:r>
      </w:hyperlink>
      <w:bookmarkEnd w:id="90"/>
    </w:p>
    <w:p>
      <w:pPr>
        <w:pStyle w:val="ReferenceEntry"/>
        <w:numPr>
          <w:ilvl w:val="0"/>
          <w:numId w:val="1002"/>
        </w:numPr>
        <w:jc w:val="left"/>
        <w:keepNext w:val="0"/>
        <w:keepLines w:val="0"/>
        <w:widowControl w:val="1"/>
      </w:pPr>
      <w:bookmarkStart w:id="92"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1">
        <w:r>
          <w:rPr>
            <w:rStyle w:val="Hyperlink"/>
          </w:rPr>
          <w:t xml:space="preserve">arxiv.org/abs/2308.07201</w:t>
        </w:r>
      </w:hyperlink>
      <w:bookmarkEnd w:id="92"/>
    </w:p>
    <w:p>
      <w:pPr>
        <w:pStyle w:val="ReferenceEntry"/>
        <w:numPr>
          <w:ilvl w:val="0"/>
          <w:numId w:val="1002"/>
        </w:numPr>
        <w:jc w:val="left"/>
        <w:keepNext w:val="0"/>
        <w:keepLines w:val="0"/>
        <w:widowControl w:val="1"/>
      </w:pPr>
      <w:bookmarkStart w:id="94"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3">
        <w:r>
          <w:rPr>
            <w:rStyle w:val="Hyperlink"/>
          </w:rPr>
          <w:t xml:space="preserve">arxiv.org/abs/2406.19314</w:t>
        </w:r>
      </w:hyperlink>
      <w:bookmarkEnd w:id="94"/>
    </w:p>
    <w:p>
      <w:pPr>
        <w:pStyle w:val="ReferenceEntry"/>
        <w:numPr>
          <w:ilvl w:val="0"/>
          <w:numId w:val="1002"/>
        </w:numPr>
        <w:jc w:val="left"/>
        <w:keepNext w:val="0"/>
        <w:keepLines w:val="0"/>
        <w:widowControl w:val="1"/>
      </w:pPr>
      <w:bookmarkStart w:id="96"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5">
        <w:r>
          <w:rPr>
            <w:rStyle w:val="Hyperlink"/>
          </w:rPr>
          <w:t xml:space="preserve">arxiv.org/abs/2403.07974</w:t>
        </w:r>
      </w:hyperlink>
      <w:bookmarkEnd w:id="96"/>
    </w:p>
    <w:p>
      <w:pPr>
        <w:pStyle w:val="ReferenceEntry"/>
        <w:numPr>
          <w:ilvl w:val="0"/>
          <w:numId w:val="1002"/>
        </w:numPr>
        <w:jc w:val="left"/>
        <w:keepNext w:val="0"/>
        <w:keepLines w:val="0"/>
        <w:widowControl w:val="1"/>
      </w:pPr>
      <w:bookmarkStart w:id="98"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7">
        <w:r>
          <w:rPr>
            <w:rStyle w:val="Hyperlink"/>
          </w:rPr>
          <w:t xml:space="preserve">arxiv.org/abs/2504.03846</w:t>
        </w:r>
      </w:hyperlink>
      <w:bookmarkEnd w:id="98"/>
    </w:p>
    <w:p>
      <w:pPr>
        <w:pStyle w:val="ReferenceEntry"/>
        <w:numPr>
          <w:ilvl w:val="0"/>
          <w:numId w:val="1002"/>
        </w:numPr>
        <w:jc w:val="left"/>
        <w:keepNext w:val="0"/>
        <w:keepLines w:val="0"/>
        <w:widowControl w:val="1"/>
      </w:pPr>
      <w:bookmarkStart w:id="100"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9">
        <w:r>
          <w:rPr>
            <w:rStyle w:val="Hyperlink"/>
          </w:rPr>
          <w:t xml:space="preserve">arxiv.org/abs/2408.08808</w:t>
        </w:r>
      </w:hyperlink>
      <w:bookmarkEnd w:id="100"/>
    </w:p>
    <w:p>
      <w:pPr>
        <w:pStyle w:val="ReferenceEntry"/>
        <w:numPr>
          <w:ilvl w:val="0"/>
          <w:numId w:val="1002"/>
        </w:numPr>
        <w:jc w:val="left"/>
        <w:keepNext w:val="0"/>
        <w:keepLines w:val="0"/>
        <w:widowControl w:val="1"/>
      </w:pPr>
      <w:bookmarkStart w:id="102" w:name="r26"/>
      <w:r>
        <w:t xml:space="preserve">Li, Y., et al. (2025).</w:t>
      </w:r>
      <w:r>
        <w:t xml:space="preserve"> </w:t>
      </w:r>
      <w:r>
        <w:rPr>
          <w:i/>
          <w:iCs/>
        </w:rPr>
        <w:t xml:space="preserve">Leveraging LLMs as Meta-Judges: A Multi-Agent Framework.</w:t>
      </w:r>
      <w:r>
        <w:t xml:space="preserve"> </w:t>
      </w:r>
      <w:hyperlink r:id="rId101">
        <w:r>
          <w:rPr>
            <w:rStyle w:val="Hyperlink"/>
          </w:rPr>
          <w:t xml:space="preserve">arxiv.org/abs/2504.17087</w:t>
        </w:r>
      </w:hyperlink>
      <w:bookmarkEnd w:id="102"/>
    </w:p>
    <w:p>
      <w:pPr>
        <w:pStyle w:val="ReferenceEntry"/>
        <w:jc w:val="left"/>
        <w:keepNext w:val="0"/>
        <w:keepLines w:val="0"/>
        <w:widowControl w:val="1"/>
      </w:pPr>
      <w:r>
        <w:t xml:space="preserve">Preprint. Generated HTML build. © 2026 Alexander Apartsin &amp; Yehudit Aperstein.</w:t>
      </w:r>
    </w:p>
    <w:bookmarkEnd w:id="103"/>
    <w:bookmarkStart w:id="119"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5" name="Picture"/>
            <a:graphic>
              <a:graphicData uri="http://schemas.openxmlformats.org/drawingml/2006/picture">
                <pic:pic>
                  <pic:nvPicPr>
                    <pic:cNvPr descr="figures/gallery_fig_summary.png" id="106" name="Picture"/>
                    <pic:cNvPicPr>
                      <a:picLocks noChangeArrowheads="1" noChangeAspect="1"/>
                    </pic:cNvPicPr>
                  </pic:nvPicPr>
                  <pic:blipFill>
                    <a:blip r:embed="rId104"/>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8" name="Picture"/>
            <a:graphic>
              <a:graphicData uri="http://schemas.openxmlformats.org/drawingml/2006/picture">
                <pic:pic>
                  <pic:nvPicPr>
                    <pic:cNvPr descr="figures/gallery_fig_judge_report.png" id="109" name="Picture"/>
                    <pic:cNvPicPr>
                      <a:picLocks noChangeArrowheads="1" noChangeAspect="1"/>
                    </pic:cNvPicPr>
                  </pic:nvPicPr>
                  <pic:blipFill>
                    <a:blip r:embed="rId107"/>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11" name="Picture"/>
            <a:graphic>
              <a:graphicData uri="http://schemas.openxmlformats.org/drawingml/2006/picture">
                <pic:pic>
                  <pic:nvPicPr>
                    <pic:cNvPr descr="figures/gallery_fig_coverage_summary.png" id="112" name="Picture"/>
                    <pic:cNvPicPr>
                      <a:picLocks noChangeArrowheads="1" noChangeAspect="1"/>
                    </pic:cNvPicPr>
                  </pic:nvPicPr>
                  <pic:blipFill>
                    <a:blip r:embed="rId110"/>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4" name="Picture"/>
            <a:graphic>
              <a:graphicData uri="http://schemas.openxmlformats.org/drawingml/2006/picture">
                <pic:pic>
                  <pic:nvPicPr>
                    <pic:cNvPr descr="figures/gallery_fig_score_distribution.png" id="115" name="Picture"/>
                    <pic:cNvPicPr>
                      <a:picLocks noChangeArrowheads="1" noChangeAspect="1"/>
                    </pic:cNvPicPr>
                  </pic:nvPicPr>
                  <pic:blipFill>
                    <a:blip r:embed="rId113"/>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7" name="Picture"/>
            <a:graphic>
              <a:graphicData uri="http://schemas.openxmlformats.org/drawingml/2006/picture">
                <pic:pic>
                  <pic:nvPicPr>
                    <pic:cNvPr descr="figures/gallery_fig_interaction_matrix.png" id="118" name="Picture"/>
                    <pic:cNvPicPr>
                      <a:picLocks noChangeArrowheads="1" noChangeAspect="1"/>
                    </pic:cNvPicPr>
                  </pic:nvPicPr>
                  <pic:blipFill>
                    <a:blip r:embed="rId116"/>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9"/>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9" Type="http://schemas.openxmlformats.org/officeDocument/2006/relationships/image" Target="media/rId29.png"/><Relationship Id="rId33" Type="http://schemas.openxmlformats.org/officeDocument/2006/relationships/image" Target="media/rId33.png"/><Relationship Id="rId25" Type="http://schemas.openxmlformats.org/officeDocument/2006/relationships/image" Target="media/rId25.png"/><Relationship Id="rId38" Type="http://schemas.openxmlformats.org/officeDocument/2006/relationships/image" Target="media/rId38.png"/><Relationship Id="rId43" Type="http://schemas.openxmlformats.org/officeDocument/2006/relationships/image" Target="media/rId43.png"/><Relationship Id="rId110" Type="http://schemas.openxmlformats.org/officeDocument/2006/relationships/image" Target="media/rId110.png"/><Relationship Id="rId116" Type="http://schemas.openxmlformats.org/officeDocument/2006/relationships/image" Target="media/rId116.png"/><Relationship Id="rId107" Type="http://schemas.openxmlformats.org/officeDocument/2006/relationships/image" Target="media/rId107.png"/><Relationship Id="rId113" Type="http://schemas.openxmlformats.org/officeDocument/2006/relationships/image" Target="media/rId113.png"/><Relationship Id="rId104" Type="http://schemas.openxmlformats.org/officeDocument/2006/relationships/image" Target="media/rId104.png"/><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2026-06-02T02:42:24Z</dcterms:created>
  <dcterms:modified xsi:type="dcterms:W3CDTF">2026-06-02T02:42:24Z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