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Word (.docx)</w:t>
        </w:r>
      </w:hyperlink>
    </w:p>
    <w:bookmarkStart w:id="10" w:name="Xab5dd0b7b022e0e3b4332f7f482ca1588b7b75a"/>
    <w:p>
      <w:pPr>
        <w:pStyle w:val="Title"/>
        <w:spacing w:before="0" w:after="160"/>
        <w:jc w:val="center"/>
        <w:keepNext/>
        <w:keepLines/>
        <w:widowControl w:val="1"/>
      </w:pPr>
      <w:r>
        <w:t xml:space="preserve">CoEval: Ranking Language Models for Custom Tasks</w:t>
      </w:r>
      <w:r>
        <w:br/>
      </w:r>
      <w:r>
        <w:t xml:space="preserve">Without Labeled Data or Trustworthy Benchmarks</w:t>
      </w:r>
    </w:p>
    <w:p>
      <w:pPr>
        <w:pStyle w:val="Subtitle"/>
        <w:spacing w:before="0" w:after="40"/>
        <w:jc w:val="center"/>
        <w:keepNext/>
        <w:keepLines/>
        <w:widowControl w:val="1"/>
      </w:pPr>
      <w:r>
        <w:t xml:space="preserve">Alexander Apartsin</w:t>
      </w:r>
    </w:p>
    <w:p>
      <w:pPr>
        <w:pStyle w:val="Subtitle"/>
        <w:spacing w:before="0" w:after="160"/>
        <w:jc w:val="center"/>
        <w:keepNext w:val="0"/>
        <w:keepLines/>
        <w:widowControl w:val="1"/>
      </w:pPr>
      <w:r>
        <w:rPr>
          <w:sz w:val="20"/>
        </w:rPr>
        <w:t xml:space="preserve">Holon Institute of Technology, Israel</w:t>
      </w:r>
    </w:p>
    <w:p>
      <w:pPr>
        <w:pStyle w:val="BodyText"/>
        <w:jc w:val="both"/>
        <w:keepNext w:val="0"/>
        <w:keepLines w:val="0"/>
        <w:widowControl w:val="1"/>
      </w:pPr>
      <w:r>
        <w:t xml:space="preserve">Yehudit Aperstein</w:t>
      </w:r>
    </w:p>
    <w:p>
      <w:pPr>
        <w:pStyle w:val="BodyText"/>
        <w:jc w:val="both"/>
        <w:keepNext w:val="0"/>
        <w:keepLines w:val="0"/>
        <w:widowControl w:val="1"/>
      </w:pPr>
      <w:r>
        <w:t xml:space="preserve">Afeka Tel Aviv Academic College of Engineering, Israel</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sixteen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1"/>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w:t>
      </w:r>
      <w:r>
        <w:t xml:space="preserve"> </w:t>
      </w:r>
      <w:hyperlink w:anchor="r12">
        <w:r>
          <w:rPr>
            <w:rStyle w:val="Hyperlink"/>
            <w:vertAlign w:val="superscript"/>
          </w:rPr>
          <w:t xml:space="preserve">[12]</w:t>
        </w:r>
      </w:hyperlink>
      <w:hyperlink w:anchor="r13">
        <w:r>
          <w:rPr>
            <w:rStyle w:val="Hyperlink"/>
            <w:vertAlign w:val="superscript"/>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w:t>
      </w:r>
      <w:r>
        <w:t xml:space="preserve"> </w:t>
      </w:r>
      <w:hyperlink w:anchor="r1">
        <w:r>
          <w:rPr>
            <w:rStyle w:val="Hyperlink"/>
            <w:vertAlign w:val="superscript"/>
          </w:rPr>
          <w:t xml:space="preserve">[1]</w:t>
        </w:r>
      </w:hyperlink>
      <w:hyperlink w:anchor="r2">
        <w:r>
          <w:rPr>
            <w:rStyle w:val="Hyperlink"/>
            <w:vertAlign w:val="superscript"/>
          </w:rPr>
          <w:t xml:space="preserve">[2]</w:t>
        </w:r>
      </w:hyperlink>
      <w:r>
        <w:t xml:space="preserve"> </w:t>
      </w:r>
      <w:r>
        <w:t xml:space="preserve">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hyperlink w:anchor="r8">
        <w:r>
          <w:rPr>
            <w:rStyle w:val="Hyperlink"/>
            <w:vertAlign w:val="superscript"/>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file.</w:t>
      </w:r>
      <w:r>
        <w:t xml:space="preserve"> </w:t>
      </w:r>
      <w:r>
        <w:t xml:space="preserve">CoEval is model-agnostic and</w:t>
      </w:r>
      <w:r>
        <w:t xml:space="preserve"> </w:t>
      </w:r>
      <w:r>
        <w:t xml:space="preserve">task-agnostic: any model reachable through one of sixteen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is a single command, and we demonstrate (Section 5.1, Table 2) that CoEval</w:t>
      </w:r>
      <w:r>
        <w:t xml:space="preserve"> </w:t>
      </w:r>
      <w:r>
        <w:t xml:space="preserve">recovers the correct ground-truth ranking. The whole pipeline is specified in one YAML file and is fully</w:t>
      </w:r>
      <w:r>
        <w:t xml:space="preserve"> </w:t>
      </w:r>
      <w:r>
        <w:t xml:space="preserve">reproducible and open-source.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and rubric generalization.</w:t>
      </w:r>
    </w:p>
    <w:bookmarkEnd w:id="12"/>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w:t>
      </w:r>
      <w:r>
        <w:t xml:space="preserve"> </w:t>
      </w:r>
      <w:hyperlink w:anchor="r12">
        <w:r>
          <w:rPr>
            <w:rStyle w:val="Hyperlink"/>
            <w:vertAlign w:val="superscript"/>
          </w:rPr>
          <w:t xml:space="preserve">[12]</w:t>
        </w:r>
      </w:hyperlink>
      <w:r>
        <w:t xml:space="preserve">,</w:t>
      </w:r>
      <w:r>
        <w:t xml:space="preserve"> </w:t>
      </w:r>
      <w:r>
        <w:t xml:space="preserve">contamination surveys</w:t>
      </w:r>
      <w:r>
        <w:t xml:space="preserve"> </w:t>
      </w:r>
      <w:hyperlink w:anchor="r13">
        <w:r>
          <w:rPr>
            <w:rStyle w:val="Hyperlink"/>
            <w:vertAlign w:val="superscript"/>
          </w:rPr>
          <w:t xml:space="preserve">[13]</w:t>
        </w:r>
      </w:hyperlink>
      <w:r>
        <w:t xml:space="preserve">), which has driven continuously-refreshed</w:t>
      </w:r>
      <w:r>
        <w:t xml:space="preserve"> </w:t>
      </w:r>
      <w:r>
        <w:rPr>
          <w:i/>
          <w:iCs/>
        </w:rPr>
        <w:t xml:space="preserve">live</w:t>
      </w:r>
      <w:r>
        <w:t xml:space="preserve"> </w:t>
      </w:r>
      <w:r>
        <w:t xml:space="preserve">benchmarks (LiveBench</w:t>
      </w:r>
      <w:r>
        <w:t xml:space="preserve"> </w:t>
      </w:r>
      <w:hyperlink w:anchor="r22">
        <w:r>
          <w:rPr>
            <w:rStyle w:val="Hyperlink"/>
            <w:vertAlign w:val="superscript"/>
          </w:rPr>
          <w:t xml:space="preserve">[22]</w:t>
        </w:r>
      </w:hyperlink>
      <w:r>
        <w:t xml:space="preserve">, LiveCodeBench</w:t>
      </w:r>
      <w:r>
        <w:t xml:space="preserve"> </w:t>
      </w:r>
      <w:hyperlink w:anchor="r23">
        <w:r>
          <w:rPr>
            <w:rStyle w:val="Hyperlink"/>
            <w:vertAlign w:val="superscript"/>
          </w:rPr>
          <w:t xml:space="preserve">[23]</w:t>
        </w:r>
      </w:hyperlink>
      <w:r>
        <w:t xml:space="preserve">) and</w:t>
      </w:r>
      <w:r>
        <w:t xml:space="preserve"> </w:t>
      </w:r>
      <w:r>
        <w:t xml:space="preserve">exposed leakage on the judge side as well (Preference Leakage</w:t>
      </w:r>
      <w:r>
        <w:t xml:space="preserve"> </w:t>
      </w:r>
      <w:hyperlink w:anchor="r15">
        <w:r>
          <w:rPr>
            <w:rStyle w:val="Hyperlink"/>
            <w:vertAlign w:val="superscript"/>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hyperlink w:anchor="r9">
        <w:r>
          <w:rPr>
            <w:rStyle w:val="Hyperlink"/>
            <w:vertAlign w:val="superscript"/>
          </w:rPr>
          <w:t xml:space="preserve">[9]</w:t>
        </w:r>
      </w:hyperlink>
      <w:r>
        <w:t xml:space="preserve">, BenchAgents</w:t>
      </w:r>
      <w:r>
        <w:t xml:space="preserve"> </w:t>
      </w:r>
      <w:hyperlink w:anchor="r10">
        <w:r>
          <w:rPr>
            <w:rStyle w:val="Hyperlink"/>
            <w:vertAlign w:val="superscript"/>
          </w:rPr>
          <w:t xml:space="preserve">[10]</w:t>
        </w:r>
      </w:hyperlink>
      <w:r>
        <w:t xml:space="preserve">, YourBench</w:t>
      </w:r>
      <w:r>
        <w:t xml:space="preserve"> </w:t>
      </w:r>
      <w:hyperlink w:anchor="r11">
        <w:r>
          <w:rPr>
            <w:rStyle w:val="Hyperlink"/>
            <w:vertAlign w:val="superscript"/>
          </w:rPr>
          <w:t xml:space="preserve">[11]</w:t>
        </w:r>
      </w:hyperlink>
      <w:r>
        <w:t xml:space="preserve">, domain-specific construction</w:t>
      </w:r>
      <w:r>
        <w:t xml:space="preserve"> </w:t>
      </w:r>
      <w:hyperlink w:anchor="r25">
        <w:r>
          <w:rPr>
            <w:rStyle w:val="Hyperlink"/>
            <w:vertAlign w:val="superscript"/>
          </w:rPr>
          <w:t xml:space="preserve">[25]</w:t>
        </w:r>
      </w:hyperlink>
      <w:r>
        <w:t xml:space="preserve">).</w:t>
      </w:r>
      <w:r>
        <w:t xml:space="preserve"> </w:t>
      </w:r>
      <w:r>
        <w:t xml:space="preserve">(iii) </w:t>
      </w:r>
      <w:r>
        <w:rPr>
          <w:i/>
          <w:iCs/>
        </w:rPr>
        <w:t xml:space="preserve">LLM-as-judge</w:t>
      </w:r>
      <w:r>
        <w:t xml:space="preserve"> </w:t>
      </w:r>
      <w:r>
        <w:t xml:space="preserve">methods (G-Eval</w:t>
      </w:r>
      <w:r>
        <w:t xml:space="preserve"> </w:t>
      </w:r>
      <w:hyperlink w:anchor="r2">
        <w:r>
          <w:rPr>
            <w:rStyle w:val="Hyperlink"/>
            <w:vertAlign w:val="superscript"/>
          </w:rPr>
          <w:t xml:space="preserve">[2]</w:t>
        </w:r>
      </w:hyperlink>
      <w:r>
        <w:t xml:space="preserve">, Prometheus 2</w:t>
      </w:r>
      <w:r>
        <w:t xml:space="preserve"> </w:t>
      </w:r>
      <w:hyperlink w:anchor="r3">
        <w:r>
          <w:rPr>
            <w:rStyle w:val="Hyperlink"/>
            <w:vertAlign w:val="superscript"/>
          </w:rPr>
          <w:t xml:space="preserve">[3]</w:t>
        </w:r>
      </w:hyperlink>
      <w:r>
        <w:t xml:space="preserve">, panels</w:t>
      </w:r>
      <w:r>
        <w:t xml:space="preserve"> </w:t>
      </w:r>
      <w:hyperlink w:anchor="r5">
        <w:r>
          <w:rPr>
            <w:rStyle w:val="Hyperlink"/>
            <w:vertAlign w:val="superscript"/>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3"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w:t>
      </w:r>
      <w:r>
        <w:t xml:space="preserve"> </w:t>
      </w:r>
      <w:hyperlink w:anchor="r1">
        <w:r>
          <w:rPr>
            <w:rStyle w:val="Hyperlink"/>
            <w:vertAlign w:val="superscript"/>
          </w:rPr>
          <w:t xml:space="preserve">[1]</w:t>
        </w:r>
      </w:hyperlink>
      <w:r>
        <w:t xml:space="preserve"> </w:t>
      </w:r>
      <w:r>
        <w:t xml:space="preserve">established LLM-as-judge as a scalable proxy for human</w:t>
      </w:r>
      <w:r>
        <w:t xml:space="preserve"> </w:t>
      </w:r>
      <w:r>
        <w:t xml:space="preserve">preference, and documented its biases. G-Eval</w:t>
      </w:r>
      <w:r>
        <w:t xml:space="preserve"> </w:t>
      </w:r>
      <w:hyperlink w:anchor="r2">
        <w:r>
          <w:rPr>
            <w:rStyle w:val="Hyperlink"/>
            <w:vertAlign w:val="superscript"/>
          </w:rPr>
          <w:t xml:space="preserve">[2]</w:t>
        </w:r>
      </w:hyperlink>
      <w:r>
        <w:t xml:space="preserve"> </w:t>
      </w:r>
      <w:r>
        <w:t xml:space="preserve">uses a single strong model with</w:t>
      </w:r>
      <w:r>
        <w:t xml:space="preserve"> </w:t>
      </w:r>
      <w:r>
        <w:t xml:space="preserve">chain-of-thought to score generation quality against a user-supplied rubric, while Prometheus 2</w:t>
      </w:r>
      <w:r>
        <w:t xml:space="preserve"> </w:t>
      </w:r>
      <w:hyperlink w:anchor="r3">
        <w:r>
          <w:rPr>
            <w:rStyle w:val="Hyperlink"/>
            <w:vertAlign w:val="superscript"/>
          </w:rPr>
          <w:t xml:space="preserve">[3]</w:t>
        </w:r>
      </w:hyperlink>
      <w:r>
        <w:t xml:space="preserve"> </w:t>
      </w:r>
      <w:r>
        <w:t xml:space="preserve">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w:t>
      </w:r>
      <w:r>
        <w:t xml:space="preserve"> </w:t>
      </w:r>
      <w:hyperlink w:anchor="r4">
        <w:r>
          <w:rPr>
            <w:rStyle w:val="Hyperlink"/>
            <w:vertAlign w:val="superscript"/>
          </w:rPr>
          <w:t xml:space="preserve">[4]</w:t>
        </w:r>
      </w:hyperlink>
      <w:r>
        <w:t xml:space="preserve"> </w:t>
      </w:r>
      <w:r>
        <w:t xml:space="preserve">and JudgeBench</w:t>
      </w:r>
      <w:r>
        <w:t xml:space="preserve"> </w:t>
      </w:r>
      <w:hyperlink w:anchor="r6">
        <w:r>
          <w:rPr>
            <w:rStyle w:val="Hyperlink"/>
            <w:vertAlign w:val="superscript"/>
          </w:rPr>
          <w:t xml:space="preserve">[6]</w:t>
        </w:r>
      </w:hyperlink>
      <w:r>
        <w:t xml:space="preserve"> </w:t>
      </w:r>
      <w:r>
        <w:t xml:space="preserve">study the reliability of judge models, and BiGGen-Bench</w:t>
      </w:r>
      <w:r>
        <w:t xml:space="preserve"> </w:t>
      </w:r>
      <w:hyperlink w:anchor="r7">
        <w:r>
          <w:rPr>
            <w:rStyle w:val="Hyperlink"/>
            <w:vertAlign w:val="superscript"/>
          </w:rPr>
          <w:t xml:space="preserve">[7]</w:t>
        </w:r>
      </w:hyperlink>
      <w:r>
        <w:t xml:space="preserve"> </w:t>
      </w:r>
      <w:r>
        <w:t xml:space="preserve">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w:t>
      </w:r>
      <w:r>
        <w:t xml:space="preserve"> </w:t>
      </w:r>
      <w:hyperlink w:anchor="r5">
        <w:r>
          <w:rPr>
            <w:rStyle w:val="Hyperlink"/>
            <w:vertAlign w:val="superscript"/>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w:t>
      </w:r>
      <w:r>
        <w:t xml:space="preserve"> </w:t>
      </w:r>
      <w:hyperlink w:anchor="r21">
        <w:r>
          <w:rPr>
            <w:rStyle w:val="Hyperlink"/>
            <w:vertAlign w:val="superscript"/>
          </w:rPr>
          <w:t xml:space="preserve">[21]</w:t>
        </w:r>
      </w:hyperlink>
      <w:r>
        <w:t xml:space="preserve"> </w:t>
      </w:r>
      <w:r>
        <w:t xml:space="preserve">and</w:t>
      </w:r>
      <w:r>
        <w:t xml:space="preserve"> </w:t>
      </w:r>
      <w:r>
        <w:t xml:space="preserve">meta-judge frameworks</w:t>
      </w:r>
      <w:r>
        <w:t xml:space="preserve"> </w:t>
      </w:r>
      <w:hyperlink w:anchor="r26">
        <w:r>
          <w:rPr>
            <w:rStyle w:val="Hyperlink"/>
            <w:vertAlign w:val="superscript"/>
          </w:rPr>
          <w:t xml:space="preserve">[26]</w:t>
        </w:r>
      </w:hyperlink>
      <w:r>
        <w:t xml:space="preserve"> </w:t>
      </w:r>
      <w:r>
        <w:t xml:space="preserve">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this same-family bias statistically, finding that frontier models favor</w:t>
      </w:r>
      <w:r>
        <w:t xml:space="preserve"> </w:t>
      </w:r>
      <w:r>
        <w:t xml:space="preserve">same-family outputs. Self-preference has been characterized mechanistically</w:t>
      </w:r>
      <w:r>
        <w:t xml:space="preserve"> </w:t>
      </w:r>
      <w:hyperlink w:anchor="r18">
        <w:r>
          <w:rPr>
            <w:rStyle w:val="Hyperlink"/>
            <w:vertAlign w:val="superscript"/>
          </w:rPr>
          <w:t xml:space="preserve">[18]</w:t>
        </w:r>
      </w:hyperlink>
      <w:r>
        <w:t xml:space="preserve"> </w:t>
      </w:r>
      <w:r>
        <w:t xml:space="preserve">and</w:t>
      </w:r>
      <w:r>
        <w:t xml:space="preserve"> </w:t>
      </w:r>
      <w:r>
        <w:t xml:space="preserve">partly attributed to legitimate capability rather than pure bias</w:t>
      </w:r>
      <w:r>
        <w:t xml:space="preserve"> </w:t>
      </w:r>
      <w:hyperlink w:anchor="r24">
        <w:r>
          <w:rPr>
            <w:rStyle w:val="Hyperlink"/>
            <w:vertAlign w:val="superscript"/>
          </w:rPr>
          <w:t xml:space="preserve">[24]</w:t>
        </w:r>
      </w:hyperlink>
      <w:r>
        <w:t xml:space="preserve">. Broad bias</w:t>
      </w:r>
      <w:r>
        <w:t xml:space="preserve"> </w:t>
      </w:r>
      <w:r>
        <w:t xml:space="preserve">taxonomies</w:t>
      </w:r>
      <w:r>
        <w:t xml:space="preserve"> </w:t>
      </w:r>
      <w:hyperlink w:anchor="r17">
        <w:r>
          <w:rPr>
            <w:rStyle w:val="Hyperlink"/>
            <w:vertAlign w:val="superscript"/>
          </w:rPr>
          <w:t xml:space="preserve">[17]</w:t>
        </w:r>
      </w:hyperlink>
      <w:r>
        <w:t xml:space="preserve"> </w:t>
      </w:r>
      <w:r>
        <w:t xml:space="preserve">and recent surveys</w:t>
      </w:r>
      <w:r>
        <w:t xml:space="preserve"> </w:t>
      </w:r>
      <w:hyperlink w:anchor="r19">
        <w:r>
          <w:rPr>
            <w:rStyle w:val="Hyperlink"/>
            <w:vertAlign w:val="superscript"/>
          </w:rPr>
          <w:t xml:space="preserve">[19]</w:t>
        </w:r>
      </w:hyperlink>
      <w:hyperlink w:anchor="r20">
        <w:r>
          <w:rPr>
            <w:rStyle w:val="Hyperlink"/>
            <w:vertAlign w:val="superscript"/>
          </w:rPr>
          <w:t xml:space="preserve">[20]</w:t>
        </w:r>
      </w:hyperlink>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bookmarkEnd w:id="13"/>
    <w:bookmarkStart w:id="14"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w:t>
      </w:r>
      <w:r>
        <w:t xml:space="preserve"> </w:t>
      </w:r>
      <w:hyperlink w:anchor="r9">
        <w:r>
          <w:rPr>
            <w:rStyle w:val="Hyperlink"/>
            <w:vertAlign w:val="superscript"/>
          </w:rPr>
          <w:t xml:space="preserve">[9]</w:t>
        </w:r>
      </w:hyperlink>
      <w:r>
        <w:t xml:space="preserve"> </w:t>
      </w:r>
      <w:r>
        <w:t xml:space="preserve">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w:t>
      </w:r>
      <w:r>
        <w:t xml:space="preserve"> </w:t>
      </w:r>
      <w:hyperlink w:anchor="r10">
        <w:r>
          <w:rPr>
            <w:rStyle w:val="Hyperlink"/>
            <w:vertAlign w:val="superscript"/>
          </w:rPr>
          <w:t xml:space="preserve">[10]</w:t>
        </w:r>
      </w:hyperlink>
      <w:r>
        <w:t xml:space="preserve"> </w:t>
      </w:r>
      <w:r>
        <w:t xml:space="preserve">and YourBench</w:t>
      </w:r>
      <w:r>
        <w:t xml:space="preserve"> </w:t>
      </w:r>
      <w:hyperlink w:anchor="r11">
        <w:r>
          <w:rPr>
            <w:rStyle w:val="Hyperlink"/>
            <w:vertAlign w:val="superscript"/>
          </w:rPr>
          <w:t xml:space="preserve">[11]</w:t>
        </w:r>
      </w:hyperlink>
      <w:r>
        <w:t xml:space="preserve"> </w:t>
      </w:r>
      <w:r>
        <w:t xml:space="preserve">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hyperlink w:anchor="r12">
        <w:r>
          <w:rPr>
            <w:rStyle w:val="Hyperlink"/>
            <w:vertAlign w:val="superscript"/>
          </w:rPr>
          <w:t xml:space="preserve">[12]</w:t>
        </w:r>
      </w:hyperlink>
      <w:r>
        <w:t xml:space="preserve">, which exposed memorization on grade-school arithmetic, and by recent surveys of</w:t>
      </w:r>
      <w:r>
        <w:t xml:space="preserve"> </w:t>
      </w:r>
      <w:r>
        <w:t xml:space="preserve">data contamination in LLMs</w:t>
      </w:r>
      <w:r>
        <w:t xml:space="preserve"> </w:t>
      </w:r>
      <w:hyperlink w:anchor="r13">
        <w:r>
          <w:rPr>
            <w:rStyle w:val="Hyperlink"/>
            <w:vertAlign w:val="superscript"/>
          </w:rPr>
          <w:t xml:space="preserve">[13]</w:t>
        </w:r>
      </w:hyperlink>
      <w:r>
        <w:t xml:space="preserve">. Live benchmarks such as LiveBench</w:t>
      </w:r>
      <w:r>
        <w:t xml:space="preserve"> </w:t>
      </w:r>
      <w:hyperlink w:anchor="r22">
        <w:r>
          <w:rPr>
            <w:rStyle w:val="Hyperlink"/>
            <w:vertAlign w:val="superscript"/>
          </w:rPr>
          <w:t xml:space="preserve">[22]</w:t>
        </w:r>
      </w:hyperlink>
      <w:r>
        <w:t xml:space="preserve"> </w:t>
      </w:r>
      <w:r>
        <w:t xml:space="preserve">and LiveCodeBench</w:t>
      </w:r>
      <w:r>
        <w:t xml:space="preserve"> </w:t>
      </w:r>
      <w:hyperlink w:anchor="r23">
        <w:r>
          <w:rPr>
            <w:rStyle w:val="Hyperlink"/>
            <w:vertAlign w:val="superscript"/>
          </w:rPr>
          <w:t xml:space="preserve">[23]</w:t>
        </w:r>
      </w:hyperlink>
      <w:r>
        <w:t xml:space="preserve"> </w:t>
      </w:r>
      <w:r>
        <w:t xml:space="preserve">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Dynabench</w:t>
      </w:r>
      <w:r>
        <w:t xml:space="preserve"> </w:t>
      </w:r>
      <w:hyperlink w:anchor="r14">
        <w:r>
          <w:rPr>
            <w:rStyle w:val="Hyperlink"/>
            <w:vertAlign w:val="superscript"/>
          </w:rPr>
          <w:t xml:space="preserve">[14]</w:t>
        </w:r>
      </w:hyperlink>
      <w:r>
        <w:t xml:space="preserve"> </w:t>
      </w:r>
      <w:r>
        <w:t xml:space="preserve">proposed dynamic, human-in-the-loop</w:t>
      </w:r>
      <w:r>
        <w:t xml:space="preserve"> </w:t>
      </w:r>
      <w:r>
        <w:t xml:space="preserve">renewal; CoEval automates renewal without humans. Constructing domain-specific evaluation sets for LLM judges</w:t>
      </w:r>
      <w:r>
        <w:t xml:space="preserve"> </w:t>
      </w:r>
      <w:hyperlink w:anchor="r25">
        <w:r>
          <w:rPr>
            <w:rStyle w:val="Hyperlink"/>
            <w:vertAlign w:val="superscript"/>
          </w:rPr>
          <w:t xml:space="preserve">[25]</w:t>
        </w:r>
      </w:hyperlink>
      <w:r>
        <w:t xml:space="preserve"> </w:t>
      </w:r>
      <w:r>
        <w:t xml:space="preserve">targets verticals such as medicine and law; CoEval generates such domain-targeted</w:t>
      </w:r>
      <w:r>
        <w:t xml:space="preserve"> </w:t>
      </w:r>
      <w:r>
        <w:t xml:space="preserve">items automatically within the same pipeline. Length-Controlled AlpacaEval</w:t>
      </w:r>
      <w:r>
        <w:t xml:space="preserve"> </w:t>
      </w:r>
      <w:hyperlink w:anchor="r8">
        <w:r>
          <w:rPr>
            <w:rStyle w:val="Hyperlink"/>
            <w:vertAlign w:val="superscript"/>
          </w:rPr>
          <w:t xml:space="preserve">[8]</w:t>
        </w:r>
      </w:hyperlink>
      <w:r>
        <w:t xml:space="preserve"> </w:t>
      </w:r>
      <w:r>
        <w:t xml:space="preserve">debiases for</w:t>
      </w:r>
      <w:r>
        <w:t xml:space="preserve"> </w:t>
      </w:r>
      <w:r>
        <w:t xml:space="preserve">verbosity post hoc on a single judge; CoEval instead cancels verbosity bias through panel diversity (Section 5.3).</w:t>
      </w:r>
    </w:p>
    <w:bookmarkEnd w:id="14"/>
    <w:bookmarkEnd w:id="15"/>
    <w:bookmarkStart w:id="23"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YAML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7" name="Picture"/>
            <a:graphic>
              <a:graphicData uri="http://schemas.openxmlformats.org/drawingml/2006/picture">
                <pic:pic>
                  <pic:nvPicPr>
                    <pic:cNvPr descr="figures/f1_architecture.png" id="18" name="Picture"/>
                    <pic:cNvPicPr>
                      <a:picLocks noChangeArrowheads="1" noChangeAspect="1"/>
                    </pic:cNvPicPr>
                  </pic:nvPicPr>
                  <pic:blipFill>
                    <a:blip r:embed="rId16"/>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YAML file and emits eight interactive reports plus a benchmark export.</w:t>
      </w:r>
    </w:p>
    <w:bookmarkStart w:id="19"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9"/>
    <w:bookmarkStart w:id="20"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(Appendix A,</w:t>
      </w:r>
      <w:r>
        <w:t xml:space="preserve"> </w:t>
      </w:r>
      <w:r>
        <w:t xml:space="preserve">panel A3)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20"/>
    <w:bookmarkStart w:id="21"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w:t>
      </w:r>
    </w:p>
    <w:bookmarkEnd w:id="21"/>
    <w:bookmarkStart w:id="22"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the agreement of the judge 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w:t>
      </w:r>
    </w:p>
    <w:bookmarkEnd w:id="22"/>
    <w:bookmarkEnd w:id="23"/>
    <w:bookmarkStart w:id="24"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YAML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bookmarkEnd w:id="24"/>
    <w:bookmarkStart w:id="48"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Sections 5.2–5.5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structurally avoids</w:t>
      </w:r>
      <w:r>
        <w:t xml:space="preserve"> </w:t>
      </w:r>
      <w:r>
        <w:t xml:space="preserve">self-preference (5.4), and produces task-appropriate rubrics (5.5). Section 5.6 verifies the second condition</w:t>
      </w:r>
      <w:r>
        <w:t xml:space="preserve"> </w:t>
      </w:r>
      <w:r>
        <w:t xml:space="preserve">directly, that the generated items are</w:t>
      </w:r>
      <w:r>
        <w:t xml:space="preserve"> </w:t>
      </w:r>
      <w:r>
        <w:rPr>
          <w:i/>
          <w:iCs/>
        </w:rPr>
        <w:t xml:space="preserve">contamination-free</w:t>
      </w:r>
      <w:r>
        <w:t xml:space="preserve">, and Section 5.7 shows the process is cheap enough to re-run per use case. Section 5.8 exercises the complete tool on three custom verticals (drug interaction, clinical, legal) with no labeled data.</w:t>
      </w:r>
    </w:p>
    <w:bookmarkStart w:id="28"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1.</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0.244</m:t>
        </m:r>
      </m:oMath>
      <w:r>
        <w:t xml:space="preserve">) tracks ground truth on par with a single GPT-4o</w:t>
      </w:r>
      <w:r>
        <w:t xml:space="preserve"> </w:t>
      </w:r>
      <w:r>
        <w:rPr>
          <w:b/>
          <w:bCs/>
        </w:rPr>
        <w:t xml:space="preserve">G-Eval</w:t>
      </w:r>
      <w:r>
        <w:t xml:space="preserve"> </w:t>
      </w:r>
      <w:hyperlink w:anchor="r2">
        <w:r>
          <w:rPr>
            <w:rStyle w:val="Hyperlink"/>
            <w:vertAlign w:val="superscript"/>
          </w:rPr>
          <w:t xml:space="preserve">[2]</w:t>
        </w:r>
      </w:hyperlink>
      <w:r>
        <w:t xml:space="preserve"> </w:t>
      </w:r>
      <w:r>
        <w:t xml:space="preserve">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center"/>
        <w:keepNext/>
        <w:keepLines/>
        <w:widowControl w:val="1"/>
      </w:pPr>
      <w:r>
        <w:drawing>
          <wp:inline>
            <wp:extent cx="5023104" cy="3169920"/>
            <wp:effectExtent b="0" l="0" r="0" t="0"/>
            <wp:docPr descr="Spearman correlation with ground-truth correctness per judge and ensemble" title="" id="26" name="Picture"/>
            <a:graphic>
              <a:graphicData uri="http://schemas.openxmlformats.org/drawingml/2006/picture">
                <pic:pic>
                  <pic:nvPicPr>
                    <pic:cNvPr descr="figures/f4_correctness_corr.png" id="27" name="Picture"/>
                    <pic:cNvPicPr>
                      <a:picLocks noChangeArrowheads="1" noChangeAspect="1"/>
                    </pic:cNvPicPr>
                  </pic:nvPicPr>
                  <pic:blipFill>
                    <a:blip r:embed="rId25"/>
                    <a:stretch>
                      <a:fillRect/>
                    </a:stretch>
                  </pic:blipFill>
                  <pic:spPr bwMode="auto">
                    <a:xfrm>
                      <a:off x="0" y="0"/>
                      <a:ext cx="5023104"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Rank correlation of CoEval accuracy scores with ground-truth answer correctness</w:t>
      </w:r>
      <w:r>
        <w:t xml:space="preserve"> </w:t>
      </w:r>
      <w:r>
        <w:t xml:space="preserve">on exact-match QA (</w:t>
      </w:r>
      <m:oMath>
        <m:r>
          <m:t>191</m:t>
        </m:r>
      </m:oMath>
      <w:r>
        <w:t xml:space="preserve"> </w:t>
      </w:r>
      <w:r>
        <w:t xml:space="preserve">datapoints,</w:t>
      </w:r>
      <w:r>
        <w:t xml:space="preserve"> </w:t>
      </w:r>
      <m:oMath>
        <m:r>
          <m:t>573</m:t>
        </m:r>
      </m:oMath>
      <w:r>
        <w:t xml:space="preserve"> </w:t>
      </w:r>
      <w:r>
        <w:t xml:space="preserve">responses). The frontier cross-family ensemble reaches</w:t>
      </w:r>
      <w:r>
        <w:t xml:space="preserve"> </w:t>
      </w:r>
      <m:oMath>
        <m:r>
          <m:t>ρ</m:t>
        </m:r>
        <m:r>
          <m:rPr>
            <m:sty m:val="p"/>
          </m:rPr>
          <m:t>=</m:t>
        </m:r>
        <m:r>
          <m:t>0.86</m:t>
        </m:r>
      </m:oMath>
      <w:r>
        <w:t xml:space="preserve"> </w:t>
      </w:r>
      <w:r>
        <w:t xml:space="preserve">(datapoint-clustered 95% CI shown); the three frontier judges converge on identical labels, so the ensemble equals</w:t>
      </w:r>
      <w:r>
        <w:t xml:space="preserve"> </w:t>
      </w:r>
      <w:r>
        <w:t xml:space="preserve">its best member here, a vendor-independent reliability floor on objective tasks.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Table 2 ranks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TableCaption"/>
        <w:spacing w:before="160" w:after="60" w:line="240" w:lineRule="auto"/>
        <w:jc w:val="center"/>
        <w:keepNext/>
        <w:keepLines/>
        <w:widowControl w:val="1"/>
      </w:pPr>
      <w:r>
        <w:rPr>
          <w:b/>
          <w:bCs/>
        </w:rPr>
        <w:t xml:space="preserve">Table 2.</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8"/>
    <w:bookmarkStart w:id="32" w:name="ensemble-reliability"/>
    <w:p>
      <w:pPr>
        <w:pStyle w:val="Heading3"/>
        <w:keepNext/>
        <w:keepLines/>
        <w:widowControl w:val="1"/>
      </w:pPr>
      <w:r>
        <w:t xml:space="preserve">5.2 Ensemble reliability</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of Section 3.4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30" name="Picture"/>
            <a:graphic>
              <a:graphicData uri="http://schemas.openxmlformats.org/drawingml/2006/picture">
                <pic:pic>
                  <pic:nvPicPr>
                    <pic:cNvPr descr="figures/f2_icc_curve.png" id="31" name="Picture"/>
                    <pic:cNvPicPr>
                      <a:picLocks noChangeArrowheads="1" noChangeAspect="1"/>
                    </pic:cNvPicPr>
                  </pic:nvPicPr>
                  <pic:blipFill>
                    <a:blip r:embed="rId29"/>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bookmarkEnd w:id="32"/>
    <w:bookmarkStart w:id="36"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3.</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3.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4" name="Picture"/>
            <a:graphic>
              <a:graphicData uri="http://schemas.openxmlformats.org/drawingml/2006/picture">
                <pic:pic>
                  <pic:nvPicPr>
                    <pic:cNvPr descr="figures/f3_verbosity_forest.png" id="35" name="Picture"/>
                    <pic:cNvPicPr>
                      <a:picLocks noChangeArrowheads="1" noChangeAspect="1"/>
                    </pic:cNvPicPr>
                  </pic:nvPicPr>
                  <pic:blipFill>
                    <a:blip r:embed="rId33"/>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6"/>
    <w:bookmarkStart w:id="37"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hyperlink w:anchor="r15">
        <w:r>
          <w:rPr>
            <w:rStyle w:val="Hyperlink"/>
            <w:vertAlign w:val="superscript"/>
          </w:rPr>
          <w:t xml:space="preserve">[15]</w:t>
        </w:r>
      </w:hyperlink>
      <w:r>
        <w:t xml:space="preserve"> </w:t>
      </w:r>
      <w:r>
        <w:t xml:space="preserve">identifies same-model and same-family relatedness as a contamination vector, and</w:t>
      </w:r>
      <w:r>
        <w:t xml:space="preserve"> </w:t>
      </w:r>
      <w:r>
        <w:rPr>
          <w:i/>
          <w:iCs/>
        </w:rPr>
        <w:t xml:space="preserve">Play Favorites</w:t>
      </w:r>
      <w:r>
        <w:t xml:space="preserve"> </w:t>
      </w:r>
      <w:hyperlink w:anchor="r16">
        <w:r>
          <w:rPr>
            <w:rStyle w:val="Hyperlink"/>
            <w:vertAlign w:val="superscript"/>
          </w:rPr>
          <w:t xml:space="preserve">[16]</w:t>
        </w:r>
      </w:hyperlink>
      <w:r>
        <w:t xml:space="preserve"> </w:t>
      </w:r>
      <w:r>
        <w:t xml:space="preserve">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2 and 4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Property (self-preference).</w:t>
      </w:r>
      <w:r>
        <w:t xml:space="preserve"> </w:t>
      </w:r>
      <w:r>
        <w:t xml:space="preserve">CoEval's vendor-disjoint panel structurally precludes a model from</w:t>
      </w:r>
      <w:r>
        <w:t xml:space="preserve"> </w:t>
      </w:r>
      <w:r>
        <w:t xml:space="preserve">judging its own family, closing the self-preference channel by design. Vendor-disjoint aggregation leaves every</w:t>
      </w:r>
      <w:r>
        <w:t xml:space="preserve"> </w:t>
      </w:r>
      <w:r>
        <w:t xml:space="preserve">ranking unchanged (per-model scores shift by at most</w:t>
      </w:r>
      <w:r>
        <w:t xml:space="preserve"> </w:t>
      </w:r>
      <m:oMath>
        <m:r>
          <m:t>0.015</m:t>
        </m:r>
      </m:oMath>
      <w:r>
        <w:t xml:space="preserve">), confirming the cross-family rankings are already</w:t>
      </w:r>
      <w:r>
        <w:t xml:space="preserve"> </w:t>
      </w:r>
      <w:r>
        <w:t xml:space="preserve">robust to same-family bias.</w:t>
      </w:r>
    </w:p>
    <w:bookmarkEnd w:id="37"/>
    <w:bookmarkStart w:id="41" w:name="rubric-generalization"/>
    <w:p>
      <w:pPr>
        <w:pStyle w:val="Heading3"/>
        <w:keepNext/>
        <w:keepLines/>
        <w:widowControl w:val="1"/>
      </w:pPr>
      <w:r>
        <w:t xml:space="preserve">5.5 Rubric generalization</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39" name="Picture"/>
            <a:graphic>
              <a:graphicData uri="http://schemas.openxmlformats.org/drawingml/2006/picture">
                <pic:pic>
                  <pic:nvPicPr>
                    <pic:cNvPr descr="figures/f5_rubric_heatmap.png" id="40" name="Picture"/>
                    <pic:cNvPicPr>
                      <a:picLocks noChangeArrowheads="1" noChangeAspect="1"/>
                    </pic:cNvPicPr>
                  </pic:nvPicPr>
                  <pic:blipFill>
                    <a:blip r:embed="rId3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pStyle w:val="BodyText"/>
        <w:jc w:val="both"/>
        <w:keepNext w:val="0"/>
        <w:keepLines w:val="0"/>
        <w:widowControl w:val="1"/>
      </w:pPr>
      <w:r>
        <w:rPr>
          <w:b/>
          <w:bCs/>
        </w:rPr>
        <w:t xml:space="preserve">Finding (rubrics).</w:t>
      </w:r>
      <w:r>
        <w:t xml:space="preserve"> </w:t>
      </w:r>
      <w:r>
        <w:t xml:space="preserve">Auto-generated rubrics are task-specialized (within-task similarity</w:t>
      </w:r>
      <w:r>
        <w:t xml:space="preserve"> </w:t>
      </w:r>
      <m:oMath>
        <m:r>
          <m:t>0.342</m:t>
        </m:r>
        <m:r>
          <m:rPr>
            <m:sty m:val="p"/>
          </m:rPr>
          <m:t>&gt;</m:t>
        </m:r>
      </m:oMath>
      <w:r>
        <w:t xml:space="preserve"> </w:t>
      </w:r>
      <w:r>
        <w:t xml:space="preserve">cross-task</w:t>
      </w:r>
      <w:r>
        <w:t xml:space="preserve"> </w:t>
      </w:r>
      <m:oMath>
        <m:r>
          <m:t>0.294</m:t>
        </m:r>
      </m:oMath>
      <w:r>
        <w:t xml:space="preserve">) while sharing a universal “completeness” dimension across three tasks.</w:t>
      </w:r>
    </w:p>
    <w:bookmarkEnd w:id="41"/>
    <w:bookmarkStart w:id="42" w:name="contamination-resistance"/>
    <w:p>
      <w:pPr>
        <w:pStyle w:val="Heading3"/>
        <w:keepNext/>
        <w:keepLines/>
        <w:widowControl w:val="1"/>
      </w:pPr>
      <w:r>
        <w:t xml:space="preserve">5.6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rPr>
          <w:b/>
          <w:bCs/>
        </w:rPr>
        <w:t xml:space="preserve">Finding (contamination).</w:t>
      </w:r>
      <w:r>
        <w:t xml:space="preserve"> </w:t>
      </w:r>
      <w:r>
        <w:t xml:space="preserve">CoEval-generated items show</w:t>
      </w:r>
      <w:r>
        <w:t xml:space="preserve"> </w:t>
      </w:r>
      <m:oMath>
        <m:r>
          <m:t>0.0000</m:t>
        </m:r>
      </m:oMath>
      <w:r>
        <w:t xml:space="preserve"> </w:t>
      </w:r>
      <w:r>
        <w:t xml:space="preserve">verbatim 13-gram overlap with five</w:t>
      </w:r>
      <w:r>
        <w:t xml:space="preserve"> </w:t>
      </w:r>
      <w:r>
        <w:t xml:space="preserve">major public benchmarks (</w:t>
      </w:r>
      <m:oMath>
        <m:r>
          <m:t>n</m:t>
        </m:r>
        <m:r>
          <m:rPr>
            <m:sty m:val="p"/>
          </m:rPr>
          <m:t>=</m:t>
        </m:r>
        <m:r>
          <m:t>400</m:t>
        </m:r>
      </m:oMath>
      <w:r>
        <w:t xml:space="preserve"> </w:t>
      </w:r>
      <w:r>
        <w:t xml:space="preserve">vs</w:t>
      </w:r>
      <w:r>
        <w:t xml:space="preserve"> </w:t>
      </w:r>
      <m:oMath>
        <m:r>
          <m:t>491</m:t>
        </m:r>
      </m:oMath>
      <w:r>
        <w:t xml:space="preserve"> </w:t>
      </w:r>
      <w:r>
        <w:t xml:space="preserve">items;</w:t>
      </w:r>
      <w:r>
        <w:t xml:space="preserve"> </w:t>
      </w:r>
      <m:oMath>
        <m:r>
          <m:t>110</m:t>
        </m:r>
        <m:r>
          <m:rPr>
            <m:sty m:val="p"/>
          </m:rPr>
          <m:t>,</m:t>
        </m:r>
        <m:r>
          <m:t>784</m:t>
        </m:r>
      </m:oMath>
      <w:r>
        <w:t xml:space="preserve"> </w:t>
      </w:r>
      <w:r>
        <w:t xml:space="preserve">distinct public 13-grams), corroborating, alongside</w:t>
      </w:r>
      <w:r>
        <w:t xml:space="preserve"> </w:t>
      </w:r>
      <w:r>
        <w:t xml:space="preserve">the structural freshness guarantee, that generated evaluation items are not leaked copies of public test sets.</w:t>
      </w:r>
    </w:p>
    <w:bookmarkEnd w:id="42"/>
    <w:bookmarkStart w:id="46" w:name="cost"/>
    <w:p>
      <w:pPr>
        <w:pStyle w:val="Heading3"/>
        <w:keepNext/>
        <w:keepLines/>
        <w:widowControl w:val="1"/>
      </w:pPr>
      <w:r>
        <w:t xml:space="preserve">5.7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w:t>
      </w:r>
    </w:p>
    <w:p>
      <w:pPr>
        <w:pStyle w:val="BodyText"/>
        <w:jc w:val="center"/>
        <w:keepNext/>
        <w:keepLines/>
        <w:widowControl w:val="1"/>
      </w:pPr>
      <w:r>
        <w:drawing>
          <wp:inline>
            <wp:extent cx="4632960" cy="2987040"/>
            <wp:effectExtent b="0" l="0" r="0" t="0"/>
            <wp:docPr descr="Evaluations per dollar: CoEval versus human annotation" title="" id="44" name="Picture"/>
            <a:graphic>
              <a:graphicData uri="http://schemas.openxmlformats.org/drawingml/2006/picture">
                <pic:pic>
                  <pic:nvPicPr>
                    <pic:cNvPr descr="figures/f6_cost.png" id="45" name="Picture"/>
                    <pic:cNvPicPr>
                      <a:picLocks noChangeArrowheads="1" noChangeAspect="1"/>
                    </pic:cNvPicPr>
                  </pic:nvPicPr>
                  <pic:blipFill>
                    <a:blip r:embed="rId4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46"/>
    <w:bookmarkStart w:id="47" w:name="putting-it-together-domain-case-studies"/>
    <w:p>
      <w:pPr>
        <w:pStyle w:val="Heading3"/>
        <w:keepNext/>
        <w:keepLines/>
        <w:widowControl w:val="1"/>
      </w:pPr>
      <w:r>
        <w:t xml:space="preserve">5.8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4.</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47"/>
    <w:bookmarkEnd w:id="48"/>
    <w:bookmarkStart w:id="49"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merely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YAML file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5.8) we rely on the cross-family</w:t>
      </w:r>
      <w:r>
        <w:t xml:space="preserve"> </w:t>
      </w:r>
      <w:r>
        <w:t xml:space="preserve">ensemble and report intervals rather than a held-out gold ranking, because by assumption none exists. We study three</w:t>
      </w:r>
      <w:r>
        <w:t xml:space="preserve"> </w:t>
      </w:r>
      <w:r>
        <w:t xml:space="preserve">candidate models across six task families and three verticals; broader model pools and additional domains would further</w:t>
      </w:r>
      <w:r>
        <w:t xml:space="preserve"> </w:t>
      </w:r>
      <w:r>
        <w:t xml:space="preserve">test generality. Self-preference (Section 5.4) is handled as a structural design property rather than a measured</w:t>
      </w:r>
      <w:r>
        <w:t xml:space="preserve"> </w:t>
      </w:r>
      <w:r>
        <w:t xml:space="preserve">magnitude. And the contamination guarantee is structural (fresh per-run synthesis) with n-gram</w:t>
      </w:r>
      <w:r>
        <w:t xml:space="preserve"> </w:t>
      </w:r>
      <w:r>
        <w:t xml:space="preserve">non-duplication as corroboration, not a membership test against any model's full pretraining corpus.</w:t>
      </w:r>
    </w:p>
    <w:bookmarkEnd w:id="49"/>
    <w:bookmarkStart w:id="50"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50"/>
    <w:bookmarkStart w:id="103"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52"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51">
        <w:r>
          <w:rPr>
            <w:rStyle w:val="Hyperlink"/>
          </w:rPr>
          <w:t xml:space="preserve">arxiv.org/abs/2306.05685</w:t>
        </w:r>
      </w:hyperlink>
      <w:bookmarkEnd w:id="52"/>
    </w:p>
    <w:p>
      <w:pPr>
        <w:pStyle w:val="ReferenceEntry"/>
        <w:numPr>
          <w:ilvl w:val="0"/>
          <w:numId w:val="1002"/>
        </w:numPr>
        <w:jc w:val="left"/>
        <w:keepNext w:val="0"/>
        <w:keepLines w:val="0"/>
        <w:widowControl w:val="1"/>
      </w:pPr>
      <w:bookmarkStart w:id="54"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53">
        <w:r>
          <w:rPr>
            <w:rStyle w:val="Hyperlink"/>
          </w:rPr>
          <w:t xml:space="preserve">arxiv.org/abs/2303.16634</w:t>
        </w:r>
      </w:hyperlink>
      <w:bookmarkEnd w:id="54"/>
    </w:p>
    <w:p>
      <w:pPr>
        <w:pStyle w:val="ReferenceEntry"/>
        <w:numPr>
          <w:ilvl w:val="0"/>
          <w:numId w:val="1002"/>
        </w:numPr>
        <w:jc w:val="left"/>
        <w:keepNext w:val="0"/>
        <w:keepLines w:val="0"/>
        <w:widowControl w:val="1"/>
      </w:pPr>
      <w:bookmarkStart w:id="56"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5">
        <w:r>
          <w:rPr>
            <w:rStyle w:val="Hyperlink"/>
          </w:rPr>
          <w:t xml:space="preserve">arxiv.org/abs/2405.01535</w:t>
        </w:r>
      </w:hyperlink>
      <w:bookmarkEnd w:id="56"/>
    </w:p>
    <w:p>
      <w:pPr>
        <w:pStyle w:val="ReferenceEntry"/>
        <w:numPr>
          <w:ilvl w:val="0"/>
          <w:numId w:val="1002"/>
        </w:numPr>
        <w:jc w:val="left"/>
        <w:keepNext w:val="0"/>
        <w:keepLines w:val="0"/>
        <w:widowControl w:val="1"/>
      </w:pPr>
      <w:bookmarkStart w:id="58"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7">
        <w:r>
          <w:rPr>
            <w:rStyle w:val="Hyperlink"/>
          </w:rPr>
          <w:t xml:space="preserve">arxiv.org/abs/2407.10817</w:t>
        </w:r>
      </w:hyperlink>
      <w:bookmarkEnd w:id="58"/>
    </w:p>
    <w:p>
      <w:pPr>
        <w:pStyle w:val="ReferenceEntry"/>
        <w:numPr>
          <w:ilvl w:val="0"/>
          <w:numId w:val="1002"/>
        </w:numPr>
        <w:jc w:val="left"/>
        <w:keepNext w:val="0"/>
        <w:keepLines w:val="0"/>
        <w:widowControl w:val="1"/>
      </w:pPr>
      <w:bookmarkStart w:id="60"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9">
        <w:r>
          <w:rPr>
            <w:rStyle w:val="Hyperlink"/>
          </w:rPr>
          <w:t xml:space="preserve">arxiv.org/abs/2404.18796</w:t>
        </w:r>
      </w:hyperlink>
      <w:bookmarkEnd w:id="60"/>
    </w:p>
    <w:p>
      <w:pPr>
        <w:pStyle w:val="ReferenceEntry"/>
        <w:numPr>
          <w:ilvl w:val="0"/>
          <w:numId w:val="1002"/>
        </w:numPr>
        <w:jc w:val="left"/>
        <w:keepNext w:val="0"/>
        <w:keepLines w:val="0"/>
        <w:widowControl w:val="1"/>
      </w:pPr>
      <w:bookmarkStart w:id="62"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61">
        <w:r>
          <w:rPr>
            <w:rStyle w:val="Hyperlink"/>
          </w:rPr>
          <w:t xml:space="preserve">arxiv.org/abs/2410.12784</w:t>
        </w:r>
      </w:hyperlink>
      <w:bookmarkEnd w:id="62"/>
    </w:p>
    <w:p>
      <w:pPr>
        <w:pStyle w:val="ReferenceEntry"/>
        <w:numPr>
          <w:ilvl w:val="0"/>
          <w:numId w:val="1002"/>
        </w:numPr>
        <w:jc w:val="left"/>
        <w:keepNext w:val="0"/>
        <w:keepLines w:val="0"/>
        <w:widowControl w:val="1"/>
      </w:pPr>
      <w:bookmarkStart w:id="64"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63">
        <w:r>
          <w:rPr>
            <w:rStyle w:val="Hyperlink"/>
          </w:rPr>
          <w:t xml:space="preserve">arxiv.org/abs/2406.05761</w:t>
        </w:r>
      </w:hyperlink>
      <w:bookmarkEnd w:id="64"/>
    </w:p>
    <w:p>
      <w:pPr>
        <w:pStyle w:val="ReferenceEntry"/>
        <w:numPr>
          <w:ilvl w:val="0"/>
          <w:numId w:val="1002"/>
        </w:numPr>
        <w:jc w:val="left"/>
        <w:keepNext w:val="0"/>
        <w:keepLines w:val="0"/>
        <w:widowControl w:val="1"/>
      </w:pPr>
      <w:bookmarkStart w:id="66"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5">
        <w:r>
          <w:rPr>
            <w:rStyle w:val="Hyperlink"/>
          </w:rPr>
          <w:t xml:space="preserve">arxiv.org/abs/2404.04475</w:t>
        </w:r>
      </w:hyperlink>
      <w:bookmarkEnd w:id="66"/>
    </w:p>
    <w:p>
      <w:pPr>
        <w:pStyle w:val="ReferenceEntry"/>
        <w:numPr>
          <w:ilvl w:val="0"/>
          <w:numId w:val="1002"/>
        </w:numPr>
        <w:jc w:val="left"/>
        <w:keepNext w:val="0"/>
        <w:keepLines w:val="0"/>
        <w:widowControl w:val="1"/>
      </w:pPr>
      <w:bookmarkStart w:id="68" w:name="r9"/>
      <w:r>
        <w:t xml:space="preserve">Li, X. L., Kazemi, M., et al. (2024).</w:t>
      </w:r>
      <w:r>
        <w:t xml:space="preserve"> </w:t>
      </w:r>
      <w:r>
        <w:rPr>
          <w:i/>
          <w:iCs/>
        </w:rPr>
        <w:t xml:space="preserve">AutoBencher: Towards Declarative Benchmark Construction.</w:t>
      </w:r>
      <w:r>
        <w:t xml:space="preserve"> </w:t>
      </w:r>
      <w:hyperlink r:id="rId67">
        <w:r>
          <w:rPr>
            <w:rStyle w:val="Hyperlink"/>
          </w:rPr>
          <w:t xml:space="preserve">arxiv.org/abs/2407.08351</w:t>
        </w:r>
      </w:hyperlink>
      <w:bookmarkEnd w:id="68"/>
    </w:p>
    <w:p>
      <w:pPr>
        <w:pStyle w:val="ReferenceEntry"/>
        <w:numPr>
          <w:ilvl w:val="0"/>
          <w:numId w:val="1002"/>
        </w:numPr>
        <w:jc w:val="left"/>
        <w:keepNext w:val="0"/>
        <w:keepLines w:val="0"/>
        <w:widowControl w:val="1"/>
      </w:pPr>
      <w:bookmarkStart w:id="70"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9">
        <w:r>
          <w:rPr>
            <w:rStyle w:val="Hyperlink"/>
          </w:rPr>
          <w:t xml:space="preserve">arxiv.org/abs/2410.22584</w:t>
        </w:r>
      </w:hyperlink>
      <w:bookmarkEnd w:id="70"/>
    </w:p>
    <w:p>
      <w:pPr>
        <w:pStyle w:val="ReferenceEntry"/>
        <w:numPr>
          <w:ilvl w:val="0"/>
          <w:numId w:val="1002"/>
        </w:numPr>
        <w:jc w:val="left"/>
        <w:keepNext w:val="0"/>
        <w:keepLines w:val="0"/>
        <w:widowControl w:val="1"/>
      </w:pPr>
      <w:bookmarkStart w:id="72" w:name="r11"/>
      <w:r>
        <w:t xml:space="preserve">Shashidhar, S., et al. (2025).</w:t>
      </w:r>
      <w:r>
        <w:t xml:space="preserve"> </w:t>
      </w:r>
      <w:r>
        <w:rPr>
          <w:i/>
          <w:iCs/>
        </w:rPr>
        <w:t xml:space="preserve">YourBench: Easy Custom Evaluation Sets for Everyone.</w:t>
      </w:r>
      <w:r>
        <w:t xml:space="preserve"> </w:t>
      </w:r>
      <w:hyperlink r:id="rId71">
        <w:r>
          <w:rPr>
            <w:rStyle w:val="Hyperlink"/>
          </w:rPr>
          <w:t xml:space="preserve">arxiv.org/abs/2504.01833</w:t>
        </w:r>
      </w:hyperlink>
      <w:bookmarkEnd w:id="72"/>
    </w:p>
    <w:p>
      <w:pPr>
        <w:pStyle w:val="ReferenceEntry"/>
        <w:numPr>
          <w:ilvl w:val="0"/>
          <w:numId w:val="1002"/>
        </w:numPr>
        <w:jc w:val="left"/>
        <w:keepNext w:val="0"/>
        <w:keepLines w:val="0"/>
        <w:widowControl w:val="1"/>
      </w:pPr>
      <w:bookmarkStart w:id="74"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73">
        <w:r>
          <w:rPr>
            <w:rStyle w:val="Hyperlink"/>
          </w:rPr>
          <w:t xml:space="preserve">arxiv.org/abs/2405.00332</w:t>
        </w:r>
      </w:hyperlink>
      <w:bookmarkEnd w:id="74"/>
    </w:p>
    <w:p>
      <w:pPr>
        <w:pStyle w:val="ReferenceEntry"/>
        <w:numPr>
          <w:ilvl w:val="0"/>
          <w:numId w:val="1002"/>
        </w:numPr>
        <w:jc w:val="left"/>
        <w:keepNext w:val="0"/>
        <w:keepLines w:val="0"/>
        <w:widowControl w:val="1"/>
      </w:pPr>
      <w:bookmarkStart w:id="76" w:name="r13"/>
      <w:r>
        <w:t xml:space="preserve">Xu, C., et al. (2025).</w:t>
      </w:r>
      <w:r>
        <w:t xml:space="preserve"> </w:t>
      </w:r>
      <w:r>
        <w:rPr>
          <w:i/>
          <w:iCs/>
        </w:rPr>
        <w:t xml:space="preserve">Benchmark Data Contamination of Large Language Models: A Survey.</w:t>
      </w:r>
      <w:r>
        <w:t xml:space="preserve"> </w:t>
      </w:r>
      <w:hyperlink r:id="rId75">
        <w:r>
          <w:rPr>
            <w:rStyle w:val="Hyperlink"/>
          </w:rPr>
          <w:t xml:space="preserve">arxiv.org/abs/2502.14425</w:t>
        </w:r>
      </w:hyperlink>
      <w:bookmarkEnd w:id="76"/>
    </w:p>
    <w:p>
      <w:pPr>
        <w:pStyle w:val="ReferenceEntry"/>
        <w:numPr>
          <w:ilvl w:val="0"/>
          <w:numId w:val="1002"/>
        </w:numPr>
        <w:jc w:val="left"/>
        <w:keepNext w:val="0"/>
        <w:keepLines w:val="0"/>
        <w:widowControl w:val="1"/>
      </w:pPr>
      <w:bookmarkStart w:id="78"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7">
        <w:r>
          <w:rPr>
            <w:rStyle w:val="Hyperlink"/>
          </w:rPr>
          <w:t xml:space="preserve">arxiv.org/abs/2104.14337</w:t>
        </w:r>
      </w:hyperlink>
      <w:bookmarkEnd w:id="78"/>
    </w:p>
    <w:p>
      <w:pPr>
        <w:pStyle w:val="ReferenceEntry"/>
        <w:numPr>
          <w:ilvl w:val="0"/>
          <w:numId w:val="1002"/>
        </w:numPr>
        <w:jc w:val="left"/>
        <w:keepNext w:val="0"/>
        <w:keepLines w:val="0"/>
        <w:widowControl w:val="1"/>
      </w:pPr>
      <w:bookmarkStart w:id="80"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9">
        <w:r>
          <w:rPr>
            <w:rStyle w:val="Hyperlink"/>
          </w:rPr>
          <w:t xml:space="preserve">arxiv.org/abs/2502.01534</w:t>
        </w:r>
      </w:hyperlink>
      <w:bookmarkEnd w:id="80"/>
    </w:p>
    <w:p>
      <w:pPr>
        <w:pStyle w:val="ReferenceEntry"/>
        <w:numPr>
          <w:ilvl w:val="0"/>
          <w:numId w:val="1002"/>
        </w:numPr>
        <w:jc w:val="left"/>
        <w:keepNext w:val="0"/>
        <w:keepLines w:val="0"/>
        <w:widowControl w:val="1"/>
      </w:pPr>
      <w:bookmarkStart w:id="82"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81">
        <w:r>
          <w:rPr>
            <w:rStyle w:val="Hyperlink"/>
          </w:rPr>
          <w:t xml:space="preserve">arxiv.org/abs/2508.06709</w:t>
        </w:r>
      </w:hyperlink>
      <w:bookmarkEnd w:id="82"/>
    </w:p>
    <w:p>
      <w:pPr>
        <w:pStyle w:val="ReferenceEntry"/>
        <w:numPr>
          <w:ilvl w:val="0"/>
          <w:numId w:val="1002"/>
        </w:numPr>
        <w:jc w:val="left"/>
        <w:keepNext w:val="0"/>
        <w:keepLines w:val="0"/>
        <w:widowControl w:val="1"/>
      </w:pPr>
      <w:bookmarkStart w:id="84"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83">
        <w:r>
          <w:rPr>
            <w:rStyle w:val="Hyperlink"/>
          </w:rPr>
          <w:t xml:space="preserve">arxiv.org/abs/2410.02736</w:t>
        </w:r>
      </w:hyperlink>
      <w:bookmarkEnd w:id="84"/>
    </w:p>
    <w:p>
      <w:pPr>
        <w:pStyle w:val="ReferenceEntry"/>
        <w:numPr>
          <w:ilvl w:val="0"/>
          <w:numId w:val="1002"/>
        </w:numPr>
        <w:jc w:val="left"/>
        <w:keepNext w:val="0"/>
        <w:keepLines w:val="0"/>
        <w:widowControl w:val="1"/>
      </w:pPr>
      <w:bookmarkStart w:id="86" w:name="r18"/>
      <w:r>
        <w:t xml:space="preserve">Wataoka, K., Takahashi, T., Ri, R. (2024).</w:t>
      </w:r>
      <w:r>
        <w:t xml:space="preserve"> </w:t>
      </w:r>
      <w:r>
        <w:rPr>
          <w:i/>
          <w:iCs/>
        </w:rPr>
        <w:t xml:space="preserve">Self-Preference Bias in LLM-as-a-Judge.</w:t>
      </w:r>
      <w:r>
        <w:t xml:space="preserve"> </w:t>
      </w:r>
      <w:hyperlink r:id="rId85">
        <w:r>
          <w:rPr>
            <w:rStyle w:val="Hyperlink"/>
          </w:rPr>
          <w:t xml:space="preserve">arxiv.org/abs/2410.21819</w:t>
        </w:r>
      </w:hyperlink>
      <w:bookmarkEnd w:id="86"/>
    </w:p>
    <w:p>
      <w:pPr>
        <w:pStyle w:val="ReferenceEntry"/>
        <w:numPr>
          <w:ilvl w:val="0"/>
          <w:numId w:val="1002"/>
        </w:numPr>
        <w:jc w:val="left"/>
        <w:keepNext w:val="0"/>
        <w:keepLines w:val="0"/>
        <w:widowControl w:val="1"/>
      </w:pPr>
      <w:bookmarkStart w:id="88" w:name="r19"/>
      <w:r>
        <w:t xml:space="preserve">Gu, J., Jiang, X., Shi, Z., et al. (2024).</w:t>
      </w:r>
      <w:r>
        <w:t xml:space="preserve"> </w:t>
      </w:r>
      <w:r>
        <w:rPr>
          <w:i/>
          <w:iCs/>
        </w:rPr>
        <w:t xml:space="preserve">A Survey on LLM-as-a-Judge.</w:t>
      </w:r>
      <w:r>
        <w:t xml:space="preserve"> </w:t>
      </w:r>
      <w:hyperlink r:id="rId87">
        <w:r>
          <w:rPr>
            <w:rStyle w:val="Hyperlink"/>
          </w:rPr>
          <w:t xml:space="preserve">arxiv.org/abs/2411.15594</w:t>
        </w:r>
      </w:hyperlink>
      <w:bookmarkEnd w:id="88"/>
    </w:p>
    <w:p>
      <w:pPr>
        <w:pStyle w:val="ReferenceEntry"/>
        <w:numPr>
          <w:ilvl w:val="0"/>
          <w:numId w:val="1002"/>
        </w:numPr>
        <w:jc w:val="left"/>
        <w:keepNext w:val="0"/>
        <w:keepLines w:val="0"/>
        <w:widowControl w:val="1"/>
      </w:pPr>
      <w:bookmarkStart w:id="90"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9">
        <w:r>
          <w:rPr>
            <w:rStyle w:val="Hyperlink"/>
          </w:rPr>
          <w:t xml:space="preserve">arxiv.org/abs/2411.16594</w:t>
        </w:r>
      </w:hyperlink>
      <w:bookmarkEnd w:id="90"/>
    </w:p>
    <w:p>
      <w:pPr>
        <w:pStyle w:val="ReferenceEntry"/>
        <w:numPr>
          <w:ilvl w:val="0"/>
          <w:numId w:val="1002"/>
        </w:numPr>
        <w:jc w:val="left"/>
        <w:keepNext w:val="0"/>
        <w:keepLines w:val="0"/>
        <w:widowControl w:val="1"/>
      </w:pPr>
      <w:bookmarkStart w:id="92"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91">
        <w:r>
          <w:rPr>
            <w:rStyle w:val="Hyperlink"/>
          </w:rPr>
          <w:t xml:space="preserve">arxiv.org/abs/2308.07201</w:t>
        </w:r>
      </w:hyperlink>
      <w:bookmarkEnd w:id="92"/>
    </w:p>
    <w:p>
      <w:pPr>
        <w:pStyle w:val="ReferenceEntry"/>
        <w:numPr>
          <w:ilvl w:val="0"/>
          <w:numId w:val="1002"/>
        </w:numPr>
        <w:jc w:val="left"/>
        <w:keepNext w:val="0"/>
        <w:keepLines w:val="0"/>
        <w:widowControl w:val="1"/>
      </w:pPr>
      <w:bookmarkStart w:id="94"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93">
        <w:r>
          <w:rPr>
            <w:rStyle w:val="Hyperlink"/>
          </w:rPr>
          <w:t xml:space="preserve">arxiv.org/abs/2406.19314</w:t>
        </w:r>
      </w:hyperlink>
      <w:bookmarkEnd w:id="94"/>
    </w:p>
    <w:p>
      <w:pPr>
        <w:pStyle w:val="ReferenceEntry"/>
        <w:numPr>
          <w:ilvl w:val="0"/>
          <w:numId w:val="1002"/>
        </w:numPr>
        <w:jc w:val="left"/>
        <w:keepNext w:val="0"/>
        <w:keepLines w:val="0"/>
        <w:widowControl w:val="1"/>
      </w:pPr>
      <w:bookmarkStart w:id="96"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5">
        <w:r>
          <w:rPr>
            <w:rStyle w:val="Hyperlink"/>
          </w:rPr>
          <w:t xml:space="preserve">arxiv.org/abs/2403.07974</w:t>
        </w:r>
      </w:hyperlink>
      <w:bookmarkEnd w:id="96"/>
    </w:p>
    <w:p>
      <w:pPr>
        <w:pStyle w:val="ReferenceEntry"/>
        <w:numPr>
          <w:ilvl w:val="0"/>
          <w:numId w:val="1002"/>
        </w:numPr>
        <w:jc w:val="left"/>
        <w:keepNext w:val="0"/>
        <w:keepLines w:val="0"/>
        <w:widowControl w:val="1"/>
      </w:pPr>
      <w:bookmarkStart w:id="98"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7">
        <w:r>
          <w:rPr>
            <w:rStyle w:val="Hyperlink"/>
          </w:rPr>
          <w:t xml:space="preserve">arxiv.org/abs/2504.03846</w:t>
        </w:r>
      </w:hyperlink>
      <w:bookmarkEnd w:id="98"/>
    </w:p>
    <w:p>
      <w:pPr>
        <w:pStyle w:val="ReferenceEntry"/>
        <w:numPr>
          <w:ilvl w:val="0"/>
          <w:numId w:val="1002"/>
        </w:numPr>
        <w:jc w:val="left"/>
        <w:keepNext w:val="0"/>
        <w:keepLines w:val="0"/>
        <w:widowControl w:val="1"/>
      </w:pPr>
      <w:bookmarkStart w:id="100"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9">
        <w:r>
          <w:rPr>
            <w:rStyle w:val="Hyperlink"/>
          </w:rPr>
          <w:t xml:space="preserve">arxiv.org/abs/2408.08808</w:t>
        </w:r>
      </w:hyperlink>
      <w:bookmarkEnd w:id="100"/>
    </w:p>
    <w:p>
      <w:pPr>
        <w:pStyle w:val="ReferenceEntry"/>
        <w:numPr>
          <w:ilvl w:val="0"/>
          <w:numId w:val="1002"/>
        </w:numPr>
        <w:jc w:val="left"/>
        <w:keepNext w:val="0"/>
        <w:keepLines w:val="0"/>
        <w:widowControl w:val="1"/>
      </w:pPr>
      <w:bookmarkStart w:id="102" w:name="r26"/>
      <w:r>
        <w:t xml:space="preserve">Li, Y., et al. (2025).</w:t>
      </w:r>
      <w:r>
        <w:t xml:space="preserve"> </w:t>
      </w:r>
      <w:r>
        <w:rPr>
          <w:i/>
          <w:iCs/>
        </w:rPr>
        <w:t xml:space="preserve">Leveraging LLMs as Meta-Judges: A Multi-Agent Framework.</w:t>
      </w:r>
      <w:r>
        <w:t xml:space="preserve"> </w:t>
      </w:r>
      <w:hyperlink r:id="rId101">
        <w:r>
          <w:rPr>
            <w:rStyle w:val="Hyperlink"/>
          </w:rPr>
          <w:t xml:space="preserve">arxiv.org/abs/2504.17087</w:t>
        </w:r>
      </w:hyperlink>
      <w:bookmarkEnd w:id="102"/>
    </w:p>
    <w:p>
      <w:pPr>
        <w:pStyle w:val="ReferenceEntry"/>
        <w:jc w:val="left"/>
        <w:keepNext w:val="0"/>
        <w:keepLines w:val="0"/>
        <w:widowControl w:val="1"/>
      </w:pPr>
      <w:r>
        <w:t xml:space="preserve">Preprint. Generated HTML build. © 2026 Alexander Apartsin &amp; Yehudit Aperstein.</w:t>
      </w:r>
    </w:p>
    <w:bookmarkEnd w:id="103"/>
    <w:bookmarkStart w:id="119" w:name="appendix-a-interactive-report-gallery"/>
    <w:p>
      <w:pPr>
        <w:pStyle w:val="Heading2"/>
        <w:keepNext/>
        <w:keepLines/>
        <w:widowControl w:val="1"/>
      </w:pPr>
      <w:r>
        <w:t xml:space="preserve">Appendix A: Interactive Report Gallery</w:t>
      </w:r>
    </w:p>
    <w:p>
      <w:pPr>
        <w:pStyle w:val="FirstParagraph"/>
        <w:jc w:val="both"/>
        <w:keepNext w:val="0"/>
        <w:keepLines w:val="0"/>
        <w:widowControl w:val="1"/>
      </w:pPr>
      <w:r>
        <w:t xml:space="preserve">Every CoEval run emits a suite of self-contained, interactive HTML reports (no external dependencies) alongside a</w:t>
      </w:r>
      <w:r>
        <w:t xml:space="preserve"> </w:t>
      </w:r>
      <w:r>
        <w:t xml:space="preserve">machine-readable benchmark export. The panels below are drawn from the four-task study of Section 5. They are</w:t>
      </w:r>
      <w:r>
        <w:t xml:space="preserve"> </w:t>
      </w:r>
      <w:r>
        <w:t xml:space="preserve">illustrative; the live reports support filtering, drill-down, and CSV export.</w:t>
      </w:r>
    </w:p>
    <w:p>
      <w:pPr>
        <w:pStyle w:val="BodyText"/>
        <w:jc w:val="center"/>
        <w:keepNext/>
        <w:keepLines/>
        <w:widowControl w:val="1"/>
      </w:pPr>
      <w:r>
        <w:drawing>
          <wp:inline>
            <wp:extent cx="5943600" cy="6605886"/>
            <wp:effectExtent b="0" l="0" r="0" t="0"/>
            <wp:docPr descr="CoEval summary dashboard" title="" id="105" name="Picture"/>
            <a:graphic>
              <a:graphicData uri="http://schemas.openxmlformats.org/drawingml/2006/picture">
                <pic:pic>
                  <pic:nvPicPr>
                    <pic:cNvPr descr="figures/gallery_fig_summary.png" id="106" name="Picture"/>
                    <pic:cNvPicPr>
                      <a:picLocks noChangeArrowheads="1" noChangeAspect="1"/>
                    </pic:cNvPicPr>
                  </pic:nvPicPr>
                  <pic:blipFill>
                    <a:blip r:embed="rId104"/>
                    <a:stretch>
                      <a:fillRect/>
                    </a:stretch>
                  </pic:blipFill>
                  <pic:spPr bwMode="auto">
                    <a:xfrm>
                      <a:off x="0" y="0"/>
                      <a:ext cx="5943600" cy="6605886"/>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A1.</w:t>
      </w:r>
      <w:r>
        <w:t xml:space="preserve"> </w:t>
      </w:r>
      <w:r>
        <w:t xml:space="preserve">Summary dashboard: model rankings, confidence intervals, and navigation.</w:t>
      </w:r>
    </w:p>
    <w:p>
      <w:pPr>
        <w:pStyle w:val="BodyText"/>
        <w:jc w:val="center"/>
        <w:keepNext/>
        <w:keepLines/>
        <w:widowControl w:val="1"/>
      </w:pPr>
      <w:r>
        <w:drawing>
          <wp:inline>
            <wp:extent cx="5943600" cy="7225719"/>
            <wp:effectExtent b="0" l="0" r="0" t="0"/>
            <wp:docPr descr="Judge agreement and reliability report" title="" id="108" name="Picture"/>
            <a:graphic>
              <a:graphicData uri="http://schemas.openxmlformats.org/drawingml/2006/picture">
                <pic:pic>
                  <pic:nvPicPr>
                    <pic:cNvPr descr="figures/gallery_fig_judge_report.png" id="109" name="Picture"/>
                    <pic:cNvPicPr>
                      <a:picLocks noChangeArrowheads="1" noChangeAspect="1"/>
                    </pic:cNvPicPr>
                  </pic:nvPicPr>
                  <pic:blipFill>
                    <a:blip r:embed="rId107"/>
                    <a:stretch>
                      <a:fillRect/>
                    </a:stretch>
                  </pic:blipFill>
                  <pic:spPr bwMode="auto">
                    <a:xfrm>
                      <a:off x="0" y="0"/>
                      <a:ext cx="5943600" cy="7225719"/>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A2.</w:t>
      </w:r>
      <w:r>
        <w:t xml:space="preserve"> </w:t>
      </w:r>
      <w:r>
        <w:t xml:space="preserve">Judge report: pairwise agreement, calibration, and reliability per judge.</w:t>
      </w:r>
    </w:p>
    <w:p>
      <w:pPr>
        <w:pStyle w:val="BodyText"/>
        <w:jc w:val="center"/>
        <w:keepNext/>
        <w:keepLines/>
        <w:widowControl w:val="1"/>
      </w:pPr>
      <w:r>
        <w:drawing>
          <wp:inline>
            <wp:extent cx="5943600" cy="9229561"/>
            <wp:effectExtent b="0" l="0" r="0" t="0"/>
            <wp:docPr descr="Attribute coverage summary report" title="" id="111" name="Picture"/>
            <a:graphic>
              <a:graphicData uri="http://schemas.openxmlformats.org/drawingml/2006/picture">
                <pic:pic>
                  <pic:nvPicPr>
                    <pic:cNvPr descr="figures/gallery_fig_coverage_summary.png" id="112" name="Picture"/>
                    <pic:cNvPicPr>
                      <a:picLocks noChangeArrowheads="1" noChangeAspect="1"/>
                    </pic:cNvPicPr>
                  </pic:nvPicPr>
                  <pic:blipFill>
                    <a:blip r:embed="rId110"/>
                    <a:stretch>
                      <a:fillRect/>
                    </a:stretch>
                  </pic:blipFill>
                  <pic:spPr bwMode="auto">
                    <a:xfrm>
                      <a:off x="0" y="0"/>
                      <a:ext cx="5943600" cy="9229561"/>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A3.</w:t>
      </w:r>
      <w:r>
        <w:t xml:space="preserve"> </w:t>
      </w:r>
      <w:r>
        <w:t xml:space="preserve">Coverage summary: attribute-coverage ratio and rare-stratum recall per task.</w:t>
      </w:r>
    </w:p>
    <w:p>
      <w:pPr>
        <w:pStyle w:val="BodyText"/>
        <w:jc w:val="center"/>
        <w:keepNext/>
        <w:keepLines/>
        <w:widowControl w:val="1"/>
      </w:pPr>
      <w:r>
        <w:drawing>
          <wp:inline>
            <wp:extent cx="5943600" cy="10974432"/>
            <wp:effectExtent b="0" l="0" r="0" t="0"/>
            <wp:docPr descr="Score distribution report" title="" id="114" name="Picture"/>
            <a:graphic>
              <a:graphicData uri="http://schemas.openxmlformats.org/drawingml/2006/picture">
                <pic:pic>
                  <pic:nvPicPr>
                    <pic:cNvPr descr="figures/gallery_fig_score_distribution.png" id="115" name="Picture"/>
                    <pic:cNvPicPr>
                      <a:picLocks noChangeArrowheads="1" noChangeAspect="1"/>
                    </pic:cNvPicPr>
                  </pic:nvPicPr>
                  <pic:blipFill>
                    <a:blip r:embed="rId113"/>
                    <a:stretch>
                      <a:fillRect/>
                    </a:stretch>
                  </pic:blipFill>
                  <pic:spPr bwMode="auto">
                    <a:xfrm>
                      <a:off x="0" y="0"/>
                      <a:ext cx="5943600" cy="1097443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A4.</w:t>
      </w:r>
      <w:r>
        <w:t xml:space="preserve"> </w:t>
      </w:r>
      <w:r>
        <w:t xml:space="preserve">Score distribution: High/Medium/Low histograms, filterable by task and role.</w:t>
      </w:r>
    </w:p>
    <w:p>
      <w:pPr>
        <w:pStyle w:val="BodyText"/>
        <w:jc w:val="center"/>
        <w:keepNext/>
        <w:keepLines/>
        <w:widowControl w:val="1"/>
      </w:pPr>
      <w:r>
        <w:drawing>
          <wp:inline>
            <wp:extent cx="5943600" cy="7824324"/>
            <wp:effectExtent b="0" l="0" r="0" t="0"/>
            <wp:docPr descr="Teacher-student interaction matrix" title="" id="117" name="Picture"/>
            <a:graphic>
              <a:graphicData uri="http://schemas.openxmlformats.org/drawingml/2006/picture">
                <pic:pic>
                  <pic:nvPicPr>
                    <pic:cNvPr descr="figures/gallery_fig_interaction_matrix.png" id="118" name="Picture"/>
                    <pic:cNvPicPr>
                      <a:picLocks noChangeArrowheads="1" noChangeAspect="1"/>
                    </pic:cNvPicPr>
                  </pic:nvPicPr>
                  <pic:blipFill>
                    <a:blip r:embed="rId116"/>
                    <a:stretch>
                      <a:fillRect/>
                    </a:stretch>
                  </pic:blipFill>
                  <pic:spPr bwMode="auto">
                    <a:xfrm>
                      <a:off x="0" y="0"/>
                      <a:ext cx="5943600" cy="7824324"/>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A5.</w:t>
      </w:r>
      <w:r>
        <w:t xml:space="preserve"> </w:t>
      </w:r>
      <w:r>
        <w:t xml:space="preserve">Interaction matrix: teacher×student pair quality heatmap.</w:t>
      </w:r>
    </w:p>
    <w:bookmarkEnd w:id="119"/>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9" Type="http://schemas.openxmlformats.org/officeDocument/2006/relationships/image" Target="media/rId29.png"/><Relationship Id="rId33" Type="http://schemas.openxmlformats.org/officeDocument/2006/relationships/image" Target="media/rId33.png"/><Relationship Id="rId25" Type="http://schemas.openxmlformats.org/officeDocument/2006/relationships/image" Target="media/rId25.png"/><Relationship Id="rId38" Type="http://schemas.openxmlformats.org/officeDocument/2006/relationships/image" Target="media/rId38.png"/><Relationship Id="rId43" Type="http://schemas.openxmlformats.org/officeDocument/2006/relationships/image" Target="media/rId43.png"/><Relationship Id="rId110" Type="http://schemas.openxmlformats.org/officeDocument/2006/relationships/image" Target="media/rId110.png"/><Relationship Id="rId116" Type="http://schemas.openxmlformats.org/officeDocument/2006/relationships/image" Target="media/rId116.png"/><Relationship Id="rId107" Type="http://schemas.openxmlformats.org/officeDocument/2006/relationships/image" Target="media/rId107.png"/><Relationship Id="rId113" Type="http://schemas.openxmlformats.org/officeDocument/2006/relationships/image" Target="media/rId113.png"/><Relationship Id="rId104" Type="http://schemas.openxmlformats.org/officeDocument/2006/relationships/image" Target="media/rId104.png"/><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CoEval.docx" TargetMode="External"/><Relationship Id="rId77" Type="http://schemas.openxmlformats.org/officeDocument/2006/relationships/hyperlink" Target="https://arxiv.org/abs/2104.14337" TargetMode="External"/><Relationship Id="rId53" Type="http://schemas.openxmlformats.org/officeDocument/2006/relationships/hyperlink" Target="https://arxiv.org/abs/2303.16634" TargetMode="External"/><Relationship Id="rId51" Type="http://schemas.openxmlformats.org/officeDocument/2006/relationships/hyperlink" Target="https://arxiv.org/abs/2306.05685" TargetMode="External"/><Relationship Id="rId91" Type="http://schemas.openxmlformats.org/officeDocument/2006/relationships/hyperlink" Target="https://arxiv.org/abs/2308.07201" TargetMode="External"/><Relationship Id="rId95" Type="http://schemas.openxmlformats.org/officeDocument/2006/relationships/hyperlink" Target="https://arxiv.org/abs/2403.07974" TargetMode="External"/><Relationship Id="rId65" Type="http://schemas.openxmlformats.org/officeDocument/2006/relationships/hyperlink" Target="https://arxiv.org/abs/2404.04475" TargetMode="External"/><Relationship Id="rId59" Type="http://schemas.openxmlformats.org/officeDocument/2006/relationships/hyperlink" Target="https://arxiv.org/abs/2404.18796" TargetMode="External"/><Relationship Id="rId73" Type="http://schemas.openxmlformats.org/officeDocument/2006/relationships/hyperlink" Target="https://arxiv.org/abs/2405.00332" TargetMode="External"/><Relationship Id="rId55" Type="http://schemas.openxmlformats.org/officeDocument/2006/relationships/hyperlink" Target="https://arxiv.org/abs/2405.01535" TargetMode="External"/><Relationship Id="rId63" Type="http://schemas.openxmlformats.org/officeDocument/2006/relationships/hyperlink" Target="https://arxiv.org/abs/2406.05761" TargetMode="External"/><Relationship Id="rId93" Type="http://schemas.openxmlformats.org/officeDocument/2006/relationships/hyperlink" Target="https://arxiv.org/abs/2406.19314" TargetMode="External"/><Relationship Id="rId67" Type="http://schemas.openxmlformats.org/officeDocument/2006/relationships/hyperlink" Target="https://arxiv.org/abs/2407.08351" TargetMode="External"/><Relationship Id="rId57" Type="http://schemas.openxmlformats.org/officeDocument/2006/relationships/hyperlink" Target="https://arxiv.org/abs/2407.10817" TargetMode="External"/><Relationship Id="rId99" Type="http://schemas.openxmlformats.org/officeDocument/2006/relationships/hyperlink" Target="https://arxiv.org/abs/2408.08808" TargetMode="External"/><Relationship Id="rId83" Type="http://schemas.openxmlformats.org/officeDocument/2006/relationships/hyperlink" Target="https://arxiv.org/abs/2410.02736" TargetMode="External"/><Relationship Id="rId61" Type="http://schemas.openxmlformats.org/officeDocument/2006/relationships/hyperlink" Target="https://arxiv.org/abs/2410.12784" TargetMode="External"/><Relationship Id="rId85" Type="http://schemas.openxmlformats.org/officeDocument/2006/relationships/hyperlink" Target="https://arxiv.org/abs/2410.21819" TargetMode="External"/><Relationship Id="rId69" Type="http://schemas.openxmlformats.org/officeDocument/2006/relationships/hyperlink" Target="https://arxiv.org/abs/2410.22584" TargetMode="External"/><Relationship Id="rId87" Type="http://schemas.openxmlformats.org/officeDocument/2006/relationships/hyperlink" Target="https://arxiv.org/abs/2411.15594" TargetMode="External"/><Relationship Id="rId89" Type="http://schemas.openxmlformats.org/officeDocument/2006/relationships/hyperlink" Target="https://arxiv.org/abs/2411.16594" TargetMode="External"/><Relationship Id="rId79" Type="http://schemas.openxmlformats.org/officeDocument/2006/relationships/hyperlink" Target="https://arxiv.org/abs/2502.01534" TargetMode="External"/><Relationship Id="rId75" Type="http://schemas.openxmlformats.org/officeDocument/2006/relationships/hyperlink" Target="https://arxiv.org/abs/2502.14425" TargetMode="External"/><Relationship Id="rId71" Type="http://schemas.openxmlformats.org/officeDocument/2006/relationships/hyperlink" Target="https://arxiv.org/abs/2504.01833" TargetMode="External"/><Relationship Id="rId97" Type="http://schemas.openxmlformats.org/officeDocument/2006/relationships/hyperlink" Target="https://arxiv.org/abs/2504.03846" TargetMode="External"/><Relationship Id="rId101" Type="http://schemas.openxmlformats.org/officeDocument/2006/relationships/hyperlink" Target="https://arxiv.org/abs/2504.17087" TargetMode="External"/><Relationship Id="rId81" Type="http://schemas.openxmlformats.org/officeDocument/2006/relationships/hyperlink" Target="https://arxiv.org/abs/2508.067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2026-06-01T09:04:33Z</dcterms:created>
  <dcterms:modified xsi:type="dcterms:W3CDTF">2026-06-01T09:04:33Z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