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2)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One cannot</w:t>
      </w:r>
      <w:r>
        <w:t xml:space="preserve"> </w:t>
      </w:r>
      <w:r>
        <w:t xml:space="preserve">pick the right single judge in advance: across our tasks a single judge's correlation with the reference ranges from</w:t>
      </w:r>
      <w:r>
        <w:t xml:space="preserve"> </w:t>
      </w:r>
      <w:r>
        <w:t xml:space="preserve">anti-correlated (</w:t>
      </w:r>
      <m:oMath>
        <m:r>
          <m:t>ρ</m:t>
        </m:r>
        <m:r>
          <m:rPr>
            <m:sty m:val="p"/>
          </m:rPr>
          <m:t>=</m:t>
        </m:r>
        <m:r>
          <m:rPr>
            <m:sty m:val="p"/>
          </m:rPr>
          <m:t>−</m:t>
        </m:r>
        <m:r>
          <m:t>0.006</m:t>
        </m:r>
      </m:oMath>
      <w:r>
        <w:t xml:space="preserve">) to moderate (</w:t>
      </w:r>
      <m:oMath>
        <m:r>
          <m:t>ρ</m:t>
        </m:r>
        <m:r>
          <m:rPr>
            <m:sty m:val="p"/>
          </m:rPr>
          <m:t>=</m:t>
        </m:r>
        <m:r>
          <m:rPr>
            <m:sty m:val="p"/>
          </m:rPr>
          <m:t>+</m:t>
        </m:r>
        <m:r>
          <m:t>0.249</m:t>
        </m:r>
      </m:oMath>
      <w:r>
        <w:t xml:space="preserve">), a spread of</w:t>
      </w:r>
      <w:r>
        <w:t xml:space="preserve"> </w:t>
      </w:r>
      <m:oMath>
        <m:r>
          <m:t>0.255</m:t>
        </m:r>
      </m:oMath>
      <w:r>
        <w:t xml:space="preserve">, and the best judge changes by</w:t>
      </w:r>
      <w:r>
        <w:t xml:space="preserve"> </w:t>
      </w:r>
      <w:r>
        <w:t xml:space="preserve">task, so the cross-family ensemble is the low-regret choice that is never anti-correlated.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2).</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The design prevents a failure we measure directly. In the vertical case studies (Section 5.8) the panel includes</w:t>
      </w:r>
      <w:r>
        <w:t xml:space="preserve"> </w:t>
      </w:r>
      <w:r>
        <w:rPr>
          <w:rStyle w:val="VerbatimChar"/>
        </w:rPr>
        <w:t xml:space="preserve">gpt-4o-mini</w:t>
      </w:r>
      <w:r>
        <w:t xml:space="preserve"> </w:t>
      </w:r>
      <w:r>
        <w:t xml:space="preserve">as both a judge and a candidate, which isolates self-preference as a</w:t>
      </w:r>
      <w:r>
        <w:t xml:space="preserve"> </w:t>
      </w:r>
      <w:r>
        <w:t xml:space="preserve">difference-in-differences that controls for a judge's overall harshness: on clinical reasoning the</w:t>
      </w:r>
      <w:r>
        <w:t xml:space="preserve"> </w:t>
      </w:r>
      <w:r>
        <w:rPr>
          <w:rStyle w:val="VerbatimChar"/>
        </w:rPr>
        <w:t xml:space="preserve">gpt-4o-mini</w:t>
      </w:r>
      <w:r>
        <w:t xml:space="preserve"> </w:t>
      </w:r>
      <w:r>
        <w:t xml:space="preserve">judge rates the</w:t>
      </w:r>
      <w:r>
        <w:t xml:space="preserve"> </w:t>
      </w:r>
      <w:r>
        <w:rPr>
          <w:rStyle w:val="VerbatimChar"/>
        </w:rPr>
        <w:t xml:space="preserve">gpt-4o-mini</w:t>
      </w:r>
      <w:r>
        <w:t xml:space="preserve"> </w:t>
      </w:r>
      <w:r>
        <w:t xml:space="preserve">candidate</w:t>
      </w:r>
      <w:r>
        <w:t xml:space="preserve"> </w:t>
      </w:r>
      <m:oMath>
        <m:r>
          <m:t>0.038</m:t>
        </m:r>
      </m:oMath>
      <w:r>
        <w:t xml:space="preserve"> </w:t>
      </w:r>
      <w:r>
        <w:t xml:space="preserve">higher (normalized</w:t>
      </w:r>
      <w:r>
        <w:t xml:space="preserve"> </w:t>
      </w:r>
      <m:oMath>
        <m:r>
          <m:rPr>
            <m:sty m:val="p"/>
          </m:rPr>
          <m:t>[</m:t>
        </m:r>
        <m:r>
          <m:t>0</m:t>
        </m:r>
        <m:r>
          <m:rPr>
            <m:sty m:val="p"/>
          </m:rPr>
          <m:t>,</m:t>
        </m:r>
        <m:r>
          <m:t>1</m:t>
        </m:r>
        <m:r>
          <m:rPr>
            <m:sty m:val="p"/>
          </m:rPr>
          <m:t>]</m:t>
        </m:r>
      </m:oMath>
      <w:r>
        <w:t xml:space="preserve">) than</w:t>
      </w:r>
      <w:r>
        <w:t xml:space="preserve"> </w:t>
      </w:r>
      <w:r>
        <w:t xml:space="preserve">the two cross-family judges rate it. That margin</w:t>
      </w:r>
      <w:r>
        <w:t xml:space="preserve"> </w:t>
      </w:r>
      <w:r>
        <w:rPr>
          <w:i/>
          <w:iCs/>
        </w:rPr>
        <w:t xml:space="preserve">flips the top rank</w:t>
      </w:r>
      <w:r>
        <w:t xml:space="preserve">: the same-family judge alone ranks</w:t>
      </w:r>
      <w:r>
        <w:t xml:space="preserve"> </w:t>
      </w:r>
      <w:r>
        <w:rPr>
          <w:rStyle w:val="VerbatimChar"/>
        </w:rPr>
        <w:t xml:space="preserve">gpt-4o-mini</w:t>
      </w:r>
      <w:r>
        <w:t xml:space="preserve"> </w:t>
      </w:r>
      <w:r>
        <w:t xml:space="preserve">first, while the cross-family judges rank</w:t>
      </w:r>
      <w:r>
        <w:t xml:space="preserve"> </w:t>
      </w:r>
      <w:r>
        <w:rPr>
          <w:rStyle w:val="VerbatimChar"/>
        </w:rPr>
        <w:t xml:space="preserve">gpt-3.5-turbo</w:t>
      </w:r>
      <w:r>
        <w:t xml:space="preserve"> </w:t>
      </w:r>
      <w:r>
        <w:t xml:space="preserve">first. A practitioner</w:t>
      </w:r>
      <w:r>
        <w:t xml:space="preserve"> </w:t>
      </w:r>
      <w:r>
        <w:t xml:space="preserve">relying on a single same-family judge is thus handed a self-serving, incorrect ranking; CoEval's vendor-disjoint</w:t>
      </w:r>
      <w:r>
        <w:t xml:space="preserve"> </w:t>
      </w:r>
      <w:r>
        <w:t xml:space="preserve">panel removes the effect by construction.</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A single same-family judge inflates its own family by</w:t>
      </w:r>
      <w:r>
        <w:t xml:space="preserve"> </w:t>
      </w:r>
      <m:oMath>
        <m:r>
          <m:t>0.038</m:t>
        </m:r>
      </m:oMath>
      <w:r>
        <w:t xml:space="preserve"> </w:t>
      </w:r>
      <w:r>
        <w:t xml:space="preserve">(difference-in-differences), enough to flip the top-ranked model; CoEval's vendor-disjoint panel structurally</w:t>
      </w:r>
      <w:r>
        <w:t xml:space="preserve"> </w:t>
      </w:r>
      <w:r>
        <w:t xml:space="preserve">precludes this, and vendor-disjoint aggregation leaves every cross-family ranking unchanged (scores shift</w:t>
      </w:r>
      <w:r>
        <w:t xml:space="preserve"> </w:t>
      </w:r>
      <m:oMath>
        <m:r>
          <m:rPr>
            <m:sty m:val="p"/>
          </m:rPr>
          <m:t>≤</m:t>
        </m:r>
        <m:r>
          <m:t>0.015</m:t>
        </m:r>
      </m:oMath>
      <w:r>
        <w:t xml:space="preserve">).</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true capability).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5.6); a verbatim n-gram test is not a membership test</w:t>
      </w:r>
      <w:r>
        <w:t xml:space="preserve"> </w:t>
      </w:r>
      <w:r>
        <w:t xml:space="preserve">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2026-06-02T05:16:41Z</dcterms:created>
  <dcterms:modified xsi:type="dcterms:W3CDTF">2026-06-02T05:16:41Z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