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 Word (.docx)</w:t>
        </w:r>
      </w:hyperlink>
    </w:p>
    <w:bookmarkStart w:id="10" w:name="Xab5dd0b7b022e0e3b4332f7f482ca1588b7b75a"/>
    <w:p>
      <w:pPr>
        <w:pStyle w:val="Title"/>
        <w:spacing w:before="0" w:after="160"/>
        <w:jc w:val="center"/>
        <w:keepNext/>
        <w:keepLines/>
        <w:widowControl w:val="1"/>
      </w:pPr>
      <w:r>
        <w:t xml:space="preserve">CoEval: Ranking Language Models for Custom Tasks</w:t>
      </w:r>
      <w:r>
        <w:br/>
      </w:r>
      <w:r>
        <w:t xml:space="preserve">Without Labeled Data or Trustworthy Benchmarks</w:t>
      </w:r>
    </w:p>
    <w:p>
      <w:pPr>
        <w:pStyle w:val="Subtitle"/>
        <w:spacing w:before="0" w:after="40"/>
        <w:jc w:val="center"/>
        <w:keepNext/>
        <w:keepLines/>
        <w:widowControl w:val="1"/>
      </w:pPr>
      <w:r>
        <w:t xml:space="preserve">Alexander Apartsin</w:t>
      </w:r>
    </w:p>
    <w:p>
      <w:pPr>
        <w:pStyle w:val="Subtitle"/>
        <w:spacing w:before="0" w:after="160"/>
        <w:jc w:val="center"/>
        <w:keepNext w:val="0"/>
        <w:keepLines/>
        <w:widowControl w:val="1"/>
      </w:pPr>
      <w:r>
        <w:rPr>
          <w:sz w:val="20"/>
        </w:rPr>
        <w:t xml:space="preserve">Holon Institute of Technology, Israel</w:t>
      </w:r>
    </w:p>
    <w:p>
      <w:pPr>
        <w:pStyle w:val="BodyText"/>
        <w:jc w:val="both"/>
        <w:keepNext w:val="0"/>
        <w:keepLines w:val="0"/>
        <w:widowControl w:val="1"/>
      </w:pPr>
      <w:r>
        <w:t xml:space="preserve">Yehudit Aperstein</w:t>
      </w:r>
    </w:p>
    <w:p>
      <w:pPr>
        <w:pStyle w:val="BodyText"/>
        <w:jc w:val="both"/>
        <w:keepNext w:val="0"/>
        <w:keepLines w:val="0"/>
        <w:widowControl w:val="1"/>
      </w:pPr>
      <w:r>
        <w:t xml:space="preserve">Afeka Tel Aviv Academic College of Engineering, Israel</w:t>
      </w:r>
    </w:p>
    <w:bookmarkEnd w:id="10"/>
    <w:bookmarkStart w:id="11" w:name="abstract"/>
    <w:p>
      <w:pPr>
        <w:pStyle w:val="AbstractLabel"/>
        <w:jc w:val="center"/>
        <w:keepNext/>
        <w:keepLines/>
        <w:widowControl w:val="1"/>
      </w:pPr>
      <w:r>
        <w:t xml:space="preserve">Abstract</w:t>
      </w:r>
    </w:p>
    <w:p>
      <w:pPr>
        <w:pStyle w:val="FirstParagraph"/>
        <w:jc w:val="both"/>
        <w:keepNext w:val="0"/>
        <w:keepLines w:val="0"/>
        <w:widowControl w:val="1"/>
      </w:pPr>
      <w:r>
        <w:t xml:space="preserve">Choosing or ranking language models for a specific application is hardest when it matters most: when</w:t>
      </w:r>
      <w:r>
        <w:t xml:space="preserve"> </w:t>
      </w:r>
      <w:r>
        <w:rPr>
          <w:i/>
          <w:iCs/>
        </w:rPr>
        <w:t xml:space="preserve">no task-specific labeled data exists</w:t>
      </w:r>
      <w:r>
        <w:t xml:space="preserve"> </w:t>
      </w:r>
      <w:r>
        <w:t xml:space="preserve">to build an evaluation set, and when</w:t>
      </w:r>
      <w:r>
        <w:t xml:space="preserve"> </w:t>
      </w:r>
      <w:r>
        <w:rPr>
          <w:i/>
          <w:iCs/>
        </w:rPr>
        <w:t xml:space="preserve">standard public benchmarks</w:t>
      </w:r>
      <w:r>
        <w:rPr>
          <w:i/>
          <w:iCs/>
        </w:rPr>
        <w:t xml:space="preserve"> </w:t>
      </w:r>
      <w:r>
        <w:rPr>
          <w:i/>
          <w:iCs/>
        </w:rPr>
        <w:t xml:space="preserve">cannot be trusted</w:t>
      </w:r>
      <w:r>
        <w:t xml:space="preserve"> </w:t>
      </w:r>
      <w:r>
        <w:t xml:space="preserve">because their items have likely leaked into pretraining, so leaderboard numbers may reflect</w:t>
      </w:r>
      <w:r>
        <w:t xml:space="preserve"> </w:t>
      </w:r>
      <w:r>
        <w:t xml:space="preserve">memorization rather than fitness for the use case. We present</w:t>
      </w:r>
      <w:r>
        <w:t xml:space="preserve"> </w:t>
      </w:r>
      <w:r>
        <w:rPr>
          <w:b/>
          <w:bCs/>
        </w:rPr>
        <w:t xml:space="preserve">CoEval</w:t>
      </w:r>
      <w:r>
        <w:t xml:space="preserve">, an open-source framework that</w:t>
      </w:r>
      <w:r>
        <w:t xml:space="preserve"> </w:t>
      </w:r>
      <w:r>
        <w:t xml:space="preserve">addresses both conditions: from only a description of a task or domain, teacher models synthesize a fresh,</w:t>
      </w:r>
      <w:r>
        <w:t xml:space="preserve"> </w:t>
      </w:r>
      <w:r>
        <w:t xml:space="preserve">attribute-controlled benchmark—</w:t>
      </w:r>
      <w:r>
        <w:rPr>
          <w:i/>
          <w:iCs/>
        </w:rPr>
        <w:t xml:space="preserve">no human labels</w:t>
      </w:r>
      <w:r>
        <w:t xml:space="preserve">, and contamination-free because items are generated</w:t>
      </w:r>
      <w:r>
        <w:t xml:space="preserve"> </w:t>
      </w:r>
      <w:r>
        <w:t xml:space="preserve">anew per run—and a cross-family judge ensemble ranks candidate models with no human raters. We validate the</w:t>
      </w:r>
      <w:r>
        <w:t xml:space="preserve"> </w:t>
      </w:r>
      <w:r>
        <w:t xml:space="preserve">tool where ground truth happens to exist, then trust it where it does not: CoEval recovers the true model ranking</w:t>
      </w:r>
      <w:r>
        <w:t xml:space="preserve"> </w:t>
      </w:r>
      <w:r>
        <w:t xml:space="preserve">with no labeled data and its label-free scores track ground-truth correctness at</w:t>
      </w:r>
      <w:r>
        <w:t xml:space="preserve"> </w:t>
      </w:r>
      <m:oMath>
        <m:r>
          <m:t>ρ</m:t>
        </m:r>
        <m:r>
          <m:rPr>
            <m:sty m:val="p"/>
          </m:rPr>
          <m:t>=</m:t>
        </m:r>
        <m:r>
          <m:t>0.86</m:t>
        </m:r>
      </m:oMath>
      <w:r>
        <w:t xml:space="preserve">. A complementary</w:t>
      </w:r>
      <w:r>
        <w:t xml:space="preserve"> </w:t>
      </w:r>
      <w:r>
        <w:t xml:space="preserve">technical finding makes the label-free judging reliable without human calibration: judge-panel</w:t>
      </w:r>
      <w:r>
        <w:t xml:space="preserve"> </w:t>
      </w:r>
      <w:r>
        <w:rPr>
          <w:i/>
          <w:iCs/>
        </w:rPr>
        <w:t xml:space="preserve">composition</w:t>
      </w:r>
      <w:r>
        <w:t xml:space="preserve">—diversity across vendor families—rather than panel</w:t>
      </w:r>
      <w:r>
        <w:t xml:space="preserve"> </w:t>
      </w:r>
      <w:r>
        <w:rPr>
          <w:i/>
          <w:iCs/>
        </w:rPr>
        <w:t xml:space="preserve">size</w:t>
      </w:r>
      <w:r>
        <w:t xml:space="preserve"> </w:t>
      </w:r>
      <w:r>
        <w:t xml:space="preserve">determines</w:t>
      </w:r>
      <w:r>
        <w:t xml:space="preserve"> </w:t>
      </w:r>
      <w:r>
        <w:t xml:space="preserve">reliability, and indiscriminately enlarging a panel can</w:t>
      </w:r>
      <w:r>
        <w:t xml:space="preserve"> </w:t>
      </w:r>
      <w:r>
        <w:rPr>
          <w:i/>
          <w:iCs/>
        </w:rPr>
        <w:t xml:space="preserve">reduce</w:t>
      </w:r>
      <w:r>
        <w:t xml:space="preserve"> </w:t>
      </w:r>
      <w:r>
        <w:t xml:space="preserve">it (inter-rater reliability peaks at two</w:t>
      </w:r>
      <w:r>
        <w:t xml:space="preserve"> </w:t>
      </w:r>
      <w:r>
        <w:t xml:space="preserve">well-chosen judges and falls as low-agreement judges are added, exactly matching the Spearman–Brown relation).</w:t>
      </w:r>
      <w:r>
        <w:t xml:space="preserve"> </w:t>
      </w:r>
      <w:r>
        <w:t xml:space="preserve">CoEval factors evaluation into three interchangeable roles —</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w:t>
      </w:r>
      <w:r>
        <w:t xml:space="preserve">— and runs any models across sixteen provider interfaces from one configuration file; generated items have</w:t>
      </w:r>
      <w:r>
        <w:t xml:space="preserve"> </w:t>
      </w:r>
      <m:oMath>
        <m:r>
          <m:t>0.0000</m:t>
        </m:r>
      </m:oMath>
      <w:r>
        <w:t xml:space="preserve"> </w:t>
      </w:r>
      <w:r>
        <w:t xml:space="preserve">verbatim 13-gram overlap with five major public benchmarks. Across a four-task medium-scale</w:t>
      </w:r>
      <w:r>
        <w:t xml:space="preserve"> </w:t>
      </w:r>
      <w:r>
        <w:t xml:space="preserve">study, CoEval produced 7,978 valid evaluations at a total cost of USD 5.89 with no human annotation. We show that the</w:t>
      </w:r>
      <w:r>
        <w:t xml:space="preserve"> </w:t>
      </w:r>
      <w:r>
        <w:t xml:space="preserve">ensemble removes a verbosity bias that no single judge avoids (mean per-judge</w:t>
      </w:r>
      <w:r>
        <w:t xml:space="preserve"> </w:t>
      </w:r>
      <m:oMath>
        <m:r>
          <m:rPr>
            <m:sty m:val="p"/>
          </m:rPr>
          <m:t>|</m:t>
        </m:r>
        <m:r>
          <m:t>r</m:t>
        </m:r>
        <m:r>
          <m:rPr>
            <m:sty m:val="p"/>
          </m:rPr>
          <m:t>|</m:t>
        </m:r>
        <m:r>
          <m:rPr>
            <m:sty m:val="p"/>
          </m:rPr>
          <m:t>=</m:t>
        </m:r>
        <m:r>
          <m:t>0.153</m:t>
        </m:r>
      </m:oMath>
      <w:r>
        <w:t xml:space="preserve"> </w:t>
      </w:r>
      <w:r>
        <w:t xml:space="preserve">collapses to an ensemble</w:t>
      </w:r>
      <w:r>
        <w:t xml:space="preserve"> </w:t>
      </w:r>
      <m:oMath>
        <m:r>
          <m:t>r</m:t>
        </m:r>
        <m:r>
          <m:rPr>
            <m:sty m:val="p"/>
          </m:rPr>
          <m:t>=</m:t>
        </m:r>
        <m:r>
          <m:rPr>
            <m:sty m:val="p"/>
          </m:rPr>
          <m:t>+</m:t>
        </m:r>
        <m:r>
          <m:t>0.010</m:t>
        </m:r>
      </m:oMath>
      <w:r>
        <w:t xml:space="preserve"> </w:t>
      </w:r>
      <w:r>
        <w:t xml:space="preserve">with a bootstrap CI spanning zero, a 93% reduction) and structurally precludes same-family</w:t>
      </w:r>
      <w:r>
        <w:t xml:space="preserve"> </w:t>
      </w:r>
      <w:r>
        <w:t xml:space="preserve">self-preference, while producing task-specialized rubrics that share a universal quality core. On objective</w:t>
      </w:r>
      <w:r>
        <w:t xml:space="preserve"> </w:t>
      </w:r>
      <w:r>
        <w:t xml:space="preserve">exact-match QA the frontier cross-family ensemble tracks ground-truth correctness at</w:t>
      </w:r>
      <w:r>
        <w:t xml:space="preserve"> </w:t>
      </w:r>
      <m:oMath>
        <m:r>
          <m:t>ρ</m:t>
        </m:r>
        <m:r>
          <m:rPr>
            <m:sty m:val="p"/>
          </m:rPr>
          <m:t>=</m:t>
        </m:r>
        <m:r>
          <m:t>0.86</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 with vendor-independent agreement. This non-monotone reliability result—adding low-agreement judges</w:t>
      </w:r>
      <w:r>
        <w:t xml:space="preserve"> </w:t>
      </w:r>
      <w:r>
        <w:rPr>
          <w:i/>
          <w:iCs/>
        </w:rPr>
        <w:t xml:space="preserve">reduces</w:t>
      </w:r>
      <w:r>
        <w:t xml:space="preserve"> </w:t>
      </w:r>
      <w:r>
        <w:t xml:space="preserve">reliability—is what lets a small, well-chosen cross-family panel serve as a trustworthy, label-free substitute for a contaminated leaderboard.</w:t>
      </w:r>
    </w:p>
    <w:bookmarkEnd w:id="11"/>
    <w:bookmarkStart w:id="12"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choosing a language model for a specific application—summarizing clinical notes, answering</w:t>
      </w:r>
      <w:r>
        <w:t xml:space="preserve"> </w:t>
      </w:r>
      <w:r>
        <w:t xml:space="preserve">questions over an internal knowledge base, triaging support tickets for a particular product—faces a</w:t>
      </w:r>
      <w:r>
        <w:t xml:space="preserve"> </w:t>
      </w:r>
      <w:r>
        <w:t xml:space="preserve">deceptively simple question:</w:t>
      </w:r>
      <w:r>
        <w:t xml:space="preserve"> </w:t>
      </w:r>
      <w:r>
        <w:rPr>
          <w:i/>
          <w:iCs/>
        </w:rPr>
        <w:t xml:space="preserve">which model is best for my use case?</w:t>
      </w:r>
      <w:r>
        <w:t xml:space="preserve"> </w:t>
      </w:r>
      <w:r>
        <w:t xml:space="preserve">Answering it well requires an evaluation</w:t>
      </w:r>
      <w:r>
        <w:t xml:space="preserve"> </w:t>
      </w:r>
      <w:r>
        <w:t xml:space="preserve">set that reflects that use case, and two common conditions make this hard. First, there is often</w:t>
      </w:r>
      <w:r>
        <w:t xml:space="preserve"> </w:t>
      </w:r>
      <w:r>
        <w:rPr>
          <w:i/>
          <w:iCs/>
        </w:rPr>
        <w:t xml:space="preserve">no task-specific</w:t>
      </w:r>
      <w:r>
        <w:rPr>
          <w:i/>
          <w:iCs/>
        </w:rPr>
        <w:t xml:space="preserve"> </w:t>
      </w:r>
      <w:r>
        <w:rPr>
          <w:i/>
          <w:iCs/>
        </w:rPr>
        <w:t xml:space="preserve">labeled data</w:t>
      </w:r>
      <w:r>
        <w:t xml:space="preserve">: building a representative benchmark by hand is slow and costly, and for a new or proprietary domain</w:t>
      </w:r>
      <w:r>
        <w:t xml:space="preserve"> </w:t>
      </w:r>
      <w:r>
        <w:t xml:space="preserve">it may not exist at all. Second, even where a related public benchmark exists, its numbers may not be trustworthy:</w:t>
      </w:r>
      <w:r>
        <w:t xml:space="preserve"> </w:t>
      </w:r>
      <w:r>
        <w:t xml:space="preserve">popular benchmarks are increasingly</w:t>
      </w:r>
      <w:r>
        <w:t xml:space="preserve"> </w:t>
      </w:r>
      <w:r>
        <w:rPr>
          <w:i/>
          <w:iCs/>
        </w:rPr>
        <w:t xml:space="preserve">contaminated</w:t>
      </w:r>
      <w:r>
        <w:t xml:space="preserve">, their items having leaked into pretraining corpora, so a</w:t>
      </w:r>
      <w:r>
        <w:t xml:space="preserve"> </w:t>
      </w:r>
      <w:r>
        <w:t xml:space="preserve">high score can reflect memorization rather than capability</w:t>
      </w:r>
      <w:r>
        <w:t xml:space="preserve"> </w:t>
      </w:r>
      <w:hyperlink w:anchor="r12">
        <w:r>
          <w:rPr>
            <w:rStyle w:val="Hyperlink"/>
            <w:vertAlign w:val="superscript"/>
          </w:rPr>
          <w:t xml:space="preserve">[12]</w:t>
        </w:r>
      </w:hyperlink>
      <w:hyperlink w:anchor="r13">
        <w:r>
          <w:rPr>
            <w:rStyle w:val="Hyperlink"/>
            <w:vertAlign w:val="superscript"/>
          </w:rPr>
          <w:t xml:space="preserve">[13]</w:t>
        </w:r>
      </w:hyperlink>
      <w:r>
        <w:t xml:space="preserve">.</w:t>
      </w:r>
      <w:r>
        <w:t xml:space="preserve"> </w:t>
      </w:r>
      <w:r>
        <w:t xml:space="preserve">When both hold—no data</w:t>
      </w:r>
      <w:r>
        <w:t xml:space="preserve"> </w:t>
      </w:r>
      <w:r>
        <w:rPr>
          <w:i/>
          <w:iCs/>
        </w:rPr>
        <w:t xml:space="preserve">and</w:t>
      </w:r>
      <w:r>
        <w:t xml:space="preserve"> </w:t>
      </w:r>
      <w:r>
        <w:t xml:space="preserve">no benchmark one can trust—the practitioner is stuck.</w:t>
      </w:r>
      <w:r>
        <w:t xml:space="preserve"> </w:t>
      </w:r>
      <w:r>
        <w:rPr>
          <w:b/>
          <w:bCs/>
        </w:rPr>
        <w:t xml:space="preserve">CoEval</w:t>
      </w:r>
      <w:r>
        <w:t xml:space="preserve"> </w:t>
      </w:r>
      <w:r>
        <w:t xml:space="preserve">is built for exactly this situation: it generates a fresh, domain-targeted evaluation from a task description and</w:t>
      </w:r>
      <w:r>
        <w:t xml:space="preserve"> </w:t>
      </w:r>
      <w:r>
        <w:t xml:space="preserve">ranks candidate models on it, with no labels and no contaminated items.</w:t>
      </w:r>
    </w:p>
    <w:p>
      <w:pPr>
        <w:pStyle w:val="BodyText"/>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w:t>
      </w:r>
      <w:r>
        <w:t xml:space="preserve"> </w:t>
      </w:r>
      <w:hyperlink w:anchor="r12">
        <w:r>
          <w:rPr>
            <w:rStyle w:val="Hyperlink"/>
            <w:vertAlign w:val="superscript"/>
          </w:rPr>
          <w:t xml:space="preserve">[12]</w:t>
        </w:r>
      </w:hyperlink>
      <w:hyperlink w:anchor="r13">
        <w:r>
          <w:rPr>
            <w:rStyle w:val="Hyperlink"/>
            <w:vertAlign w:val="superscript"/>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w:t>
      </w:r>
      <w:r>
        <w:t xml:space="preserve"> </w:t>
      </w:r>
      <w:hyperlink w:anchor="r1">
        <w:r>
          <w:rPr>
            <w:rStyle w:val="Hyperlink"/>
            <w:vertAlign w:val="superscript"/>
          </w:rPr>
          <w:t xml:space="preserve">[1]</w:t>
        </w:r>
      </w:hyperlink>
      <w:hyperlink w:anchor="r2">
        <w:r>
          <w:rPr>
            <w:rStyle w:val="Hyperlink"/>
            <w:vertAlign w:val="superscript"/>
          </w:rPr>
          <w:t xml:space="preserve">[2]</w:t>
        </w:r>
      </w:hyperlink>
      <w:r>
        <w:t xml:space="preserve"> </w:t>
      </w:r>
      <w:r>
        <w:t xml:space="preserve">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hyperlink w:anchor="r8">
        <w:r>
          <w:rPr>
            <w:rStyle w:val="Hyperlink"/>
            <w:vertAlign w:val="superscript"/>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 the rigidity of static benchmarks and the bias of single judges —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that:</w:t>
      </w:r>
    </w:p>
    <w:p>
      <w:pPr>
        <w:pStyle w:val="Compact"/>
        <w:numPr>
          <w:ilvl w:val="0"/>
          <w:numId w:val="1001"/>
        </w:numPr>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w:t>
      </w:r>
    </w:p>
    <w:p>
      <w:pPr>
        <w:pStyle w:val="Compact"/>
        <w:numPr>
          <w:ilvl w:val="0"/>
          <w:numId w:val="1001"/>
        </w:numPr>
        <w:jc w:val="both"/>
        <w:keepNext w:val="0"/>
        <w:keepLines w:val="0"/>
        <w:widowControl w:val="1"/>
      </w:pPr>
      <w:r>
        <w:rPr>
          <w:b/>
          <w:bCs/>
        </w:rPr>
        <w:t xml:space="preserve">(2) Composition over size in cross-family judge ensembles.</w:t>
      </w:r>
      <w:r>
        <w:t xml:space="preserve"> </w:t>
      </w:r>
      <w:r>
        <w:t xml:space="preserve">Responses are scored by judges drawn</w:t>
      </w:r>
      <w:r>
        <w:t xml:space="preserve"> </w:t>
      </w:r>
      <w:r>
        <w:t xml:space="preserve">from distinct model vendors. Our central finding is that</w:t>
      </w:r>
      <w:r>
        <w:t xml:space="preserve"> </w:t>
      </w:r>
      <w:r>
        <w:rPr>
          <w:i/>
          <w:iCs/>
        </w:rPr>
        <w:t xml:space="preserve">composition</w:t>
      </w:r>
      <w:r>
        <w:t xml:space="preserve"> </w:t>
      </w:r>
      <w:r>
        <w:t xml:space="preserve">(vendor diversity), not 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w:t>
      </w:r>
    </w:p>
    <w:p>
      <w:pPr>
        <w:pStyle w:val="Compact"/>
        <w:numPr>
          <w:ilvl w:val="0"/>
          <w:numId w:val="1001"/>
        </w:numPr>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jc w:val="both"/>
        <w:keepNext w:val="0"/>
        <w:keepLines w:val="0"/>
        <w:widowControl w:val="1"/>
      </w:pPr>
      <w:r>
        <w:rPr>
          <w:b/>
          <w:bCs/>
        </w:rPr>
        <w:t xml:space="preserve">(4) An open, declarative system that ranks models from one file.</w:t>
      </w:r>
      <w:r>
        <w:t xml:space="preserve"> </w:t>
      </w:r>
      <w:r>
        <w:t xml:space="preserve">CoEval is model-agnostic and</w:t>
      </w:r>
      <w:r>
        <w:t xml:space="preserve"> </w:t>
      </w:r>
      <w:r>
        <w:t xml:space="preserve">task-agnostic: any model reachable through one of sixteen provider interfaces (cloud, open-weight, or local) can</w:t>
      </w:r>
      <w:r>
        <w:t xml:space="preserve"> </w:t>
      </w:r>
      <w:r>
        <w:t xml:space="preserve">serve as teacher, student, or judge, and a task or domain is described declaratively. Ranking a family of candidate</w:t>
      </w:r>
      <w:r>
        <w:t xml:space="preserve"> </w:t>
      </w:r>
      <w:r>
        <w:t xml:space="preserve">models on a custom use case is a single command, and we demonstrate (Section 5.1, Table 2) that CoEval</w:t>
      </w:r>
      <w:r>
        <w:t xml:space="preserve"> </w:t>
      </w:r>
      <w:r>
        <w:t xml:space="preserve">recovers the correct ground-truth ranking. The whole pipeline is specified in one YAML file and is fully</w:t>
      </w:r>
      <w:r>
        <w:t xml:space="preserve"> </w:t>
      </w:r>
      <w:r>
        <w:t xml:space="preserve">reproducible and open-source.</w:t>
      </w:r>
    </w:p>
    <w:p>
      <w:pPr>
        <w:pStyle w:val="FirstParagraph"/>
        <w:jc w:val="both"/>
        <w:keepNext w:val="0"/>
        <w:keepLines w:val="0"/>
        <w:widowControl w:val="1"/>
      </w:pPr>
      <w:r>
        <w:t xml:space="preserve">CoEval requires no human annotation. In a four-task medium-scale study it produced 7,978 valid evaluations for</w:t>
      </w:r>
      <w:r>
        <w:t xml:space="preserve"> </w:t>
      </w:r>
      <w:r>
        <w:t xml:space="preserve">USD 5.89 end-to-end.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and rubric generalization.</w:t>
      </w:r>
    </w:p>
    <w:bookmarkEnd w:id="12"/>
    <w:bookmarkStart w:id="15"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w:t>
      </w:r>
      <w:r>
        <w:t xml:space="preserve"> </w:t>
      </w:r>
      <w:hyperlink w:anchor="r12">
        <w:r>
          <w:rPr>
            <w:rStyle w:val="Hyperlink"/>
            <w:vertAlign w:val="superscript"/>
          </w:rPr>
          <w:t xml:space="preserve">[12]</w:t>
        </w:r>
      </w:hyperlink>
      <w:r>
        <w:t xml:space="preserve">,</w:t>
      </w:r>
      <w:r>
        <w:t xml:space="preserve"> </w:t>
      </w:r>
      <w:r>
        <w:t xml:space="preserve">contamination surveys</w:t>
      </w:r>
      <w:r>
        <w:t xml:space="preserve"> </w:t>
      </w:r>
      <w:hyperlink w:anchor="r13">
        <w:r>
          <w:rPr>
            <w:rStyle w:val="Hyperlink"/>
            <w:vertAlign w:val="superscript"/>
          </w:rPr>
          <w:t xml:space="preserve">[13]</w:t>
        </w:r>
      </w:hyperlink>
      <w:r>
        <w:t xml:space="preserve">), which has driven continuously-refreshed</w:t>
      </w:r>
      <w:r>
        <w:t xml:space="preserve"> </w:t>
      </w:r>
      <w:r>
        <w:rPr>
          <w:i/>
          <w:iCs/>
        </w:rPr>
        <w:t xml:space="preserve">live</w:t>
      </w:r>
      <w:r>
        <w:t xml:space="preserve"> </w:t>
      </w:r>
      <w:r>
        <w:t xml:space="preserve">benchmarks (LiveBench</w:t>
      </w:r>
      <w:r>
        <w:t xml:space="preserve"> </w:t>
      </w:r>
      <w:hyperlink w:anchor="r22">
        <w:r>
          <w:rPr>
            <w:rStyle w:val="Hyperlink"/>
            <w:vertAlign w:val="superscript"/>
          </w:rPr>
          <w:t xml:space="preserve">[22]</w:t>
        </w:r>
      </w:hyperlink>
      <w:r>
        <w:t xml:space="preserve">, LiveCodeBench</w:t>
      </w:r>
      <w:r>
        <w:t xml:space="preserve"> </w:t>
      </w:r>
      <w:hyperlink w:anchor="r23">
        <w:r>
          <w:rPr>
            <w:rStyle w:val="Hyperlink"/>
            <w:vertAlign w:val="superscript"/>
          </w:rPr>
          <w:t xml:space="preserve">[23]</w:t>
        </w:r>
      </w:hyperlink>
      <w:r>
        <w:t xml:space="preserve">) and</w:t>
      </w:r>
      <w:r>
        <w:t xml:space="preserve"> </w:t>
      </w:r>
      <w:r>
        <w:t xml:space="preserve">exposed leakage on the judge side as well (Preference Leakage</w:t>
      </w:r>
      <w:r>
        <w:t xml:space="preserve"> </w:t>
      </w:r>
      <w:hyperlink w:anchor="r15">
        <w:r>
          <w:rPr>
            <w:rStyle w:val="Hyperlink"/>
            <w:vertAlign w:val="superscript"/>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hyperlink w:anchor="r9">
        <w:r>
          <w:rPr>
            <w:rStyle w:val="Hyperlink"/>
            <w:vertAlign w:val="superscript"/>
          </w:rPr>
          <w:t xml:space="preserve">[9]</w:t>
        </w:r>
      </w:hyperlink>
      <w:r>
        <w:t xml:space="preserve">, BenchAgents</w:t>
      </w:r>
      <w:r>
        <w:t xml:space="preserve"> </w:t>
      </w:r>
      <w:hyperlink w:anchor="r10">
        <w:r>
          <w:rPr>
            <w:rStyle w:val="Hyperlink"/>
            <w:vertAlign w:val="superscript"/>
          </w:rPr>
          <w:t xml:space="preserve">[10]</w:t>
        </w:r>
      </w:hyperlink>
      <w:r>
        <w:t xml:space="preserve">, YourBench</w:t>
      </w:r>
      <w:r>
        <w:t xml:space="preserve"> </w:t>
      </w:r>
      <w:hyperlink w:anchor="r11">
        <w:r>
          <w:rPr>
            <w:rStyle w:val="Hyperlink"/>
            <w:vertAlign w:val="superscript"/>
          </w:rPr>
          <w:t xml:space="preserve">[11]</w:t>
        </w:r>
      </w:hyperlink>
      <w:r>
        <w:t xml:space="preserve">, domain-specific construction</w:t>
      </w:r>
      <w:r>
        <w:t xml:space="preserve"> </w:t>
      </w:r>
      <w:hyperlink w:anchor="r25">
        <w:r>
          <w:rPr>
            <w:rStyle w:val="Hyperlink"/>
            <w:vertAlign w:val="superscript"/>
          </w:rPr>
          <w:t xml:space="preserve">[25]</w:t>
        </w:r>
      </w:hyperlink>
      <w:r>
        <w:t xml:space="preserve">).</w:t>
      </w:r>
      <w:r>
        <w:t xml:space="preserve"> </w:t>
      </w:r>
      <w:r>
        <w:t xml:space="preserve">(iii) </w:t>
      </w:r>
      <w:r>
        <w:rPr>
          <w:i/>
          <w:iCs/>
        </w:rPr>
        <w:t xml:space="preserve">LLM-as-judge</w:t>
      </w:r>
      <w:r>
        <w:t xml:space="preserve"> </w:t>
      </w:r>
      <w:r>
        <w:t xml:space="preserve">methods (G-Eval</w:t>
      </w:r>
      <w:r>
        <w:t xml:space="preserve"> </w:t>
      </w:r>
      <w:hyperlink w:anchor="r2">
        <w:r>
          <w:rPr>
            <w:rStyle w:val="Hyperlink"/>
            <w:vertAlign w:val="superscript"/>
          </w:rPr>
          <w:t xml:space="preserve">[2]</w:t>
        </w:r>
      </w:hyperlink>
      <w:r>
        <w:t xml:space="preserve">, Prometheus 2</w:t>
      </w:r>
      <w:r>
        <w:t xml:space="preserve"> </w:t>
      </w:r>
      <w:hyperlink w:anchor="r3">
        <w:r>
          <w:rPr>
            <w:rStyle w:val="Hyperlink"/>
            <w:vertAlign w:val="superscript"/>
          </w:rPr>
          <w:t xml:space="preserve">[3]</w:t>
        </w:r>
      </w:hyperlink>
      <w:r>
        <w:t xml:space="preserve">, panels</w:t>
      </w:r>
      <w:r>
        <w:t xml:space="preserve"> </w:t>
      </w:r>
      <w:hyperlink w:anchor="r5">
        <w:r>
          <w:rPr>
            <w:rStyle w:val="Hyperlink"/>
            <w:vertAlign w:val="superscript"/>
          </w:rPr>
          <w:t xml:space="preserve">[5]</w:t>
        </w:r>
      </w:hyperlink>
      <w:r>
        <w:t xml:space="preserve">) provide label-free scoring but inherit</w:t>
      </w:r>
      <w:r>
        <w:t xml:space="preserve"> </w:t>
      </w:r>
      <w:r>
        <w:t xml:space="preserve">individual-judge biases. CoEval is, to our knowledge, the first to combine all three—contamination-free,</w:t>
      </w:r>
      <w:r>
        <w:t xml:space="preserve"> </w:t>
      </w:r>
      <w:r>
        <w:t xml:space="preserve">label-free, domain-targeted generation with a reliability-controlled cross-family judge ensemble—into a single</w:t>
      </w:r>
      <w:r>
        <w:t xml:space="preserve"> </w:t>
      </w:r>
      <w:r>
        <w:t xml:space="preserve">tool aimed at the no-data, untrusted-benchmark regime. We detail each line below.</w:t>
      </w:r>
    </w:p>
    <w:bookmarkStart w:id="13"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w:t>
      </w:r>
      <w:r>
        <w:t xml:space="preserve"> </w:t>
      </w:r>
      <w:hyperlink w:anchor="r1">
        <w:r>
          <w:rPr>
            <w:rStyle w:val="Hyperlink"/>
            <w:vertAlign w:val="superscript"/>
          </w:rPr>
          <w:t xml:space="preserve">[1]</w:t>
        </w:r>
      </w:hyperlink>
      <w:r>
        <w:t xml:space="preserve"> </w:t>
      </w:r>
      <w:r>
        <w:t xml:space="preserve">established LLM-as-judge as a scalable proxy for human</w:t>
      </w:r>
      <w:r>
        <w:t xml:space="preserve"> </w:t>
      </w:r>
      <w:r>
        <w:t xml:space="preserve">preference, and documented its biases. G-Eval</w:t>
      </w:r>
      <w:r>
        <w:t xml:space="preserve"> </w:t>
      </w:r>
      <w:hyperlink w:anchor="r2">
        <w:r>
          <w:rPr>
            <w:rStyle w:val="Hyperlink"/>
            <w:vertAlign w:val="superscript"/>
          </w:rPr>
          <w:t xml:space="preserve">[2]</w:t>
        </w:r>
      </w:hyperlink>
      <w:r>
        <w:t xml:space="preserve"> </w:t>
      </w:r>
      <w:r>
        <w:t xml:space="preserve">uses a single strong model with</w:t>
      </w:r>
      <w:r>
        <w:t xml:space="preserve"> </w:t>
      </w:r>
      <w:r>
        <w:t xml:space="preserve">chain-of-thought to score generation quality against a user-supplied rubric, while Prometheus 2</w:t>
      </w:r>
      <w:r>
        <w:t xml:space="preserve"> </w:t>
      </w:r>
      <w:hyperlink w:anchor="r3">
        <w:r>
          <w:rPr>
            <w:rStyle w:val="Hyperlink"/>
            <w:vertAlign w:val="superscript"/>
          </w:rPr>
          <w:t xml:space="preserve">[3]</w:t>
        </w:r>
      </w:hyperlink>
      <w:r>
        <w:t xml:space="preserve"> </w:t>
      </w:r>
      <w:r>
        <w:t xml:space="preserve">trains a dedicated open evaluator.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w:t>
      </w:r>
      <w:r>
        <w:t xml:space="preserve"> </w:t>
      </w:r>
      <w:hyperlink w:anchor="r4">
        <w:r>
          <w:rPr>
            <w:rStyle w:val="Hyperlink"/>
            <w:vertAlign w:val="superscript"/>
          </w:rPr>
          <w:t xml:space="preserve">[4]</w:t>
        </w:r>
      </w:hyperlink>
      <w:r>
        <w:t xml:space="preserve"> </w:t>
      </w:r>
      <w:r>
        <w:t xml:space="preserve">and JudgeBench</w:t>
      </w:r>
      <w:r>
        <w:t xml:space="preserve"> </w:t>
      </w:r>
      <w:hyperlink w:anchor="r6">
        <w:r>
          <w:rPr>
            <w:rStyle w:val="Hyperlink"/>
            <w:vertAlign w:val="superscript"/>
          </w:rPr>
          <w:t xml:space="preserve">[6]</w:t>
        </w:r>
      </w:hyperlink>
      <w:r>
        <w:t xml:space="preserve"> </w:t>
      </w:r>
      <w:r>
        <w:t xml:space="preserve">study the reliability of judge models, and BiGGen-Bench</w:t>
      </w:r>
      <w:r>
        <w:t xml:space="preserve"> </w:t>
      </w:r>
      <w:hyperlink w:anchor="r7">
        <w:r>
          <w:rPr>
            <w:rStyle w:val="Hyperlink"/>
            <w:vertAlign w:val="superscript"/>
          </w:rPr>
          <w:t xml:space="preserve">[7]</w:t>
        </w:r>
      </w:hyperlink>
      <w:r>
        <w:t xml:space="preserve"> </w:t>
      </w:r>
      <w:r>
        <w:t xml:space="preserve">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w:t>
      </w:r>
      <w:r>
        <w:t xml:space="preserve"> </w:t>
      </w:r>
      <w:hyperlink w:anchor="r5">
        <w:r>
          <w:rPr>
            <w:rStyle w:val="Hyperlink"/>
            <w:vertAlign w:val="superscript"/>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w:t>
      </w:r>
      <w:r>
        <w:t xml:space="preserve"> </w:t>
      </w:r>
      <w:hyperlink w:anchor="r21">
        <w:r>
          <w:rPr>
            <w:rStyle w:val="Hyperlink"/>
            <w:vertAlign w:val="superscript"/>
          </w:rPr>
          <w:t xml:space="preserve">[21]</w:t>
        </w:r>
      </w:hyperlink>
      <w:r>
        <w:t xml:space="preserve"> </w:t>
      </w:r>
      <w:r>
        <w:t xml:space="preserve">and</w:t>
      </w:r>
      <w:r>
        <w:t xml:space="preserve"> </w:t>
      </w:r>
      <w:r>
        <w:t xml:space="preserve">meta-judge frameworks</w:t>
      </w:r>
      <w:r>
        <w:t xml:space="preserve"> </w:t>
      </w:r>
      <w:hyperlink w:anchor="r26">
        <w:r>
          <w:rPr>
            <w:rStyle w:val="Hyperlink"/>
            <w:vertAlign w:val="superscript"/>
          </w:rPr>
          <w:t xml:space="preserve">[26]</w:t>
        </w:r>
      </w:hyperlink>
      <w:r>
        <w:t xml:space="preserve"> </w:t>
      </w:r>
      <w:r>
        <w:t xml:space="preserve">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hyperlink w:anchor="r15">
        <w:r>
          <w:rPr>
            <w:rStyle w:val="Hyperlink"/>
            <w:vertAlign w:val="superscript"/>
          </w:rPr>
          <w:t xml:space="preserve">[15]</w:t>
        </w:r>
      </w:hyperlink>
      <w:r>
        <w:t xml:space="preserve"> </w:t>
      </w:r>
      <w:r>
        <w:t xml:space="preserve">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hyperlink w:anchor="r16">
        <w:r>
          <w:rPr>
            <w:rStyle w:val="Hyperlink"/>
            <w:vertAlign w:val="superscript"/>
          </w:rPr>
          <w:t xml:space="preserve">[16]</w:t>
        </w:r>
      </w:hyperlink>
      <w:r>
        <w:t xml:space="preserve"> </w:t>
      </w:r>
      <w:r>
        <w:t xml:space="preserve">measures this same-family bias statistically, finding that frontier models favor</w:t>
      </w:r>
      <w:r>
        <w:t xml:space="preserve"> </w:t>
      </w:r>
      <w:r>
        <w:t xml:space="preserve">same-family outputs. Self-preference has been characterized mechanistically</w:t>
      </w:r>
      <w:r>
        <w:t xml:space="preserve"> </w:t>
      </w:r>
      <w:hyperlink w:anchor="r18">
        <w:r>
          <w:rPr>
            <w:rStyle w:val="Hyperlink"/>
            <w:vertAlign w:val="superscript"/>
          </w:rPr>
          <w:t xml:space="preserve">[18]</w:t>
        </w:r>
      </w:hyperlink>
      <w:r>
        <w:t xml:space="preserve"> </w:t>
      </w:r>
      <w:r>
        <w:t xml:space="preserve">and</w:t>
      </w:r>
      <w:r>
        <w:t xml:space="preserve"> </w:t>
      </w:r>
      <w:r>
        <w:t xml:space="preserve">partly attributed to legitimate capability rather than pure bias</w:t>
      </w:r>
      <w:r>
        <w:t xml:space="preserve"> </w:t>
      </w:r>
      <w:hyperlink w:anchor="r24">
        <w:r>
          <w:rPr>
            <w:rStyle w:val="Hyperlink"/>
            <w:vertAlign w:val="superscript"/>
          </w:rPr>
          <w:t xml:space="preserve">[24]</w:t>
        </w:r>
      </w:hyperlink>
      <w:r>
        <w:t xml:space="preserve">. Broad bias</w:t>
      </w:r>
      <w:r>
        <w:t xml:space="preserve"> </w:t>
      </w:r>
      <w:r>
        <w:t xml:space="preserve">taxonomies</w:t>
      </w:r>
      <w:r>
        <w:t xml:space="preserve"> </w:t>
      </w:r>
      <w:hyperlink w:anchor="r17">
        <w:r>
          <w:rPr>
            <w:rStyle w:val="Hyperlink"/>
            <w:vertAlign w:val="superscript"/>
          </w:rPr>
          <w:t xml:space="preserve">[17]</w:t>
        </w:r>
      </w:hyperlink>
      <w:r>
        <w:t xml:space="preserve"> </w:t>
      </w:r>
      <w:r>
        <w:t xml:space="preserve">and recent surveys</w:t>
      </w:r>
      <w:r>
        <w:t xml:space="preserve"> </w:t>
      </w:r>
      <w:hyperlink w:anchor="r19">
        <w:r>
          <w:rPr>
            <w:rStyle w:val="Hyperlink"/>
            <w:vertAlign w:val="superscript"/>
          </w:rPr>
          <w:t xml:space="preserve">[19]</w:t>
        </w:r>
      </w:hyperlink>
      <w:hyperlink w:anchor="r20">
        <w:r>
          <w:rPr>
            <w:rStyle w:val="Hyperlink"/>
            <w:vertAlign w:val="superscript"/>
          </w:rPr>
          <w:t xml:space="preserve">[20]</w:t>
        </w:r>
      </w:hyperlink>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level—and pairs it with</w:t>
      </w:r>
      <w:r>
        <w:t xml:space="preserve"> </w:t>
      </w:r>
      <w:r>
        <w:t xml:space="preserve">contamination-free item generation, so both items and judges are bias-hardened rather than only the scoring step.</w:t>
      </w:r>
    </w:p>
    <w:bookmarkEnd w:id="13"/>
    <w:bookmarkStart w:id="14"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AutoBencher</w:t>
      </w:r>
      <w:r>
        <w:t xml:space="preserve"> </w:t>
      </w:r>
      <w:hyperlink w:anchor="r9">
        <w:r>
          <w:rPr>
            <w:rStyle w:val="Hyperlink"/>
            <w:vertAlign w:val="superscript"/>
          </w:rPr>
          <w:t xml:space="preserve">[9]</w:t>
        </w:r>
      </w:hyperlink>
      <w:r>
        <w:t xml:space="preserve"> </w:t>
      </w:r>
      <w:r>
        <w:t xml:space="preserve">searches for benchmark questions that optimize difficulty and novelty,</w:t>
      </w:r>
      <w:r>
        <w:t xml:space="preserve"> </w:t>
      </w:r>
      <w:r>
        <w:t xml:space="preserve">but evaluates with a</w:t>
      </w:r>
      <w:r>
        <w:t xml:space="preserve"> </w:t>
      </w:r>
      <w:r>
        <w:rPr>
          <w:i/>
          <w:iCs/>
        </w:rPr>
        <w:t xml:space="preserve">single</w:t>
      </w:r>
      <w:r>
        <w:t xml:space="preserve"> </w:t>
      </w:r>
      <w:r>
        <w:t xml:space="preserve">judge and does not enforce cross-family scoring or role separation. CoEval adds a</w:t>
      </w:r>
      <w:r>
        <w:t xml:space="preserve"> </w:t>
      </w:r>
      <w:r>
        <w:t xml:space="preserve">cross-family multi-judge layer, explicit teacher/student/judge role separation, and continuous inter-judge agreement</w:t>
      </w:r>
      <w:r>
        <w:t xml:space="preserve"> </w:t>
      </w:r>
      <w:r>
        <w:t xml:space="preserve">monitoring. BenchAgents</w:t>
      </w:r>
      <w:r>
        <w:t xml:space="preserve"> </w:t>
      </w:r>
      <w:hyperlink w:anchor="r10">
        <w:r>
          <w:rPr>
            <w:rStyle w:val="Hyperlink"/>
            <w:vertAlign w:val="superscript"/>
          </w:rPr>
          <w:t xml:space="preserve">[10]</w:t>
        </w:r>
      </w:hyperlink>
      <w:r>
        <w:t xml:space="preserve"> </w:t>
      </w:r>
      <w:r>
        <w:t xml:space="preserve">and YourBench</w:t>
      </w:r>
      <w:r>
        <w:t xml:space="preserve"> </w:t>
      </w:r>
      <w:hyperlink w:anchor="r11">
        <w:r>
          <w:rPr>
            <w:rStyle w:val="Hyperlink"/>
            <w:vertAlign w:val="superscript"/>
          </w:rPr>
          <w:t xml:space="preserve">[11]</w:t>
        </w:r>
      </w:hyperlink>
      <w:r>
        <w:t xml:space="preserve"> </w:t>
      </w:r>
      <w:r>
        <w:t xml:space="preserve">likewise</w:t>
      </w:r>
      <w:r>
        <w:t xml:space="preserve"> </w:t>
      </w:r>
      <w:r>
        <w:t xml:space="preserve">automate benchmark construction; CoEval's distinguishing feature is attribute-</w:t>
      </w:r>
      <w:r>
        <w:rPr>
          <w:i/>
          <w:iCs/>
        </w:rPr>
        <w:t xml:space="preserve">stratified</w:t>
      </w:r>
      <w:r>
        <w:t xml:space="preserve"> </w:t>
      </w:r>
      <w:r>
        <w:t xml:space="preserve">coverage—the</w:t>
      </w:r>
      <w:r>
        <w:t xml:space="preserve"> </w:t>
      </w:r>
      <w:r>
        <w:t xml:space="preserve">sampler allocates a per-stratum floor of items to each declared attribute combination—coupled to bias-cancelled</w:t>
      </w:r>
      <w:r>
        <w:t xml:space="preserve"> </w:t>
      </w:r>
      <w:r>
        <w:t xml:space="preserve">scoring. The contamination motivation is sharpened by GSM1k</w:t>
      </w:r>
      <w:r>
        <w:t xml:space="preserve"> </w:t>
      </w:r>
      <w:hyperlink w:anchor="r12">
        <w:r>
          <w:rPr>
            <w:rStyle w:val="Hyperlink"/>
            <w:vertAlign w:val="superscript"/>
          </w:rPr>
          <w:t xml:space="preserve">[12]</w:t>
        </w:r>
      </w:hyperlink>
      <w:r>
        <w:t xml:space="preserve">, which exposed memorization on grade-school arithmetic, and by recent surveys of</w:t>
      </w:r>
      <w:r>
        <w:t xml:space="preserve"> </w:t>
      </w:r>
      <w:r>
        <w:t xml:space="preserve">data contamination in LLMs</w:t>
      </w:r>
      <w:r>
        <w:t xml:space="preserve"> </w:t>
      </w:r>
      <w:hyperlink w:anchor="r13">
        <w:r>
          <w:rPr>
            <w:rStyle w:val="Hyperlink"/>
            <w:vertAlign w:val="superscript"/>
          </w:rPr>
          <w:t xml:space="preserve">[13]</w:t>
        </w:r>
      </w:hyperlink>
      <w:r>
        <w:t xml:space="preserve">. Live benchmarks such as LiveBench</w:t>
      </w:r>
      <w:r>
        <w:t xml:space="preserve"> </w:t>
      </w:r>
      <w:hyperlink w:anchor="r22">
        <w:r>
          <w:rPr>
            <w:rStyle w:val="Hyperlink"/>
            <w:vertAlign w:val="superscript"/>
          </w:rPr>
          <w:t xml:space="preserve">[22]</w:t>
        </w:r>
      </w:hyperlink>
      <w:r>
        <w:t xml:space="preserve"> </w:t>
      </w:r>
      <w:r>
        <w:t xml:space="preserve">and LiveCodeBench</w:t>
      </w:r>
      <w:r>
        <w:t xml:space="preserve"> </w:t>
      </w:r>
      <w:hyperlink w:anchor="r23">
        <w:r>
          <w:rPr>
            <w:rStyle w:val="Hyperlink"/>
            <w:vertAlign w:val="superscript"/>
          </w:rPr>
          <w:t xml:space="preserve">[23]</w:t>
        </w:r>
      </w:hyperlink>
      <w:r>
        <w:t xml:space="preserve"> </w:t>
      </w:r>
      <w:r>
        <w:t xml:space="preserve">limit leakage by continuously</w:t>
      </w:r>
      <w:r>
        <w:t xml:space="preserve"> </w:t>
      </w:r>
      <w:r>
        <w:t xml:space="preserve">releasing fresh, time-windowed items, but rely on human-curated questions with objective answers and avoid LLM judges;</w:t>
      </w:r>
      <w:r>
        <w:t xml:space="preserve"> </w:t>
      </w:r>
      <w:r>
        <w:t xml:space="preserve">CoEval extends contamination resistance to</w:t>
      </w:r>
      <w:r>
        <w:t xml:space="preserve"> </w:t>
      </w:r>
      <w:r>
        <w:rPr>
          <w:i/>
          <w:iCs/>
        </w:rPr>
        <w:t xml:space="preserve">open-ended, judge-scored</w:t>
      </w:r>
      <w:r>
        <w:t xml:space="preserve"> </w:t>
      </w:r>
      <w:r>
        <w:t xml:space="preserve">tasks by generating fresh,</w:t>
      </w:r>
      <w:r>
        <w:t xml:space="preserve"> </w:t>
      </w:r>
      <w:r>
        <w:t xml:space="preserve">attribute-controlled items on demand. Dynabench</w:t>
      </w:r>
      <w:r>
        <w:t xml:space="preserve"> </w:t>
      </w:r>
      <w:hyperlink w:anchor="r14">
        <w:r>
          <w:rPr>
            <w:rStyle w:val="Hyperlink"/>
            <w:vertAlign w:val="superscript"/>
          </w:rPr>
          <w:t xml:space="preserve">[14]</w:t>
        </w:r>
      </w:hyperlink>
      <w:r>
        <w:t xml:space="preserve"> </w:t>
      </w:r>
      <w:r>
        <w:t xml:space="preserve">proposed dynamic, human-in-the-loop</w:t>
      </w:r>
      <w:r>
        <w:t xml:space="preserve"> </w:t>
      </w:r>
      <w:r>
        <w:t xml:space="preserve">renewal; CoEval automates renewal without humans. Constructing domain-specific evaluation sets for LLM judges</w:t>
      </w:r>
      <w:r>
        <w:t xml:space="preserve"> </w:t>
      </w:r>
      <w:hyperlink w:anchor="r25">
        <w:r>
          <w:rPr>
            <w:rStyle w:val="Hyperlink"/>
            <w:vertAlign w:val="superscript"/>
          </w:rPr>
          <w:t xml:space="preserve">[25]</w:t>
        </w:r>
      </w:hyperlink>
      <w:r>
        <w:t xml:space="preserve"> </w:t>
      </w:r>
      <w:r>
        <w:t xml:space="preserve">targets verticals such as medicine and law; CoEval generates such domain-targeted</w:t>
      </w:r>
      <w:r>
        <w:t xml:space="preserve"> </w:t>
      </w:r>
      <w:r>
        <w:t xml:space="preserve">items automatically within the same pipeline. Length-Controlled AlpacaEval</w:t>
      </w:r>
      <w:r>
        <w:t xml:space="preserve"> </w:t>
      </w:r>
      <w:hyperlink w:anchor="r8">
        <w:r>
          <w:rPr>
            <w:rStyle w:val="Hyperlink"/>
            <w:vertAlign w:val="superscript"/>
          </w:rPr>
          <w:t xml:space="preserve">[8]</w:t>
        </w:r>
      </w:hyperlink>
      <w:r>
        <w:t xml:space="preserve"> </w:t>
      </w:r>
      <w:r>
        <w:t xml:space="preserve">debiases for</w:t>
      </w:r>
      <w:r>
        <w:t xml:space="preserve"> </w:t>
      </w:r>
      <w:r>
        <w:t xml:space="preserve">verbosity post hoc on a single judge; CoEval instead cancels verbosity bias through panel diversity (Section 5.3).</w:t>
      </w:r>
    </w:p>
    <w:bookmarkEnd w:id="14"/>
    <w:bookmarkEnd w:id="15"/>
    <w:bookmarkStart w:id="23"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YAML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pStyle w:val="BodyText"/>
        <w:jc w:val="center"/>
        <w:keepNext/>
        <w:keepLines/>
        <w:widowControl w:val="1"/>
      </w:pPr>
      <w:r>
        <w:drawing>
          <wp:inline>
            <wp:extent cx="5943600" cy="1920171"/>
            <wp:effectExtent b="0" l="0" r="0" t="0"/>
            <wp:docPr descr="CoEval five-phase pipeline with teacher, student, and judge role bands" title="" id="17" name="Picture"/>
            <a:graphic>
              <a:graphicData uri="http://schemas.openxmlformats.org/drawingml/2006/picture">
                <pic:pic>
                  <pic:nvPicPr>
                    <pic:cNvPr descr="figures/f1_architecture.png" id="18" name="Picture"/>
                    <pic:cNvPicPr>
                      <a:picLocks noChangeArrowheads="1" noChangeAspect="1"/>
                    </pic:cNvPicPr>
                  </pic:nvPicPr>
                  <pic:blipFill>
                    <a:blip r:embed="rId16"/>
                    <a:stretch>
                      <a:fillRect/>
                    </a:stretch>
                  </pic:blipFill>
                  <pic:spPr bwMode="auto">
                    <a:xfrm>
                      <a:off x="0" y="0"/>
                      <a:ext cx="5943600" cy="192017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w:t>
      </w:r>
      <w:r>
        <w:t xml:space="preserve"> </w:t>
      </w:r>
      <w:r>
        <w:t xml:space="preserve">The CoEval pipeline. A single pool of models rotates through three roles:</w:t>
      </w:r>
      <w:r>
        <w:t xml:space="preserve"> </w:t>
      </w:r>
      <w:r>
        <w:t xml:space="preserve">teachers map attributes, construct rubrics, and generate fresh benchmark items (Phases 1–3); students</w:t>
      </w:r>
      <w:r>
        <w:t xml:space="preserve"> </w:t>
      </w:r>
      <w:r>
        <w:t xml:space="preserve">produce candidate responses (Phase 4); and a cross-family judge ensemble scores them (Phase 5). The entire</w:t>
      </w:r>
      <w:r>
        <w:t xml:space="preserve"> </w:t>
      </w:r>
      <w:r>
        <w:t xml:space="preserve">run is specified in one YAML file and emits eight interactive reports plus a benchmark export.</w:t>
      </w:r>
    </w:p>
    <w:bookmarkStart w:id="19"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(Section 5.4).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9"/>
    <w:bookmarkStart w:id="20"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jc w:val="both"/>
        <w:keepNext w:val="0"/>
        <w:keepLines w:val="0"/>
        <w:widowControl w:val="1"/>
      </w:pPr>
      <w:r>
        <w:t xml:space="preserve">$</w:t>
      </w: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w:r>
        <w:t xml:space="preserve">$</w:t>
      </w:r>
    </w:p>
    <w:p>
      <w:pPr>
        <w:pStyle w:val="BodyText"/>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(Appendix A,</w:t>
      </w:r>
      <w:r>
        <w:t xml:space="preserve"> </w:t>
      </w:r>
      <w:r>
        <w:t xml:space="preserve">panel A3) recording the realized per-stratum counts, and we treat stratified coverage as a system feature whose</w:t>
      </w:r>
      <w:r>
        <w:t xml:space="preserve"> </w:t>
      </w:r>
      <w:r>
        <w:t xml:space="preserve">downstream effect on ranking discrimination we do not separately quantify here. Because items are generated fresh on</w:t>
      </w:r>
      <w:r>
        <w:t xml:space="preserve"> </w:t>
      </w:r>
      <w:r>
        <w:t xml:space="preserve">each run from the attribute specification, the resulting benchmark cannot have been seen during any student's</w:t>
      </w:r>
      <w:r>
        <w:t xml:space="preserve"> </w:t>
      </w:r>
      <w:r>
        <w:t xml:space="preserve">pretraining — contamination-resistance is a structural property of generation, not a post-hoc filter.</w:t>
      </w:r>
    </w:p>
    <w:bookmarkEnd w:id="20"/>
    <w:bookmarkStart w:id="21"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jc w:val="both"/>
        <w:keepNext w:val="0"/>
        <w:keepLines w:val="0"/>
        <w:widowControl w:val="1"/>
      </w:pPr>
      <w:r>
        <w:t xml:space="preserve">$</w:t>
      </w: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w:r>
        <w:t xml:space="preserve">$</w:t>
      </w:r>
    </w:p>
    <w:p>
      <w:pPr>
        <w:pStyle w:val="BodyText"/>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 as we observe empirically for verbosity</w:t>
      </w:r>
      <w:r>
        <w:t xml:space="preserve"> </w:t>
      </w:r>
      <w:r>
        <w:t xml:space="preserve">(Section 5.3) —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w:t>
      </w:r>
    </w:p>
    <w:bookmarkEnd w:id="21"/>
    <w:bookmarkStart w:id="22"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the agreement of the judge panel using intraclass correlation. For an average-measures design over</w:t>
      </w:r>
      <w:r>
        <w:t xml:space="preserve"> </w:t>
      </w:r>
      <m:oMath>
        <m:r>
          <m:t>k</m:t>
        </m:r>
      </m:oMath>
      <w:r>
        <w:t xml:space="preserve"> </w:t>
      </w:r>
      <w:r>
        <w:t xml:space="preserve">judges, the ICC(3,k) reliability is</w:t>
      </w:r>
    </w:p>
    <w:p>
      <w:pPr>
        <w:pStyle w:val="BodyText"/>
        <w:jc w:val="both"/>
        <w:keepNext w:val="0"/>
        <w:keepLines w:val="0"/>
        <w:widowControl w:val="1"/>
      </w:pPr>
      <w:r>
        <w:t xml:space="preserve">$</w:t>
      </w: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w:r>
        <w:t xml:space="preserve">$</w:t>
      </w:r>
    </w:p>
    <w:p>
      <w:pPr>
        <w:pStyle w:val="BodyText"/>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jc w:val="both"/>
        <w:keepNext w:val="0"/>
        <w:keepLines w:val="0"/>
        <w:widowControl w:val="1"/>
      </w:pPr>
      <w:r>
        <w:t xml:space="preserve">$</w:t>
      </w: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w:r>
        <w:t xml:space="preserve">$</w:t>
      </w:r>
    </w:p>
    <w:p>
      <w:pPr>
        <w:pStyle w:val="BodyText"/>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jc w:val="both"/>
        <w:keepNext w:val="0"/>
        <w:keepLines w:val="0"/>
        <w:widowControl w:val="1"/>
      </w:pPr>
      <w:r>
        <w:t xml:space="preserve">$</w:t>
      </w: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w:r>
        <w:t xml:space="preserve">$</w:t>
      </w:r>
    </w:p>
    <w:p>
      <w:pPr>
        <w:pStyle w:val="BodyText"/>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w:t>
      </w:r>
    </w:p>
    <w:bookmarkEnd w:id="22"/>
    <w:bookmarkEnd w:id="23"/>
    <w:bookmarkStart w:id="24"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configuration—model identifiers,</w:t>
      </w:r>
      <w:r>
        <w:t xml:space="preserve"> </w:t>
      </w:r>
      <w:r>
        <w:t xml:space="preserve">attribute strata, and prompts—is captured in a single declarative YAML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bookmarkEnd w:id="24"/>
    <w:bookmarkStart w:id="48"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—they track objective ground truth ($</w:t>
      </w:r>
      <w:r>
        <w:t xml:space="preserve"> </w:t>
      </w:r>
      <w:r>
        <w:t xml:space="preserve">ho = 0.86$) and reproduce the true model</w:t>
      </w:r>
      <w:r>
        <w:t xml:space="preserve"> </w:t>
      </w:r>
      <w:r>
        <w:t xml:space="preserve">ranking (Table 2)—benchmarked against a single-judge G-Eval baseline. Sections 5.2–5.5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structurally avoids</w:t>
      </w:r>
      <w:r>
        <w:t xml:space="preserve"> </w:t>
      </w:r>
      <w:r>
        <w:t xml:space="preserve">self-preference (5.4), and produces task-appropriate rubrics (5.5). Section 5.6 verifies the second condition</w:t>
      </w:r>
      <w:r>
        <w:t xml:space="preserve"> </w:t>
      </w:r>
      <w:r>
        <w:t xml:space="preserve">directly—that the generated items are</w:t>
      </w:r>
      <w:r>
        <w:t xml:space="preserve"> </w:t>
      </w:r>
      <w:r>
        <w:rPr>
          <w:i/>
          <w:iCs/>
        </w:rPr>
        <w:t xml:space="preserve">contamination-free</w:t>
      </w:r>
      <w:r>
        <w:t xml:space="preserve">—and Section 5.7 shows the process is cheap enough to re-run per use case, and Section 5.8 exercises the complete tool on two custom verticals (clinical, legal) with no labeled data.</w:t>
      </w:r>
    </w:p>
    <w:bookmarkStart w:id="28" w:name="ground-truth-correlation"/>
    <w:p>
      <w:pPr>
        <w:pStyle w:val="Heading3"/>
        <w:keepNext/>
        <w:keepLines/>
        <w:widowControl w:val="1"/>
      </w:pPr>
      <w:r>
        <w:t xml:space="preserve">5.1 Ground-truth correlation</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0.28</m:t>
        </m:r>
      </m:oMath>
      <w:r>
        <w:t xml:space="preserve">) and the full-rubric average (</w:t>
      </w:r>
      <m:oMath>
        <m:r>
          <m:t>ρ</m:t>
        </m:r>
        <m:r>
          <m:rPr>
            <m:sty m:val="p"/>
          </m:rPr>
          <m:t>=</m:t>
        </m:r>
        <m:r>
          <m:t>0.57</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sanity test, which isolates judge accuracy.</w:t>
      </w:r>
    </w:p>
    <w:p>
      <w:pPr>
        <w:pStyle w:val="TableCaption"/>
        <w:spacing w:before="160" w:after="60" w:line="240" w:lineRule="auto"/>
        <w:jc w:val="center"/>
        <w:keepNext/>
        <w:keepLines/>
        <w:widowControl w:val="1"/>
      </w:pPr>
      <w:r>
        <w:rPr>
          <w:b/>
          <w:bCs/>
        </w:rPr>
        <w:t xml:space="preserve">Table 1.</w:t>
      </w:r>
      <w:r>
        <w:t xml:space="preserve"> </w:t>
      </w:r>
      <w:r>
        <w:t xml:space="preserve">Spearman correlation of CoEval accuracy scores with ground-truth correctness on</w:t>
      </w:r>
      <w:r>
        <w:t xml:space="preserve"> </w:t>
      </w:r>
      <w:r>
        <w:t xml:space="preserve">exact-match QA (SciQ, ARC-Challenge;</w:t>
      </w:r>
      <w:r>
        <w:t xml:space="preserve"> </w:t>
      </w:r>
      <m:oMath>
        <m:r>
          <m:t>191</m:t>
        </m:r>
      </m:oMath>
      <w:r>
        <w:t xml:space="preserve"> </w:t>
      </w:r>
      <w:r>
        <w:t xml:space="preserve">datapoints,</w:t>
      </w:r>
      <w:r>
        <w:t xml:space="preserve"> </w:t>
      </w:r>
      <m:oMath>
        <m:r>
          <m:t>573</m:t>
        </m:r>
      </m:oMath>
      <w:r>
        <w:t xml:space="preserve"> </w:t>
      </w:r>
      <w:r>
        <w:t xml:space="preserve">responses; datapoint-clustered 95% bootstrap CI). The</w:t>
      </w:r>
      <w:r>
        <w:t xml:space="preserve"> </w:t>
      </w:r>
      <w:r>
        <w:t xml:space="preserve">frontier cross-family ensemble tracks ground truth at</w:t>
      </w:r>
      <w:r>
        <w:t xml:space="preserve"> </w:t>
      </w:r>
      <m:oMath>
        <m:r>
          <m:t>ρ</m:t>
        </m:r>
        <m:r>
          <m:rPr>
            <m:sty m:val="p"/>
          </m:rPr>
          <m:t>=</m:t>
        </m:r>
        <m:r>
          <m:t>0.86</m:t>
        </m:r>
      </m:oMath>
      <w:r>
        <w:t xml:space="preserve">. The three frontier judges agree on every item;</w:t>
      </w:r>
      <w:r>
        <w:t xml:space="preserve"> </w:t>
      </w:r>
      <w:r>
        <w:t xml:space="preserve">crucially, the weaker auxiliary judges they are contrasted against (Section 5.2) disagree on</w:t>
      </w:r>
      <w:r>
        <w:t xml:space="preserve"> </w:t>
      </w:r>
      <m:oMath>
        <m:r>
          <m:t>3</m:t>
        </m:r>
      </m:oMath>
      <w:r>
        <w:t xml:space="preserve">–</w:t>
      </w:r>
      <m:oMath>
        <m:r>
          <m:t>8</m:t>
        </m:r>
      </m:oMath>
      <w:r>
        <w:t xml:space="preserve"> </w:t>
      </w:r>
      <w:r>
        <w:t xml:space="preserve">items, confirming this is genuine independent convergence of capable judges on objective correctness, not redundancy</w:t>
      </w:r>
      <w:r>
        <w:t xml:space="preserve"> </w:t>
      </w:r>
      <w:r>
        <w:t xml:space="preserve">of identical models.</w:t>
      </w:r>
    </w:p>
    <w:tbl>
      <w:tblPr>
        <w:tblStyle w:val="Table"/>
        <w:tblW w:type="pct" w:w="5000"/>
        <w:jc w:val="center"/>
        <w:tblLook w:firstRow="1" w:lastRow="0" w:firstColumn="0" w:lastColumn="0" w:noHBand="0" w:noVBand="0" w:val="0020"/>
        <w:tblCaption w:val="Table 1. Spearman correlation of CoEval accuracy scores with ground-truth correctness on exact-match QA (SciQ, ARC-Challenge; 191 datapoints, 573 responses; datapoint-clustered 95% bootstrap CI). The frontier cross-family ensemble tracks ground truth at \rho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Evaluator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SciQ</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ARC-Challenge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Overall (clustered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CoEval frontier ensemble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+0.859</w:t>
            </w:r>
            <w:r>
              <w:rPr>
                <w:rFonts w:ascii="Times New Roman" w:hAnsi="Times New Roman"/>
                <w:sz w:val="20"/>
              </w:rPr>
              <w:t xml:space="preserve"> </w:t>
            </w:r>
            <w:r>
              <w:rPr>
                <w:rFonts w:ascii="Times New Roman" w:hAnsi="Times New Roman"/>
                <w:sz w:val="20"/>
              </w:rPr>
              <w:t xml:space="preserve">[0.77, 0.94]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 (OpenAI)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claude-sonnet-4 (Anthropic)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gemini-2.5-flash (Google)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bl>
    <w:p>
      <w:pPr>
        <w:pStyle w:val="BodyText"/>
        <w:spacing w:before="160"/>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here the ensemble</w:t>
      </w:r>
      <w:r>
        <w:t xml:space="preserve"> </w:t>
      </w:r>
      <w:r>
        <w:rPr>
          <w:i/>
          <w:iCs/>
        </w:rPr>
        <w:t xml:space="preserve">equals</w:t>
      </w:r>
      <w:r>
        <w:t xml:space="preserve"> </w:t>
      </w:r>
      <w:r>
        <w:t xml:space="preserve">its best member rather than exceeding it: this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—no single provider drives it—a</w:t>
      </w:r>
      <w:r>
        <w:t xml:space="preserve"> </w:t>
      </w:r>
      <w:r>
        <w:t xml:space="preserve">reliability floor rather than a demonstration of ensemble gain. The ensemble's distinctive value emerges where judges</w:t>
      </w:r>
      <w:r>
        <w:t xml:space="preserve"> </w:t>
      </w:r>
      <w:r>
        <w:t xml:space="preserve">legitimately disagree. On open-ended summarization scored against BERTScore, the ensemble (</w:t>
      </w:r>
      <m:oMath>
        <m:r>
          <m:t>ρ</m:t>
        </m:r>
        <m:r>
          <m:rPr>
            <m:sty m:val="p"/>
          </m:rPr>
          <m:t>=</m:t>
        </m:r>
        <m:r>
          <m:t>0.244</m:t>
        </m:r>
      </m:oMath>
      <w:r>
        <w:t xml:space="preserve">) exceeds the</w:t>
      </w:r>
      <w:r>
        <w:t xml:space="preserve"> </w:t>
      </w:r>
      <w:r>
        <w:rPr>
          <w:i/>
          <w:iCs/>
        </w:rPr>
        <w:t xml:space="preserve">average</w:t>
      </w:r>
      <w:r>
        <w:t xml:space="preserve"> </w:t>
      </w:r>
      <w:r>
        <w:t xml:space="preserve">single judge (</w:t>
      </w:r>
      <m:oMath>
        <m:r>
          <m:t>ρ</m:t>
        </m:r>
        <m:r>
          <m:rPr>
            <m:sty m:val="p"/>
          </m:rPr>
          <m:t>=</m:t>
        </m:r>
        <m:r>
          <m:t>0.121</m:t>
        </m:r>
      </m:oMath>
      <w:r>
        <w:t xml:space="preserve">) but not the</w:t>
      </w:r>
      <w:r>
        <w:t xml:space="preserve"> </w:t>
      </w:r>
      <w:r>
        <w:rPr>
          <w:i/>
          <w:iCs/>
        </w:rPr>
        <w:t xml:space="preserve">best</w:t>
      </w:r>
      <w:r>
        <w:t xml:space="preserve"> </w:t>
      </w:r>
      <w:r>
        <w:t xml:space="preserve">single judge (</w:t>
      </w:r>
      <m:oMath>
        <m:r>
          <m:t>ρ</m:t>
        </m:r>
        <m:r>
          <m:rPr>
            <m:sty m:val="p"/>
          </m:rPr>
          <m:t>=</m:t>
        </m:r>
        <m:r>
          <m:t>0.354</m:t>
        </m:r>
      </m:oMath>
      <w:r>
        <w:t xml:space="preserve">). As an external</w:t>
      </w:r>
      <w:r>
        <w:t xml:space="preserve"> </w:t>
      </w:r>
      <w:r>
        <w:t xml:space="preserve">baseline we run</w:t>
      </w:r>
      <w:r>
        <w:t xml:space="preserve"> </w:t>
      </w:r>
      <w:r>
        <w:rPr>
          <w:b/>
          <w:bCs/>
        </w:rPr>
        <w:t xml:space="preserve">G-Eval</w:t>
      </w:r>
      <w:r>
        <w:t xml:space="preserve"> </w:t>
      </w:r>
      <w:hyperlink w:anchor="r2">
        <w:r>
          <w:rPr>
            <w:rStyle w:val="Hyperlink"/>
            <w:vertAlign w:val="superscript"/>
          </w:rPr>
          <w:t xml:space="preserve">[2]</w:t>
        </w:r>
      </w:hyperlink>
      <w:r>
        <w:t xml:space="preserve"> </w:t>
      </w:r>
      <w:r>
        <w:t xml:space="preserve">(a single GPT-4o judge with chain-of-thought)</w:t>
      </w:r>
      <w:r>
        <w:t xml:space="preserve"> </w:t>
      </w:r>
      <w:r>
        <w:t xml:space="preserve">on the same responses; it correlates comparably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confirming that</w:t>
      </w:r>
      <w:r>
        <w:t xml:space="preserve"> </w:t>
      </w:r>
      <w:r>
        <w:rPr>
          <w:i/>
          <w:iCs/>
        </w:rPr>
        <w:t xml:space="preserve">no</w:t>
      </w:r>
      <w:r>
        <w:t xml:space="preserve"> </w:t>
      </w:r>
      <w:r>
        <w:t xml:space="preserve">evaluator aligns strongly with this lexical reference (the code-explanation subtask, where BLEU is</w:t>
      </w:r>
      <w:r>
        <w:t xml:space="preserve"> </w:t>
      </w:r>
      <w:r>
        <w:t xml:space="preserve">near-degenerate at</w:t>
      </w:r>
      <w:r>
        <w:t xml:space="preserve"> </w:t>
      </w:r>
      <m:oMath>
        <m:r>
          <m:t>ρ</m:t>
        </m:r>
        <m:r>
          <m:rPr>
            <m:sty m:val="p"/>
          </m:rPr>
          <m:t>=</m:t>
        </m:r>
        <m:r>
          <m:rPr>
            <m:sty m:val="p"/>
          </m:rPr>
          <m:t>−</m:t>
        </m:r>
        <m:r>
          <m:t>0.031</m:t>
        </m:r>
      </m:oMath>
      <w:r>
        <w:t xml:space="preserve">, is uninformative for every method). What distinguishes CoEval from a single G-Eval</w:t>
      </w:r>
      <w:r>
        <w:t xml:space="preserve"> </w:t>
      </w:r>
      <w:r>
        <w:t xml:space="preserve">judge is therefore not point-correlation but the bias-robustness of Section 5.3 and the contamination-resistant</w:t>
      </w:r>
      <w:r>
        <w:t xml:space="preserve"> </w:t>
      </w:r>
      <w:r>
        <w:t xml:space="preserve">items CoEval</w:t>
      </w:r>
      <w:r>
        <w:t xml:space="preserve"> </w:t>
      </w:r>
      <w:r>
        <w:rPr>
          <w:i/>
          <w:iCs/>
        </w:rPr>
        <w:t xml:space="preserve">generates</w:t>
      </w:r>
      <w:r>
        <w:t xml:space="preserve"> </w:t>
      </w:r>
      <w:r>
        <w:t xml:space="preserve">rather than consumes. Point-correlation against a noisy reference</w:t>
      </w:r>
      <w:r>
        <w:t xml:space="preserve"> </w:t>
      </w:r>
      <w:r>
        <w:t xml:space="preserve">is therefore the wrong lens for the ensemble's contribution. That contribution is</w:t>
      </w:r>
      <w:r>
        <w:t xml:space="preserve"> </w:t>
      </w:r>
      <w:r>
        <w:rPr>
          <w:i/>
          <w:iCs/>
        </w:rPr>
        <w:t xml:space="preserve">bias-robustness</w:t>
      </w:r>
      <w:r>
        <w:t xml:space="preserve">: on the</w:t>
      </w:r>
      <w:r>
        <w:t xml:space="preserve"> </w:t>
      </w:r>
      <w:r>
        <w:t xml:space="preserve">subjective dimensions of Section 5.3, individual judges carry verbosity biases of opposite sign that the ensemble</w:t>
      </w:r>
      <w:r>
        <w:t xml:space="preserve"> </w:t>
      </w:r>
      <w:r>
        <w:t xml:space="preserve">provably cancels—an advantage no single judge, however well it correlates with one reference, can provide.</w:t>
      </w:r>
    </w:p>
    <w:p>
      <w:pPr>
        <w:pStyle w:val="BodyText"/>
        <w:jc w:val="center"/>
        <w:keepNext/>
        <w:keepLines/>
        <w:widowControl w:val="1"/>
      </w:pPr>
      <w:r>
        <w:drawing>
          <wp:inline>
            <wp:extent cx="5023104" cy="3169920"/>
            <wp:effectExtent b="0" l="0" r="0" t="0"/>
            <wp:docPr descr="Spearman correlation with ground-truth correctness per judge and ensemble" title="" id="26" name="Picture"/>
            <a:graphic>
              <a:graphicData uri="http://schemas.openxmlformats.org/drawingml/2006/picture">
                <pic:pic>
                  <pic:nvPicPr>
                    <pic:cNvPr descr="figures/f4_correctness_corr.png" id="27" name="Picture"/>
                    <pic:cNvPicPr>
                      <a:picLocks noChangeArrowheads="1" noChangeAspect="1"/>
                    </pic:cNvPicPr>
                  </pic:nvPicPr>
                  <pic:blipFill>
                    <a:blip r:embed="rId25"/>
                    <a:stretch>
                      <a:fillRect/>
                    </a:stretch>
                  </pic:blipFill>
                  <pic:spPr bwMode="auto">
                    <a:xfrm>
                      <a:off x="0" y="0"/>
                      <a:ext cx="5023104"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Rank correlation of CoEval accuracy scores with ground-truth answer correctness</w:t>
      </w:r>
      <w:r>
        <w:t xml:space="preserve"> </w:t>
      </w:r>
      <w:r>
        <w:t xml:space="preserve">on exact-match QA (</w:t>
      </w:r>
      <m:oMath>
        <m:r>
          <m:t>191</m:t>
        </m:r>
      </m:oMath>
      <w:r>
        <w:t xml:space="preserve"> </w:t>
      </w:r>
      <w:r>
        <w:t xml:space="preserve">datapoints,</w:t>
      </w:r>
      <w:r>
        <w:t xml:space="preserve"> </w:t>
      </w:r>
      <m:oMath>
        <m:r>
          <m:t>573</m:t>
        </m:r>
      </m:oMath>
      <w:r>
        <w:t xml:space="preserve"> </w:t>
      </w:r>
      <w:r>
        <w:t xml:space="preserve">responses). The frontier cross-family ensemble reaches</w:t>
      </w:r>
      <w:r>
        <w:t xml:space="preserve"> </w:t>
      </w:r>
      <m:oMath>
        <m:r>
          <m:t>ρ</m:t>
        </m:r>
        <m:r>
          <m:rPr>
            <m:sty m:val="p"/>
          </m:rPr>
          <m:t>=</m:t>
        </m:r>
        <m:r>
          <m:t>0.86</m:t>
        </m:r>
      </m:oMath>
      <w:r>
        <w:t xml:space="preserve"> </w:t>
      </w:r>
      <w:r>
        <w:t xml:space="preserve">(datapoint-clustered 95% CI shown); the three frontier judges converge on identical labels, so the ensemble equals</w:t>
      </w:r>
      <w:r>
        <w:t xml:space="preserve"> </w:t>
      </w:r>
      <w:r>
        <w:t xml:space="preserve">its best member here—a vendor-independent reliability floor on objective tasks.</w:t>
      </w:r>
    </w:p>
    <w:p>
      <w:pPr>
        <w:pStyle w:val="BodyText"/>
        <w:jc w:val="both"/>
        <w:keepNext w:val="0"/>
        <w:keepLines w:val="0"/>
        <w:widowControl w:val="1"/>
      </w:pPr>
      <w:r>
        <w:t xml:space="preserve">Evaluation is a means to an end—</w:t>
      </w:r>
      <w:r>
        <w:rPr>
          <w:i/>
          <w:iCs/>
        </w:rPr>
        <w:t xml:space="preserve">ranking</w:t>
      </w:r>
      <w:r>
        <w:t xml:space="preserve"> </w:t>
      </w:r>
      <w:r>
        <w:t xml:space="preserve">candidate models for a use case—so we verify that CoEval</w:t>
      </w:r>
      <w:r>
        <w:t xml:space="preserve"> </w:t>
      </w:r>
      <w:r>
        <w:t xml:space="preserve">scores yield the correct ranking. Table 2 ranks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annotation—the core operation</w:t>
      </w:r>
      <w:r>
        <w:t xml:space="preserve"> </w:t>
      </w:r>
      <w:r>
        <w:t xml:space="preserve">the framework is built to make easy.</w:t>
      </w:r>
    </w:p>
    <w:p>
      <w:pPr>
        <w:pStyle w:val="TableCaption"/>
        <w:spacing w:before="160" w:after="60" w:line="240" w:lineRule="auto"/>
        <w:jc w:val="center"/>
        <w:keepNext/>
        <w:keepLines/>
        <w:widowControl w:val="1"/>
      </w:pPr>
      <w:r>
        <w:rPr>
          <w:b/>
          <w:bCs/>
        </w:rPr>
        <w:t xml:space="preserve">Table 2.</w:t>
      </w:r>
      <w:r>
        <w:t xml:space="preserve"> </w:t>
      </w:r>
      <w:r>
        <w:t xml:space="preserve">CoEval reproduces the ground-truth model ranking. Three student models ranked by</w:t>
      </w:r>
      <w:r>
        <w:t xml:space="preserve"> </w:t>
      </w:r>
      <w:r>
        <w:t xml:space="preserve">CoEval frontier-ensemble accuracy score (datapoint-clustered 95% CI) and by exact-match ground truth; the orderings</w:t>
      </w:r>
      <w:r>
        <w:t xml:space="preserve"> </w:t>
      </w:r>
      <w:r>
        <w:t xml:space="preserve">match.</w:t>
      </w:r>
    </w:p>
    <w:tbl>
      <w:tblPr>
        <w:tblStyle w:val="Table"/>
        <w:tblW w:type="pct" w:w="5000"/>
        <w:jc w:val="center"/>
        <w:tblLook w:firstRow="1" w:lastRow="0" w:firstColumn="0" w:lastColumn="0" w:noHBand="0" w:noVBand="0" w:val="0020"/>
        <w:tblCaption w:val="Table 2.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Model under evaluation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CoEval score [95% CI]</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Ground-truth accuracy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0.963 [0.937, 0.984]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 [0.880, 0.958]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llama-3.2-3b</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0.843 [0.791, 0.895]</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0.832</w:t>
            </w:r>
          </w:p>
        </w:tc>
      </w:tr>
    </w:tbl>
    <w:bookmarkEnd w:id="28"/>
    <w:bookmarkStart w:id="32" w:name="ensemble-reliability"/>
    <w:p>
      <w:pPr>
        <w:pStyle w:val="Heading3"/>
        <w:keepNext/>
        <w:keepLines/>
        <w:widowControl w:val="1"/>
      </w:pPr>
      <w:r>
        <w:t xml:space="preserve">5.2 Ensemble reliability</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of Section 3.4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indiscriminately adding low-agreement judges lowers the mean inter-rater correlation</w:t>
      </w:r>
      <w:r>
        <w:t xml:space="preserve"> </w:t>
      </w:r>
      <m:oMath>
        <m:acc>
          <m:accPr>
            <m:chr m:val="‾"/>
          </m:accPr>
          <m:e>
            <m:r>
              <m:t>r</m:t>
            </m:r>
          </m:e>
        </m:acc>
      </m:oMath>
      <w:r>
        <w:t xml:space="preserve"> </w:t>
      </w:r>
      <w:r>
        <w:t xml:space="preserve">faster than averaging can compensate, so</w:t>
      </w:r>
      <w:r>
        <w:t xml:space="preserve"> </w:t>
      </w:r>
      <m:oMath>
        <m:sSub>
          <m:e>
            <m:r>
              <m:t>R</m:t>
            </m:r>
          </m:e>
          <m:sub>
            <m:r>
              <m:t>k</m:t>
            </m:r>
          </m:sub>
        </m:sSub>
      </m:oMath>
      <w:r>
        <w:t xml:space="preserve"> </w:t>
      </w:r>
      <w:r>
        <w:t xml:space="preserve">in the Spearman–Brown relation can fall. CoEval's</w:t>
      </w:r>
      <w:r>
        <w:t xml:space="preserve"> </w:t>
      </w:r>
      <w:r>
        <w:t xml:space="preserve">consensus criterion identifies and retains the high-agreement judges, delivering the reliable configuration</w:t>
      </w:r>
      <w:r>
        <w:t xml:space="preserve"> </w:t>
      </w:r>
      <w:r>
        <w:t xml:space="preserve">automatically. In other words, the framework converts the panel-composition problem — which would otherwise</w:t>
      </w:r>
      <w:r>
        <w:t xml:space="preserve"> </w:t>
      </w:r>
      <w:r>
        <w:t xml:space="preserve">degrade a naive ensemble —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As an expected stability check (not an independent result),</w:t>
      </w:r>
      <w:r>
        <w:t xml:space="preserve"> </w:t>
      </w:r>
      <w:r>
        <w:t xml:space="preserve">the</w:t>
      </w:r>
      <w:r>
        <w:t xml:space="preserve"> </w:t>
      </w:r>
      <m:oMath>
        <m:r>
          <m:t>k</m:t>
        </m:r>
      </m:oMath>
      <w:r>
        <w:t xml:space="preserve">-judge ensemble's rank-agreement with the full-panel consensus rises with</w:t>
      </w:r>
      <w:r>
        <w:t xml:space="preserve"> </w:t>
      </w:r>
      <m:oMath>
        <m:r>
          <m:t>k</m:t>
        </m:r>
      </m:oMath>
      <w:r>
        <w:t xml:space="preserve"> </w:t>
      </w:r>
      <w:r>
        <w:t xml:space="preserve">(Spearman</w:t>
      </w:r>
      <w:r>
        <w:t xml:space="preserve"> </w:t>
      </w:r>
      <m:oMath>
        <m:r>
          <m:t>ρ</m:t>
        </m:r>
      </m:oMath>
      <w:r>
        <w:t xml:space="preserve">: $0.67, 0.74,</w:t>
      </w:r>
      <w:r>
        <w:t xml:space="preserve"> </w:t>
      </w:r>
      <w:r>
        <w:t xml:space="preserve">0.93, 1.00</w:t>
      </w:r>
      <m:oMath>
        <m:r>
          <m:rPr>
            <m:sty m:val="p"/>
          </m:rPr>
          <m:t>)</m:t>
        </m:r>
        <m:r>
          <m:rPr>
            <m:sty m:val="p"/>
          </m:rPr>
          <m:t>;</m:t>
        </m:r>
        <m:r>
          <m:t>c</m:t>
        </m:r>
        <m:r>
          <m:t>o</m:t>
        </m:r>
        <m:r>
          <m:t>n</m:t>
        </m:r>
        <m:r>
          <m:t>v</m:t>
        </m:r>
        <m:r>
          <m:t>e</m:t>
        </m:r>
        <m:r>
          <m:t>r</m:t>
        </m:r>
        <m:r>
          <m:t>g</m:t>
        </m:r>
        <m:r>
          <m:t>e</m:t>
        </m:r>
        <m:r>
          <m:t>n</m:t>
        </m:r>
        <m:r>
          <m:t>c</m:t>
        </m:r>
        <m:r>
          <m:t>e</m:t>
        </m:r>
        <m:r>
          <m:t>t</m:t>
        </m:r>
        <m:r>
          <m:t>o</m:t>
        </m:r>
      </m:oMath>
      <w:r>
        <w:t xml:space="preserve">1.00$ holds by construction and simply confirms that a small selected panel already</w:t>
      </w:r>
      <w:r>
        <w:t xml:space="preserve"> </w:t>
      </w:r>
      <w:r>
        <w:t xml:space="preserve">recovers most of the full-panel ordering.</w:t>
      </w:r>
    </w:p>
    <w:p>
      <w:pPr>
        <w:pStyle w:val="BodyText"/>
        <w:jc w:val="center"/>
        <w:keepNext/>
        <w:keepLines/>
        <w:widowControl w:val="1"/>
      </w:pPr>
      <w:r>
        <w:drawing>
          <wp:inline>
            <wp:extent cx="4815840" cy="3169920"/>
            <wp:effectExtent b="0" l="0" r="0" t="0"/>
            <wp:docPr descr="ICC(3,k) versus number of judges, peaking at the selected strong panel" title="" id="30" name="Picture"/>
            <a:graphic>
              <a:graphicData uri="http://schemas.openxmlformats.org/drawingml/2006/picture">
                <pic:pic>
                  <pic:nvPicPr>
                    <pic:cNvPr descr="figures/f2_icc_curve.png" id="31" name="Picture"/>
                    <pic:cNvPicPr>
                      <a:picLocks noChangeArrowheads="1" noChangeAspect="1"/>
                    </pic:cNvPicPr>
                  </pic:nvPicPr>
                  <pic:blipFill>
                    <a:blip r:embed="rId29"/>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3.</w:t>
      </w:r>
      <w:r>
        <w:t xml:space="preserve"> </w:t>
      </w:r>
      <w:r>
        <w:t xml:space="preserve">Composition over size. Average-measures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w:t>
      </w:r>
      <w:r>
        <w:t xml:space="preserve"> </w:t>
      </w:r>
      <w:r>
        <w:t xml:space="preserve">judges are added in descending agreement order. A selected strong panel reaches</w:t>
      </w:r>
      <w:r>
        <w:t xml:space="preserve"> </w:t>
      </w:r>
      <m:oMath>
        <m:r>
          <m:rPr>
            <m:sty m:val="p"/>
          </m:rPr>
          <m:t>I</m:t>
        </m:r>
        <m:r>
          <m:rPr>
            <m:sty m:val="p"/>
          </m:rPr>
          <m:t>C</m:t>
        </m:r>
        <m:r>
          <m:rPr>
            <m:sty m:val="p"/>
          </m:rPr>
          <m:t>C</m:t>
        </m:r>
        <m:r>
          <m:rPr>
            <m:sty m:val="p"/>
          </m:rPr>
          <m:t>=</m:t>
        </m:r>
        <m:r>
          <m:t>0.70</m:t>
        </m:r>
      </m:oMath>
      <w:r>
        <w:t xml:space="preserve">; indiscriminately</w:t>
      </w:r>
      <w:r>
        <w:t xml:space="preserve"> </w:t>
      </w:r>
      <w:r>
        <w:t xml:space="preserve">adding low-agreement judges lowers the mean inter-rater correlation faster than averaging compensates, so reliability</w:t>
      </w:r>
      <w:r>
        <w:t xml:space="preserve"> </w:t>
      </w:r>
      <w:r>
        <w:t xml:space="preserve">falls. CoEval's consensus selection retains the high-agreement judges, delivering the reliable configuration</w:t>
      </w:r>
      <w:r>
        <w:t xml:space="preserve"> </w:t>
      </w:r>
      <w:r>
        <w:t xml:space="preserve">automatically.</w:t>
      </w:r>
    </w:p>
    <w:p>
      <w:pPr>
        <w:pStyle w:val="BodyText"/>
        <w:jc w:val="both"/>
        <w:keepNext w:val="0"/>
        <w:keepLines w:val="0"/>
        <w:widowControl w:val="1"/>
      </w:pPr>
      <w:r>
        <w:rPr>
          <w:b/>
          <w:bCs/>
        </w:rPr>
        <w:t xml:space="preserve">Finding (composition over size).</w:t>
      </w:r>
      <w:r>
        <w:t xml:space="preserve"> </w:t>
      </w:r>
      <w:r>
        <w:t xml:space="preserve">Average-measures reliability is non-monotone in panel size:</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peaks at</w:t>
      </w:r>
      <w:r>
        <w:t xml:space="preserve"> </w:t>
      </w:r>
      <m:oMath>
        <m:r>
          <m:t>0.70</m:t>
        </m:r>
      </m:oMath>
      <w:r>
        <w:t xml:space="preserve"> </w:t>
      </w:r>
      <w:r>
        <w:t xml:space="preserve">for a selected strong pair and</w:t>
      </w:r>
      <w:r>
        <w:t xml:space="preserve"> </w:t>
      </w:r>
      <w:r>
        <w:rPr>
          <w:i/>
          <w:iCs/>
        </w:rPr>
        <w:t xml:space="preserve">falls</w:t>
      </w:r>
      <w:r>
        <w:t xml:space="preserve"> </w:t>
      </w:r>
      <w:r>
        <w:t xml:space="preserve">to</w:t>
      </w:r>
      <w:r>
        <w:t xml:space="preserve"> </w:t>
      </w:r>
      <m:oMath>
        <m:r>
          <m:t>0.40</m:t>
        </m:r>
      </m:oMath>
      <w:r>
        <w:t xml:space="preserve"> </w:t>
      </w:r>
      <w:r>
        <w:t xml:space="preserve">as low-agreement judges</w:t>
      </w:r>
      <w:r>
        <w:t xml:space="preserve"> </w:t>
      </w:r>
      <w:r>
        <w:t xml:space="preserve">are added, matching the Spearman–Brown prediction exactly. Ensemble</w:t>
      </w:r>
      <w:r>
        <w:t xml:space="preserve"> </w:t>
      </w:r>
      <w:r>
        <w:rPr>
          <w:i/>
          <w:iCs/>
        </w:rPr>
        <w:t xml:space="preserve">composition</w:t>
      </w:r>
      <w:r>
        <w:t xml:space="preserve">, not size, is the</w:t>
      </w:r>
      <w:r>
        <w:t xml:space="preserve"> </w:t>
      </w:r>
      <w:r>
        <w:t xml:space="preserve">decisive reliability lever; CoEval's consensus selection retains the high-agreement judges automatically.</w:t>
      </w:r>
    </w:p>
    <w:bookmarkEnd w:id="32"/>
    <w:bookmarkStart w:id="36" w:name="bias-cancellation"/>
    <w:p>
      <w:pPr>
        <w:pStyle w:val="Heading3"/>
        <w:keepNext/>
        <w:keepLines/>
        <w:widowControl w:val="1"/>
      </w:pPr>
      <w:r>
        <w:t xml:space="preserve">5.3 Bias cancellation</w:t>
      </w:r>
    </w:p>
    <w:p>
      <w:pPr>
        <w:pStyle w:val="FirstParagraph"/>
        <w:jc w:val="both"/>
        <w:keepNext w:val="0"/>
        <w:keepLines w:val="0"/>
        <w:widowControl w:val="1"/>
      </w:pPr>
      <w:r>
        <w:t xml:space="preserve">We test whether CoEval's ensemble cancels verbosity bias — the tendency to reward longer responses — on</w:t>
      </w:r>
      <w:r>
        <w:t xml:space="preserve"> </w:t>
      </w:r>
      <w:r>
        <w:t xml:space="preserve">the four-task</w:t>
      </w:r>
      <w:r>
        <w:t xml:space="preserve"> </w:t>
      </w:r>
      <w:r>
        <w:rPr>
          <w:rStyle w:val="VerbatimChar"/>
        </w:rPr>
        <w:t xml:space="preserve">medium-benchmark</w:t>
      </w:r>
      <w:r>
        <w:t xml:space="preserve"> </w:t>
      </w:r>
      <w:r>
        <w:t xml:space="preserve">run, whose judge panel is</w:t>
      </w:r>
      <w:r>
        <w:t xml:space="preserve"> </w:t>
      </w:r>
      <w:r>
        <w:rPr>
          <w:rStyle w:val="VerbatimChar"/>
        </w:rPr>
        <w:t xml:space="preserve">gpt-4o-mini</w:t>
      </w:r>
      <w:r>
        <w:t xml:space="preserve"> </w:t>
      </w:r>
      <w:r>
        <w:t xml:space="preserve">and</w:t>
      </w:r>
      <w:r>
        <w:t xml:space="preserve"> </w:t>
      </w:r>
      <w:r>
        <w:rPr>
          <w:rStyle w:val="VerbatimChar"/>
        </w:rPr>
        <w:t xml:space="preserve">gpt-3.5-turbo</w:t>
      </w:r>
      <w:r>
        <w:t xml:space="preserve"> </w:t>
      </w:r>
      <w:r>
        <w:t xml:space="preserve">(OpenAI) together with</w:t>
      </w:r>
      <w:r>
        <w:t xml:space="preserve"> </w:t>
      </w:r>
      <w:r>
        <w:rPr>
          <w:rStyle w:val="VerbatimChar"/>
        </w:rPr>
        <w:t xml:space="preserve">qwen2.5-1.5b</w:t>
      </w:r>
      <w:r>
        <w:t xml:space="preserve"> </w:t>
      </w:r>
      <w:r>
        <w:t xml:space="preserve">and</w:t>
      </w:r>
      <w:r>
        <w:t xml:space="preserve"> </w:t>
      </w:r>
      <w:r>
        <w:rPr>
          <w:rStyle w:val="VerbatimChar"/>
        </w:rPr>
        <w:t xml:space="preserve">smollm2-1.7b</w:t>
      </w:r>
      <w:r>
        <w:t xml:space="preserve"> </w:t>
      </w:r>
      <w:r>
        <w:t xml:space="preserve">(open-weight).</w:t>
      </w:r>
      <w:r>
        <w:t xml:space="preserve"> </w:t>
      </w:r>
      <w:r>
        <w:t xml:space="preserve">For each judge we compute the Pearson correlation between response length and assigned score. Individual judges carry</w:t>
      </w:r>
      <w:r>
        <w:t xml:space="preserve"> </w:t>
      </w:r>
      <w:r>
        <w:t xml:space="preserve">length biases of</w:t>
      </w:r>
      <w:r>
        <w:t xml:space="preserve"> </w:t>
      </w:r>
      <w:r>
        <w:rPr>
          <w:i/>
          <w:iCs/>
        </w:rPr>
        <w:t xml:space="preserve">mixed sign</w:t>
      </w:r>
      <w:r>
        <w:t xml:space="preserve">:</w:t>
      </w:r>
      <w:r>
        <w:t xml:space="preserve"> </w:t>
      </w:r>
      <w:r>
        <w:rPr>
          <w:rStyle w:val="VerbatimChar"/>
        </w:rPr>
        <w:t xml:space="preserve">gpt-3.5-turbo</w:t>
      </w:r>
      <w:r>
        <w:t xml:space="preserve"> </w:t>
      </w:r>
      <w:r>
        <w:t xml:space="preserve">shows</w:t>
      </w:r>
      <w:r>
        <w:t xml:space="preserve"> </w:t>
      </w:r>
      <m:oMath>
        <m:r>
          <m:t>r</m:t>
        </m:r>
        <m:r>
          <m:rPr>
            <m:sty m:val="p"/>
          </m:rPr>
          <m:t>=</m:t>
        </m:r>
        <m:r>
          <m:rPr>
            <m:sty m:val="p"/>
          </m:rPr>
          <m:t>−</m:t>
        </m:r>
        <m:r>
          <m:t>0.177</m:t>
        </m:r>
      </m:oMath>
      <w:r>
        <w:t xml:space="preserve"> </w:t>
      </w:r>
      <w:r>
        <w:t xml:space="preserve">(penalizing length), while</w:t>
      </w:r>
      <w:r>
        <w:t xml:space="preserve"> </w:t>
      </w:r>
      <w:r>
        <w:rPr>
          <w:rStyle w:val="VerbatimChar"/>
        </w:rPr>
        <w:t xml:space="preserve">smollm2-1.7b</w:t>
      </w:r>
      <w:r>
        <w:t xml:space="preserve"> </w:t>
      </w:r>
      <w:r>
        <w:t xml:space="preserve">shows</w:t>
      </w:r>
      <w:r>
        <w:t xml:space="preserve"> </w:t>
      </w:r>
      <m:oMath>
        <m:r>
          <m:t>r</m:t>
        </m:r>
        <m:r>
          <m:rPr>
            <m:sty m:val="p"/>
          </m:rPr>
          <m:t>=</m:t>
        </m:r>
        <m:r>
          <m:rPr>
            <m:sty m:val="p"/>
          </m:rPr>
          <m:t>+</m:t>
        </m:r>
        <m:r>
          <m:t>0.234</m:t>
        </m:r>
      </m:oMath>
      <w:r>
        <w:t xml:space="preserve"> </w:t>
      </w:r>
      <w:r>
        <w:t xml:space="preserve">(rewarding length); across the panel the mean absolute bias is</w:t>
      </w:r>
      <w:r>
        <w:t xml:space="preserve"> </w:t>
      </w:r>
      <m:oMath>
        <m:bar>
          <m:barPr>
            <m:pos m:val="top"/>
          </m:barPr>
          <m:e>
            <m:r>
              <m:rPr>
                <m:sty m:val="p"/>
              </m:rPr>
              <m:t>|</m:t>
            </m:r>
            <m:r>
              <m:t>r</m:t>
            </m:r>
            <m:r>
              <m:rPr>
                <m:sty m:val="p"/>
              </m:rPr>
              <m:t>|</m:t>
            </m:r>
          </m:e>
        </m:bar>
        <m:r>
          <m:rPr>
            <m:sty m:val="p"/>
          </m:rPr>
          <m:t>=</m:t>
        </m:r>
        <m:r>
          <m:t>0.153</m:t>
        </m:r>
      </m:oMath>
      <w:r>
        <w:t xml:space="preserve">. No single judge is length-neutral.</w:t>
      </w:r>
    </w:p>
    <w:p>
      <w:pPr>
        <w:pStyle w:val="BodyText"/>
        <w:jc w:val="both"/>
        <w:keepNext w:val="0"/>
        <w:keepLines w:val="0"/>
        <w:widowControl w:val="1"/>
      </w:pPr>
      <w:r>
        <w:t xml:space="preserve">The cancellation mechanism is the</w:t>
      </w:r>
      <w:r>
        <w:t xml:space="preserve"> </w:t>
      </w:r>
      <w:r>
        <w:rPr>
          <w:i/>
          <w:iCs/>
        </w:rPr>
        <w:t xml:space="preserve">mixed sign</w:t>
      </w:r>
      <w:r>
        <w:t xml:space="preserve"> </w:t>
      </w:r>
      <w:r>
        <w:t xml:space="preserve">of these biases under averaging, which a diverse panel supplies.</w:t>
      </w:r>
      <w:r>
        <w:t xml:space="preserve"> </w:t>
      </w:r>
      <w:r>
        <w:t xml:space="preserve">We note a confound shared with self-preference (Section 5.4): in this panel, sign-diversity is correlated with</w:t>
      </w:r>
      <w:r>
        <w:t xml:space="preserve"> </w:t>
      </w:r>
      <w:r>
        <w:t xml:space="preserve">both vendor family and model capability (the strong OpenAI judges penalize length; the small open-weight judges reward</w:t>
      </w:r>
      <w:r>
        <w:t xml:space="preserve"> </w:t>
      </w:r>
      <w:r>
        <w:t xml:space="preserve">it), so we attribute the cancellation to bias-sign diversity rather than to vendor family</w:t>
      </w:r>
      <w:r>
        <w:t xml:space="preserve"> </w:t>
      </w:r>
      <w:r>
        <w:rPr>
          <w:i/>
          <w:iCs/>
        </w:rPr>
        <w:t xml:space="preserve">per se</w:t>
      </w:r>
      <w:r>
        <w:t xml:space="preserve">. The</w:t>
      </w:r>
      <w:r>
        <w:t xml:space="preserve"> </w:t>
      </w:r>
      <w:r>
        <w:t xml:space="preserve">practical recipe is the same—assemble judges whose idiosyncratic biases are unlikely to align—and vendor</w:t>
      </w:r>
      <w:r>
        <w:t xml:space="preserve"> </w:t>
      </w:r>
      <w:r>
        <w:t xml:space="preserve">diversity is a convenient, observable proxy for it.</w:t>
      </w:r>
    </w:p>
    <w:p>
      <w:pPr>
        <w:pStyle w:val="BodyText"/>
        <w:jc w:val="both"/>
        <w:keepNext w:val="0"/>
        <w:keepLines w:val="0"/>
        <w:widowControl w:val="1"/>
      </w:pPr>
      <w:r>
        <w:t xml:space="preserve">The</w:t>
      </w:r>
      <w:r>
        <w:t xml:space="preserve"> </w:t>
      </w:r>
      <w:r>
        <w:rPr>
          <w:b/>
          <w:bCs/>
        </w:rPr>
        <w:t xml:space="preserve">ensemble</w:t>
      </w:r>
      <w:r>
        <w:t xml:space="preserve"> </w:t>
      </w:r>
      <w:r>
        <w:t xml:space="preserve">correlation between length and score is</w:t>
      </w:r>
      <w:r>
        <w:t xml:space="preserve"> </w:t>
      </w:r>
      <m:oMath>
        <m:r>
          <m:t>r</m:t>
        </m:r>
        <m:r>
          <m:rPr>
            <m:sty m:val="p"/>
          </m:rPr>
          <m:t>=</m:t>
        </m:r>
        <m:r>
          <m:rPr>
            <m:sty m:val="p"/>
          </m:rPr>
          <m:t>+</m:t>
        </m:r>
        <m:r>
          <m:t>0.010</m:t>
        </m:r>
      </m:oMath>
      <w:r>
        <w:t xml:space="preserve">, with a 95% bootstrap confidence</w:t>
      </w:r>
      <w:r>
        <w:t xml:space="preserve"> </w:t>
      </w:r>
      <w:r>
        <w:t xml:space="preserve">interval of</w:t>
      </w:r>
      <w:r>
        <w:t xml:space="preserve"> </w:t>
      </w:r>
      <m:oMath>
        <m:r>
          <m:rPr>
            <m:sty m:val="p"/>
          </m:rPr>
          <m:t>[</m:t>
        </m:r>
        <m:r>
          <m:rPr>
            <m:sty m:val="p"/>
          </m:rPr>
          <m:t>−</m:t>
        </m:r>
        <m:r>
          <m:t>0.039</m:t>
        </m:r>
        <m:r>
          <m:rPr>
            <m:sty m:val="p"/>
          </m:rPr>
          <m:t>,</m:t>
        </m:r>
        <m:r>
          <m:t> </m:t>
        </m:r>
        <m:r>
          <m:rPr>
            <m:sty m:val="p"/>
          </m:rPr>
          <m:t>+</m:t>
        </m:r>
        <m:r>
          <m:t>0.057</m:t>
        </m:r>
        <m:r>
          <m:rPr>
            <m:sty m:val="p"/>
          </m:rPr>
          <m:t>]</m:t>
        </m:r>
      </m:oMath>
      <w:r>
        <w:t xml:space="preserve"> </w:t>
      </w:r>
      <w:r>
        <w:t xml:space="preserve">that</w:t>
      </w:r>
      <w:r>
        <w:t xml:space="preserve"> </w:t>
      </w:r>
      <w:r>
        <w:rPr>
          <w:i/>
          <w:iCs/>
        </w:rPr>
        <w:t xml:space="preserve">includes zero</w:t>
      </w:r>
      <w:r>
        <w:t xml:space="preserve"> </w:t>
      </w:r>
      <w:r>
        <w:t xml:space="preserve">— a 93% reduction in length-bias magnitude relative</w:t>
      </w:r>
      <w:r>
        <w:t xml:space="preserve"> </w:t>
      </w:r>
      <w:r>
        <w:t xml:space="preserve">to the per-judge mean. The mixed-sign individual biases cancel under the averaging of</w:t>
      </w:r>
      <w:r>
        <w:t xml:space="preserve"> </w:t>
      </w:r>
      <m:oMath>
        <m:sSub>
          <m:e>
            <m:acc>
              <m:accPr>
                <m:chr m:val="‾"/>
              </m:accPr>
              <m:e>
                <m:r>
                  <m:t>s</m:t>
                </m:r>
              </m:e>
            </m:acc>
          </m:e>
          <m:sub>
            <m:r>
              <m:t>i</m:t>
            </m:r>
          </m:sub>
        </m:sSub>
      </m:oMath>
      <w:r>
        <w:t xml:space="preserve">, leaving an aggregate</w:t>
      </w:r>
      <w:r>
        <w:t xml:space="preserve"> </w:t>
      </w:r>
      <w:r>
        <w:t xml:space="preserve">score that is statistically indistinguishable from length-neutral.</w:t>
      </w:r>
    </w:p>
    <w:p>
      <w:pPr>
        <w:pStyle w:val="TableCaption"/>
        <w:spacing w:before="160" w:after="60" w:line="240" w:lineRule="auto"/>
        <w:jc w:val="center"/>
        <w:keepNext/>
        <w:keepLines/>
        <w:widowControl w:val="1"/>
      </w:pPr>
      <w:r>
        <w:rPr>
          <w:b/>
          <w:bCs/>
        </w:rPr>
        <w:t xml:space="preserve">Table 3.</w:t>
      </w:r>
      <w:r>
        <w:t xml:space="preserve"> </w:t>
      </w:r>
      <w:r>
        <w:t xml:space="preserve">Verbosity bias (Pearson</w:t>
      </w:r>
      <w:r>
        <w:t xml:space="preserve"> </w:t>
      </w:r>
      <m:oMath>
        <m:r>
          <m:t>r</m:t>
        </m:r>
      </m:oMath>
      <w:r>
        <w:t xml:space="preserve"> </w:t>
      </w:r>
      <w:r>
        <w:t xml:space="preserve">between response length and score) for representative</w:t>
      </w:r>
      <w:r>
        <w:t xml:space="preserve"> </w:t>
      </w:r>
      <w:r>
        <w:t xml:space="preserve">individual judges versus the CoEval ensemble. The ensemble CI includes zero.</w:t>
      </w:r>
    </w:p>
    <w:tbl>
      <w:tblPr>
        <w:tblStyle w:val="Table"/>
        <w:tblW w:type="pct" w:w="5000"/>
        <w:jc w:val="center"/>
        <w:tblLook w:firstRow="1" w:lastRow="0" w:firstColumn="0" w:lastColumn="0" w:noHBand="0" w:noVBand="0" w:val="0020"/>
        <w:tblCaption w:val="Table 3. Verbosity bias (Pearson r between response length and score) for representative individual judges versus the CoEval ensemble. The ensemble CI includes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Judge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Length-bias</w:t>
            </w:r>
            <w:r>
              <w:rPr>
                <w:rFonts w:ascii="Times New Roman" w:hAnsi="Times New Roman"/>
                <w:b/>
                <w:sz w:val="19"/>
              </w:rPr>
              <w:t xml:space="preserve"> </w:t>
            </w:r>
            <m:oMath>
              <m:r>
                <m:t>r</m:t>
              </m:r>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95% bootstrap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SmolLM2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Panel mean</w:t>
            </w:r>
            <w:r>
              <w:rPr>
                <w:rFonts w:ascii="Times New Roman" w:hAnsi="Times New Roman"/>
                <w:sz w:val="20"/>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CoEval ensemble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[−0.039, +0.057]</w:t>
            </w:r>
          </w:p>
        </w:tc>
      </w:tr>
    </w:tbl>
    <w:p>
      <w:pPr>
        <w:pStyle w:val="BodyText"/>
        <w:jc w:val="center"/>
        <w:keepNext/>
        <w:keepLines/>
        <w:widowControl w:val="1"/>
      </w:pPr>
      <w:r>
        <w:drawing>
          <wp:inline>
            <wp:extent cx="5163312" cy="2987040"/>
            <wp:effectExtent b="0" l="0" r="0" t="0"/>
            <wp:docPr descr="Forest plot of per-judge length-bias correlations with the ensemble near zero" title="" id="34" name="Picture"/>
            <a:graphic>
              <a:graphicData uri="http://schemas.openxmlformats.org/drawingml/2006/picture">
                <pic:pic>
                  <pic:nvPicPr>
                    <pic:cNvPr descr="figures/f3_verbosity_forest.png" id="35" name="Picture"/>
                    <pic:cNvPicPr>
                      <a:picLocks noChangeArrowheads="1" noChangeAspect="1"/>
                    </pic:cNvPicPr>
                  </pic:nvPicPr>
                  <pic:blipFill>
                    <a:blip r:embed="rId33"/>
                    <a:stretch>
                      <a:fillRect/>
                    </a:stretch>
                  </pic:blipFill>
                  <pic:spPr bwMode="auto">
                    <a:xfrm>
                      <a:off x="0" y="0"/>
                      <a:ext cx="516331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4.</w:t>
      </w:r>
      <w:r>
        <w:t xml:space="preserve"> </w:t>
      </w:r>
      <w:r>
        <w:t xml:space="preserve">Verbosity bias by judge. Each judge's Pearson correlation between response</w:t>
      </w:r>
      <w:r>
        <w:t xml:space="preserve"> </w:t>
      </w:r>
      <w:r>
        <w:t xml:space="preserve">length and score (point) with its 95% bootstrap CI; the ensemble (green) sits at</w:t>
      </w:r>
      <w:r>
        <w:t xml:space="preserve"> </w:t>
      </w:r>
      <m:oMath>
        <m:r>
          <m:t>r</m:t>
        </m:r>
        <m:r>
          <m:rPr>
            <m:sty m:val="p"/>
          </m:rPr>
          <m:t>=</m:t>
        </m:r>
        <m:r>
          <m:rPr>
            <m:sty m:val="p"/>
          </m:rPr>
          <m:t>+</m:t>
        </m:r>
        <m:r>
          <m:t>0.010</m:t>
        </m:r>
      </m:oMath>
      <w:r>
        <w:t xml:space="preserve"> </w:t>
      </w:r>
      <w:r>
        <w:t xml:space="preserve">with a CI spanning zero.</w:t>
      </w:r>
      <w:r>
        <w:t xml:space="preserve"> </w:t>
      </w:r>
      <w:r>
        <w:t xml:space="preserve">Mixed-sign per-judge biases cancel under averaging.</w:t>
      </w:r>
    </w:p>
    <w:p>
      <w:pPr>
        <w:pStyle w:val="BodyText"/>
        <w:jc w:val="both"/>
        <w:keepNext w:val="0"/>
        <w:keepLines w:val="0"/>
        <w:widowControl w:val="1"/>
      </w:pPr>
      <w:r>
        <w:rPr>
          <w:b/>
          <w:bCs/>
        </w:rPr>
        <w:t xml:space="preserve">Finding (bias cancellation).</w:t>
      </w:r>
      <w:r>
        <w:t xml:space="preserve"> </w:t>
      </w:r>
      <w:r>
        <w:t xml:space="preserve">The ensemble removes a verbosity bias that no single judge avoids:</w:t>
      </w:r>
      <w:r>
        <w:t xml:space="preserve"> </w:t>
      </w:r>
      <w:r>
        <w:t xml:space="preserve">mean per-judge</w:t>
      </w:r>
      <w:r>
        <w:t xml:space="preserve"> </w:t>
      </w:r>
      <m:oMath>
        <m:r>
          <m:rPr>
            <m:sty m:val="p"/>
          </m:rPr>
          <m:t>|</m:t>
        </m:r>
        <m:r>
          <m:t>r</m:t>
        </m:r>
        <m:r>
          <m:rPr>
            <m:sty m:val="p"/>
          </m:rPr>
          <m:t>|</m:t>
        </m:r>
        <m:r>
          <m:rPr>
            <m:sty m:val="p"/>
          </m:rPr>
          <m:t>=</m:t>
        </m:r>
        <m:r>
          <m:t>0.153</m:t>
        </m:r>
      </m:oMath>
      <w:r>
        <w:t xml:space="preserve"> </w:t>
      </w:r>
      <w:r>
        <w:t xml:space="preserve">collapses to an ensemble</w:t>
      </w:r>
      <w:r>
        <w:t xml:space="preserve"> </w:t>
      </w:r>
      <m:oMath>
        <m:r>
          <m:t>r</m:t>
        </m:r>
        <m:r>
          <m:rPr>
            <m:sty m:val="p"/>
          </m:rPr>
          <m:t>=</m:t>
        </m:r>
        <m:r>
          <m:rPr>
            <m:sty m:val="p"/>
          </m:rPr>
          <m:t>+</m:t>
        </m:r>
        <m:r>
          <m:t>0.010</m:t>
        </m:r>
      </m:oMath>
      <w:r>
        <w:t xml:space="preserve"> </w:t>
      </w:r>
      <w:r>
        <w:t xml:space="preserve">whose 95% CI</w:t>
      </w:r>
      <w:r>
        <w:t xml:space="preserve"> </w:t>
      </w:r>
      <m:oMath>
        <m:r>
          <m:rPr>
            <m:sty m:val="p"/>
          </m:rPr>
          <m:t>[</m:t>
        </m:r>
        <m:r>
          <m:rPr>
            <m:sty m:val="p"/>
          </m:rPr>
          <m:t>−</m:t>
        </m:r>
        <m:r>
          <m:t>0.039</m:t>
        </m:r>
        <m:r>
          <m:rPr>
            <m:sty m:val="p"/>
          </m:rPr>
          <m:t>,</m:t>
        </m:r>
        <m:r>
          <m:rPr>
            <m:sty m:val="p"/>
          </m:rPr>
          <m:t>+</m:t>
        </m:r>
        <m:r>
          <m:t>0.057</m:t>
        </m:r>
        <m:r>
          <m:rPr>
            <m:sty m:val="p"/>
          </m:rPr>
          <m:t>]</m:t>
        </m:r>
      </m:oMath>
      <w:r>
        <w:t xml:space="preserve"> </w:t>
      </w:r>
      <w:r>
        <w:t xml:space="preserve">contains zero, a</w:t>
      </w:r>
      <w:r>
        <w:t xml:space="preserve"> </w:t>
      </w:r>
      <w:r>
        <w:t xml:space="preserve">93% reduction.</w:t>
      </w:r>
    </w:p>
    <w:bookmarkEnd w:id="36"/>
    <w:bookmarkStart w:id="37" w:name="Xafb02bce621e02934ae814be540128cfed2d296"/>
    <w:p>
      <w:pPr>
        <w:pStyle w:val="Heading3"/>
        <w:keepNext/>
        <w:keepLines/>
        <w:widowControl w:val="1"/>
      </w:pPr>
      <w:r>
        <w:t xml:space="preserve">5.4 Cross-family self-preference: a design property</w:t>
      </w:r>
    </w:p>
    <w:p>
      <w:pPr>
        <w:pStyle w:val="FirstParagraph"/>
        <w:jc w:val="both"/>
        <w:keepNext w:val="0"/>
        <w:keepLines w:val="0"/>
        <w:widowControl w:val="1"/>
      </w:pPr>
      <w:r>
        <w:t xml:space="preserve">Recent work establishes that judge–generator relatedness inflates scores:</w:t>
      </w:r>
      <w:r>
        <w:t xml:space="preserve"> </w:t>
      </w:r>
      <w:r>
        <w:rPr>
          <w:i/>
          <w:iCs/>
        </w:rPr>
        <w:t xml:space="preserve">Preference Leakage</w:t>
      </w:r>
      <w:r>
        <w:t xml:space="preserve"> </w:t>
      </w:r>
      <w:hyperlink w:anchor="r15">
        <w:r>
          <w:rPr>
            <w:rStyle w:val="Hyperlink"/>
            <w:vertAlign w:val="superscript"/>
          </w:rPr>
          <w:t xml:space="preserve">[15]</w:t>
        </w:r>
      </w:hyperlink>
      <w:r>
        <w:t xml:space="preserve"> </w:t>
      </w:r>
      <w:r>
        <w:t xml:space="preserve">identifies same-model and same-family relatedness as a contamination vector, and</w:t>
      </w:r>
      <w:r>
        <w:t xml:space="preserve"> </w:t>
      </w:r>
      <w:r>
        <w:rPr>
          <w:i/>
          <w:iCs/>
        </w:rPr>
        <w:t xml:space="preserve">Play Favorites</w:t>
      </w:r>
      <w:r>
        <w:t xml:space="preserve"> </w:t>
      </w:r>
      <w:hyperlink w:anchor="r16">
        <w:r>
          <w:rPr>
            <w:rStyle w:val="Hyperlink"/>
            <w:vertAlign w:val="superscript"/>
          </w:rPr>
          <w:t xml:space="preserve">[16]</w:t>
        </w:r>
      </w:hyperlink>
      <w:r>
        <w:t xml:space="preserve"> </w:t>
      </w:r>
      <w:r>
        <w:t xml:space="preserve">measures frontier models favoring same-family outputs.</w:t>
      </w:r>
      <w:r>
        <w:t xml:space="preserve"> </w:t>
      </w:r>
      <w:r>
        <w:t xml:space="preserve">CoEval addresses this</w:t>
      </w:r>
      <w:r>
        <w:t xml:space="preserve"> </w:t>
      </w:r>
      <w:r>
        <w:rPr>
          <w:i/>
          <w:iCs/>
        </w:rPr>
        <w:t xml:space="preserve">structurally</w:t>
      </w:r>
      <w:r>
        <w:t xml:space="preserve">: by requiring the judge panel to be vendor-disjoint from the student under</w:t>
      </w:r>
      <w:r>
        <w:t xml:space="preserve"> </w:t>
      </w:r>
      <w:r>
        <w:t xml:space="preserve">test, it precludes a model from scoring its own family, eliminating the self-preference channel by design rather than</w:t>
      </w:r>
      <w:r>
        <w:t xml:space="preserve"> </w:t>
      </w:r>
      <w:r>
        <w:t xml:space="preserve">by post-hoc correction. A preliminary re-analysis is consistent with the effect—a model is rated</w:t>
      </w:r>
      <w:r>
        <w:t xml:space="preserve"> </w:t>
      </w:r>
      <m:oMath>
        <m:r>
          <m:rPr>
            <m:sty m:val="p"/>
          </m:rPr>
          <m:t>≈</m:t>
        </m:r>
        <m:r>
          <m:t>0.09</m:t>
        </m:r>
      </m:oMath>
      <w:r>
        <w:t xml:space="preserve"> </w:t>
      </w:r>
      <w:r>
        <w:t xml:space="preserve">higher (normalized</w:t>
      </w:r>
      <w:r>
        <w:t xml:space="preserve"> </w:t>
      </w:r>
      <m:oMath>
        <m:r>
          <m:rPr>
            <m:sty m:val="p"/>
          </m:rPr>
          <m:t>[</m:t>
        </m:r>
        <m:r>
          <m:t>0</m:t>
        </m:r>
        <m:r>
          <m:rPr>
            <m:sty m:val="p"/>
          </m:rPr>
          <m:t>,</m:t>
        </m:r>
        <m:r>
          <m:t>1</m:t>
        </m:r>
        <m:r>
          <m:rPr>
            <m:sty m:val="p"/>
          </m:rPr>
          <m:t>]</m:t>
        </m:r>
      </m:oMath>
      <w:r>
        <w:t xml:space="preserve">) by same-family than by out-of-family judges—though in that panel the out-of-family</w:t>
      </w:r>
      <w:r>
        <w:t xml:space="preserve"> </w:t>
      </w:r>
      <w:r>
        <w:t xml:space="preserve">judges are also smaller models, so this figure conflates family with capability and is reported as indicative only.</w:t>
      </w:r>
      <w:r>
        <w:t xml:space="preserve"> </w:t>
      </w:r>
      <w:r>
        <w:t xml:space="preserve">A controlled measurement holding judge capability fixed across</w:t>
      </w:r>
      <w:r>
        <w:t xml:space="preserve"> </w:t>
      </w:r>
      <m:oMath>
        <m:r>
          <m:rPr>
            <m:sty m:val="p"/>
          </m:rPr>
          <m:t>≥</m:t>
        </m:r>
        <m:r>
          <m:t>3</m:t>
        </m:r>
      </m:oMath>
      <w:r>
        <w:t xml:space="preserve"> </w:t>
      </w:r>
      <w:r>
        <w:t xml:space="preserve">families (the protocol of [16]) is the natural</w:t>
      </w:r>
      <w:r>
        <w:t xml:space="preserve"> </w:t>
      </w:r>
      <w:r>
        <w:t xml:space="preserve">validation and is left to future work; the design guarantee itself does not depend on it.</w:t>
      </w:r>
    </w:p>
    <w:p>
      <w:pPr>
        <w:pStyle w:val="BodyText"/>
        <w:jc w:val="both"/>
        <w:keepNext w:val="0"/>
        <w:keepLines w:val="0"/>
        <w:widowControl w:val="1"/>
      </w:pPr>
      <w:r>
        <w:rPr>
          <w:b/>
          <w:bCs/>
        </w:rPr>
        <w:t xml:space="preserve">Property (self-preference).</w:t>
      </w:r>
      <w:r>
        <w:t xml:space="preserve"> </w:t>
      </w:r>
      <w:r>
        <w:t xml:space="preserve">CoEval's vendor-disjoint panel structurally precludes a model from</w:t>
      </w:r>
      <w:r>
        <w:t xml:space="preserve"> </w:t>
      </w:r>
      <w:r>
        <w:t xml:space="preserve">judging its own family, closing the self-preference channel by design. A controlled cross-capability measurement is</w:t>
      </w:r>
      <w:r>
        <w:t xml:space="preserve"> </w:t>
      </w:r>
      <w:r>
        <w:t xml:space="preserve">future work; the present cross-family estimate (</w:t>
      </w:r>
      <m:oMath>
        <m:r>
          <m:rPr>
            <m:sty m:val="p"/>
          </m:rPr>
          <m:t>≈</m:t>
        </m:r>
        <m:r>
          <m:t>0.09</m:t>
        </m:r>
      </m:oMath>
      <w:r>
        <w:t xml:space="preserve">) is indicative, not a confirmed bias magnitude.</w:t>
      </w:r>
    </w:p>
    <w:bookmarkEnd w:id="37"/>
    <w:bookmarkStart w:id="41" w:name="rubric-generalization"/>
    <w:p>
      <w:pPr>
        <w:pStyle w:val="Heading3"/>
        <w:keepNext/>
        <w:keepLines/>
        <w:widowControl w:val="1"/>
      </w:pPr>
      <w:r>
        <w:t xml:space="preserve">5.5 Rubric generalization</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w:t>
      </w:r>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5736336" cy="4998720"/>
            <wp:effectExtent b="0" l="0" r="0" t="0"/>
            <wp:docPr descr="Heatmap of pairwise semantic similarity between auto-generated rubric criteria" title="" id="39" name="Picture"/>
            <a:graphic>
              <a:graphicData uri="http://schemas.openxmlformats.org/drawingml/2006/picture">
                <pic:pic>
                  <pic:nvPicPr>
                    <pic:cNvPr descr="figures/f5_rubric_heatmap.png" id="40" name="Picture"/>
                    <pic:cNvPicPr>
                      <a:picLocks noChangeArrowheads="1" noChangeAspect="1"/>
                    </pic:cNvPicPr>
                  </pic:nvPicPr>
                  <pic:blipFill>
                    <a:blip r:embed="rId38"/>
                    <a:stretch>
                      <a:fillRect/>
                    </a:stretch>
                  </pic:blipFill>
                  <pic:spPr bwMode="auto">
                    <a:xfrm>
                      <a:off x="0" y="0"/>
                      <a:ext cx="5736336" cy="4998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5.</w:t>
      </w:r>
      <w:r>
        <w:t xml:space="preserve"> </w:t>
      </w:r>
      <w:r>
        <w:t xml:space="preserve">Pairwise semantic similarity of the 22 auto-generated rubric criteria across</w:t>
      </w:r>
      <w:r>
        <w:t xml:space="preserve"> </w:t>
      </w:r>
      <w:r>
        <w:t xml:space="preserve">four tasks. Block structure along the diagonal reflects task specialization (within-task</w:t>
      </w:r>
      <w:r>
        <w:t xml:space="preserve"> </w:t>
      </w:r>
      <m:oMath>
        <m:r>
          <m:t>0.342</m:t>
        </m:r>
        <m:r>
          <m:rPr>
            <m:sty m:val="p"/>
          </m:rPr>
          <m:t>&gt;</m:t>
        </m:r>
      </m:oMath>
      <w:r>
        <w:t xml:space="preserve"> </w:t>
      </w:r>
      <w:r>
        <w:t xml:space="preserve">cross-task</w:t>
      </w:r>
      <w:r>
        <w:t xml:space="preserve"> </w:t>
      </w:r>
      <m:oMath>
        <m:r>
          <m:t>0.294</m:t>
        </m:r>
      </m:oMath>
      <w:r>
        <w:t xml:space="preserve">), while a recurring “completeness” dimension forms a cross-task cluster.</w:t>
      </w:r>
    </w:p>
    <w:p>
      <w:pPr>
        <w:pStyle w:val="BodyText"/>
        <w:jc w:val="both"/>
        <w:keepNext w:val="0"/>
        <w:keepLines w:val="0"/>
        <w:widowControl w:val="1"/>
      </w:pPr>
      <w:r>
        <w:rPr>
          <w:b/>
          <w:bCs/>
        </w:rPr>
        <w:t xml:space="preserve">Finding (rubrics).</w:t>
      </w:r>
      <w:r>
        <w:t xml:space="preserve"> </w:t>
      </w:r>
      <w:r>
        <w:t xml:space="preserve">Auto-generated rubrics are task-specialized (within-task similarity</w:t>
      </w:r>
      <w:r>
        <w:t xml:space="preserve"> </w:t>
      </w:r>
      <m:oMath>
        <m:r>
          <m:t>0.342</m:t>
        </m:r>
        <m:r>
          <m:rPr>
            <m:sty m:val="p"/>
          </m:rPr>
          <m:t>&gt;</m:t>
        </m:r>
      </m:oMath>
      <w:r>
        <w:t xml:space="preserve"> </w:t>
      </w:r>
      <w:r>
        <w:t xml:space="preserve">cross-task</w:t>
      </w:r>
      <w:r>
        <w:t xml:space="preserve"> </w:t>
      </w:r>
      <m:oMath>
        <m:r>
          <m:t>0.294</m:t>
        </m:r>
      </m:oMath>
      <w:r>
        <w:t xml:space="preserve">) while sharing a universal “completeness” dimension across three tasks.</w:t>
      </w:r>
    </w:p>
    <w:bookmarkEnd w:id="41"/>
    <w:bookmarkStart w:id="42" w:name="contamination-resistance"/>
    <w:p>
      <w:pPr>
        <w:pStyle w:val="Heading3"/>
        <w:keepNext/>
        <w:keepLines/>
        <w:widowControl w:val="1"/>
      </w:pPr>
      <w:r>
        <w:t xml:space="preserve">5.6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measures verbatim non-duplication of the sampled public test sets—it does not, on its own, certify absence from</w:t>
      </w:r>
      <w:r>
        <w:t xml:space="preserve"> </w:t>
      </w:r>
      <w:r>
        <w:t xml:space="preserve">the full (unobservable) pretraining corpus, and it is defeated in principle by paraphrase. It nonetheless</w:t>
      </w:r>
      <w:r>
        <w:t xml:space="preserve"> </w:t>
      </w:r>
      <w:r>
        <w:rPr>
          <w:i/>
          <w:iCs/>
        </w:rPr>
        <w:t xml:space="preserve">corroborates</w:t>
      </w:r>
      <w:r>
        <w:t xml:space="preserve"> </w:t>
      </w:r>
      <w:r>
        <w:t xml:space="preserve">the real guarantee, which is structural: because items are synthesized fresh from the attribute</w:t>
      </w:r>
      <w:r>
        <w:t xml:space="preserve"> </w:t>
      </w:r>
      <w:r>
        <w:t xml:space="preserve">specification on each run, they cannot have appeared in any model's</w:t>
      </w:r>
      <w:r>
        <w:t xml:space="preserve"> </w:t>
      </w:r>
      <w:r>
        <w:rPr>
          <w:i/>
          <w:iCs/>
        </w:rPr>
        <w:t xml:space="preserve">prior</w:t>
      </w:r>
      <w:r>
        <w:t xml:space="preserve"> </w:t>
      </w:r>
      <w:r>
        <w:t xml:space="preserve">training, and a model cannot retrieve</w:t>
      </w:r>
      <w:r>
        <w:t xml:space="preserve"> </w:t>
      </w:r>
      <w:r>
        <w:t xml:space="preserve">them from a leaked copy of these widely-used benchmarks. (We re-emphasize the scope from Section 5.1: this holds</w:t>
      </w:r>
      <w:r>
        <w:t xml:space="preserve"> </w:t>
      </w:r>
      <w:r>
        <w:t xml:space="preserve">for CoEval's generated items; the benchmark-grounded anchor of Table 1 deliberately reuses public items to obtain</w:t>
      </w:r>
      <w:r>
        <w:t xml:space="preserve"> </w:t>
      </w:r>
      <w:r>
        <w:t xml:space="preserve">objective ground truth.)</w:t>
      </w:r>
    </w:p>
    <w:p>
      <w:pPr>
        <w:pStyle w:val="BodyText"/>
        <w:jc w:val="both"/>
        <w:keepNext w:val="0"/>
        <w:keepLines w:val="0"/>
        <w:widowControl w:val="1"/>
      </w:pPr>
      <w:r>
        <w:rPr>
          <w:b/>
          <w:bCs/>
        </w:rPr>
        <w:t xml:space="preserve">Finding (contamination).</w:t>
      </w:r>
      <w:r>
        <w:t xml:space="preserve"> </w:t>
      </w:r>
      <w:r>
        <w:t xml:space="preserve">CoEval-generated items show</w:t>
      </w:r>
      <w:r>
        <w:t xml:space="preserve"> </w:t>
      </w:r>
      <m:oMath>
        <m:r>
          <m:t>0.0000</m:t>
        </m:r>
      </m:oMath>
      <w:r>
        <w:t xml:space="preserve"> </w:t>
      </w:r>
      <w:r>
        <w:t xml:space="preserve">verbatim 13-gram overlap with five</w:t>
      </w:r>
      <w:r>
        <w:t xml:space="preserve"> </w:t>
      </w:r>
      <w:r>
        <w:t xml:space="preserve">major public benchmarks (</w:t>
      </w:r>
      <m:oMath>
        <m:r>
          <m:t>n</m:t>
        </m:r>
        <m:r>
          <m:rPr>
            <m:sty m:val="p"/>
          </m:rPr>
          <m:t>=</m:t>
        </m:r>
        <m:r>
          <m:t>400</m:t>
        </m:r>
      </m:oMath>
      <w:r>
        <w:t xml:space="preserve"> </w:t>
      </w:r>
      <w:r>
        <w:t xml:space="preserve">vs</w:t>
      </w:r>
      <w:r>
        <w:t xml:space="preserve"> </w:t>
      </w:r>
      <m:oMath>
        <m:r>
          <m:t>491</m:t>
        </m:r>
      </m:oMath>
      <w:r>
        <w:t xml:space="preserve"> </w:t>
      </w:r>
      <w:r>
        <w:t xml:space="preserve">items;</w:t>
      </w:r>
      <w:r>
        <w:t xml:space="preserve"> </w:t>
      </w:r>
      <m:oMath>
        <m:r>
          <m:t>110</m:t>
        </m:r>
        <m:r>
          <m:rPr>
            <m:sty m:val="p"/>
          </m:rPr>
          <m:t>,</m:t>
        </m:r>
        <m:r>
          <m:t>784</m:t>
        </m:r>
      </m:oMath>
      <w:r>
        <w:t xml:space="preserve"> </w:t>
      </w:r>
      <w:r>
        <w:t xml:space="preserve">distinct public 13-grams), corroborating—alongside</w:t>
      </w:r>
      <w:r>
        <w:t xml:space="preserve"> </w:t>
      </w:r>
      <w:r>
        <w:t xml:space="preserve">the structural freshness guarantee—that generated evaluation items are not leaked copies of public test sets.</w:t>
      </w:r>
    </w:p>
    <w:bookmarkEnd w:id="42"/>
    <w:bookmarkStart w:id="46" w:name="cost"/>
    <w:p>
      <w:pPr>
        <w:pStyle w:val="Heading3"/>
        <w:keepNext/>
        <w:keepLines/>
        <w:widowControl w:val="1"/>
      </w:pPr>
      <w:r>
        <w:t xml:space="preserve">5.7 Cost</w:t>
      </w:r>
    </w:p>
    <w:p>
      <w:pPr>
        <w:pStyle w:val="FirstParagraph"/>
        <w:jc w:val="both"/>
        <w:keepNext w:val="0"/>
        <w:keepLines w:val="0"/>
        <w:widowControl w:val="1"/>
      </w:pPr>
      <w:r>
        <w:t xml:space="preserve">The entire four-task medium-scale study — teacher generation, student response collection, cross-family judging,</w:t>
      </w:r>
      <w:r>
        <w:t xml:space="preserve"> </w:t>
      </w:r>
      <w:r>
        <w:t xml:space="preserve">and analysis — produced</w:t>
      </w:r>
      <w:r>
        <w:t xml:space="preserve"> </w:t>
      </w:r>
      <w:r>
        <w:rPr>
          <w:b/>
          <w:bCs/>
        </w:rPr>
        <w:t xml:space="preserve">7,978 valid evaluations</w:t>
      </w:r>
      <w:r>
        <w:t xml:space="preserve"> </w:t>
      </w:r>
      <w:r>
        <w:t xml:space="preserve">for a total cost of</w:t>
      </w:r>
      <w:r>
        <w:t xml:space="preserve"> </w:t>
      </w:r>
      <w:r>
        <w:rPr>
          <w:b/>
          <w:bCs/>
        </w:rPr>
        <w:t xml:space="preserve">USD 5.89</w:t>
      </w:r>
      <w:r>
        <w:t xml:space="preserve">,</w:t>
      </w:r>
      <w:r>
        <w:t xml:space="preserve"> </w:t>
      </w:r>
      <w:r>
        <w:t xml:space="preserve">fully automated and with no human annotation. At roughly USD 0.00074 per evaluation, contamination-free, domain-targeted,</w:t>
      </w:r>
      <w:r>
        <w:t xml:space="preserve"> </w:t>
      </w:r>
      <w:r>
        <w:t xml:space="preserve">bias-cancelled evaluation is inexpensive enough to re-run on every model release, which is exactly what a renewable,</w:t>
      </w:r>
      <w:r>
        <w:t xml:space="preserve"> </w:t>
      </w:r>
      <w:r>
        <w:t xml:space="preserve">contamination-resistant benchmark requires.</w:t>
      </w:r>
    </w:p>
    <w:p>
      <w:pPr>
        <w:pStyle w:val="BodyText"/>
        <w:jc w:val="center"/>
        <w:keepNext/>
        <w:keepLines/>
        <w:widowControl w:val="1"/>
      </w:pPr>
      <w:r>
        <w:drawing>
          <wp:inline>
            <wp:extent cx="4632960" cy="2987040"/>
            <wp:effectExtent b="0" l="0" r="0" t="0"/>
            <wp:docPr descr="Evaluations per dollar: CoEval versus human annotation" title="" id="44" name="Picture"/>
            <a:graphic>
              <a:graphicData uri="http://schemas.openxmlformats.org/drawingml/2006/picture">
                <pic:pic>
                  <pic:nvPicPr>
                    <pic:cNvPr descr="figures/f6_cost.png" id="45" name="Picture"/>
                    <pic:cNvPicPr>
                      <a:picLocks noChangeArrowheads="1" noChangeAspect="1"/>
                    </pic:cNvPicPr>
                  </pic:nvPicPr>
                  <pic:blipFill>
                    <a:blip r:embed="rId43"/>
                    <a:stretch>
                      <a:fillRect/>
                    </a:stretch>
                  </pic:blipFill>
                  <pic:spPr bwMode="auto">
                    <a:xfrm>
                      <a:off x="0" y="0"/>
                      <a:ext cx="4632960"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6.</w:t>
      </w:r>
      <w:r>
        <w:t xml:space="preserve"> </w:t>
      </w:r>
      <w:r>
        <w:t xml:space="preserve">Throughput. CoEval produces roughly</w:t>
      </w:r>
      <w:r>
        <w:t xml:space="preserve"> </w:t>
      </w:r>
      <m:oMath>
        <m:r>
          <m:t>1</m:t>
        </m:r>
        <m:r>
          <m:rPr>
            <m:sty m:val="p"/>
          </m:rPr>
          <m:t>,</m:t>
        </m:r>
        <m:r>
          <m:t>350</m:t>
        </m:r>
      </m:oMath>
      <w:r>
        <w:t xml:space="preserve"> </w:t>
      </w:r>
      <w:r>
        <w:t xml:space="preserve">evaluations per dollar</w:t>
      </w:r>
      <w:r>
        <w:t xml:space="preserve"> </w:t>
      </w:r>
      <w:r>
        <w:t xml:space="preserve">(7,978 evaluations for USD 5.89), two to three orders of magnitude above typical human annotation, enabling</w:t>
      </w:r>
      <w:r>
        <w:t xml:space="preserve"> </w:t>
      </w:r>
      <w:r>
        <w:t xml:space="preserve">re-evaluation on every model release.</w:t>
      </w:r>
    </w:p>
    <w:bookmarkEnd w:id="46"/>
    <w:bookmarkStart w:id="47" w:name="putting-it-together-domain-case-studies"/>
    <w:p>
      <w:pPr>
        <w:pStyle w:val="Heading3"/>
        <w:keepNext/>
        <w:keepLines/>
        <w:widowControl w:val="1"/>
      </w:pPr>
      <w:r>
        <w:t xml:space="preserve">5.8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two custom verticals—</w:t>
      </w:r>
      <w:r>
        <w:rPr>
          <w:i/>
          <w:iCs/>
        </w:rPr>
        <w:t xml:space="preserve">clinical reasoning</w:t>
      </w:r>
      <w:r>
        <w:t xml:space="preserve"> </w:t>
      </w:r>
      <w:r>
        <w:t xml:space="preserve">and</w:t>
      </w:r>
      <w:r>
        <w:t xml:space="preserve"> </w:t>
      </w:r>
      <w:r>
        <w:rPr>
          <w:i/>
          <w:iCs/>
        </w:rPr>
        <w:t xml:space="preserve">legal analysis</w:t>
      </w:r>
      <w:r>
        <w:t xml:space="preserve">—for</w:t>
      </w:r>
      <w:r>
        <w:t xml:space="preserve"> </w:t>
      </w:r>
      <w:r>
        <w:t xml:space="preserve">which we assume no labeled data and no trustworthy public benchmark. From a one-line task description, CoEval's teacher</w:t>
      </w:r>
      <w:r>
        <w:t xml:space="preserve"> </w:t>
      </w:r>
      <w:r>
        <w:t xml:space="preserve">generated 40 attribute-stratified items per vertical (freshly synthesized, hence contamination-free), three candidate</w:t>
      </w:r>
      <w:r>
        <w:t xml:space="preserve"> </w:t>
      </w:r>
      <w:r>
        <w:t xml:space="preserve">models answered them, and the cross-family ensemble (OpenAI + Anthropic + Google) scored every</w:t>
      </w:r>
      <w:r>
        <w:t xml:space="preserve"> </w:t>
      </w:r>
      <w:r>
        <w:t xml:space="preserve">response—all from a single configuration file, with no human labels or raters. Table 4 reports the resulting</w:t>
      </w:r>
      <w:r>
        <w:t xml:space="preserve"> </w:t>
      </w:r>
      <w:r>
        <w:t xml:space="preserve">rankings. CoEval cleanly and</w:t>
      </w:r>
      <w:r>
        <w:t xml:space="preserve"> </w:t>
      </w:r>
      <w:r>
        <w:rPr>
          <w:i/>
          <w:iCs/>
        </w:rPr>
        <w:t xml:space="preserve">unanimously</w:t>
      </w:r>
      <w:r>
        <w:t xml:space="preserve"> </w:t>
      </w:r>
      <w:r>
        <w:t xml:space="preserve">(all three judges, both verticals) places the smallest model</w:t>
      </w:r>
      <w:r>
        <w:t xml:space="preserve"> </w:t>
      </w:r>
      <w:r>
        <w:t xml:space="preserve">(</w:t>
      </w:r>
      <w:r>
        <w:rPr>
          <w:rStyle w:val="VerbatimChar"/>
        </w:rPr>
        <w:t xml:space="preserve">llama-3.2-3b</w:t>
      </w:r>
      <w:r>
        <w:t xml:space="preserve">) last, and decisively ranks</w:t>
      </w:r>
      <w:r>
        <w:t xml:space="preserve"> </w:t>
      </w:r>
      <w:r>
        <w:rPr>
          <w:rStyle w:val="VerbatimChar"/>
        </w:rPr>
        <w:t xml:space="preserve">gpt-4o-mini</w:t>
      </w:r>
      <w:r>
        <w:t xml:space="preserve"> </w:t>
      </w:r>
      <w:r>
        <w:t xml:space="preserve">strongest on legal analysis; on</w:t>
      </w:r>
      <w:r>
        <w:t xml:space="preserve"> </w:t>
      </w:r>
      <w:r>
        <w:t xml:space="preserve">clinical reasoning the two stronger models are statistically close, which the overlapping intervals correctly surface</w:t>
      </w:r>
      <w:r>
        <w:t xml:space="preserve"> </w:t>
      </w:r>
      <w:r>
        <w:t xml:space="preserve">rather than hide. This is the operation the framework is built for: producing a defensible model ranking for a bespoke</w:t>
      </w:r>
      <w:r>
        <w:t xml:space="preserve"> </w:t>
      </w:r>
      <w:r>
        <w:t xml:space="preserve">domain in which a standard benchmark is unavailable or untrustworthy.</w:t>
      </w:r>
    </w:p>
    <w:p>
      <w:pPr>
        <w:pStyle w:val="TableCaption"/>
        <w:spacing w:before="160" w:after="60" w:line="240" w:lineRule="auto"/>
        <w:jc w:val="center"/>
        <w:keepNext/>
        <w:keepLines/>
        <w:widowControl w:val="1"/>
      </w:pPr>
      <w:r>
        <w:rPr>
          <w:b/>
          <w:bCs/>
        </w:rPr>
        <w:t xml:space="preserve">Table 4.</w:t>
      </w:r>
      <w:r>
        <w:t xml:space="preserve"> </w:t>
      </w:r>
      <w:r>
        <w:t xml:space="preserve">CoEval ranks three candidate models on two custom, contamination-free verticals</w:t>
      </w:r>
      <w:r>
        <w:t xml:space="preserve"> </w:t>
      </w:r>
      <w:r>
        <w:t xml:space="preserve">generated from a task description with no labeled data. Scores are the cross-family ensemble mean (</w:t>
      </w:r>
      <m:oMath>
        <m:r>
          <m:rPr>
            <m:sty m:val="p"/>
          </m:rPr>
          <m:t>[</m:t>
        </m:r>
        <m:r>
          <m:t>0</m:t>
        </m:r>
        <m:r>
          <m:rPr>
            <m:sty m:val="p"/>
          </m:rPr>
          <m:t>,</m:t>
        </m:r>
        <m:r>
          <m:t>1</m:t>
        </m:r>
        <m:r>
          <m:rPr>
            <m:sty m:val="p"/>
          </m:rPr>
          <m:t>]</m:t>
        </m:r>
      </m:oMath>
      <w:r>
        <w:t xml:space="preserve">) with 95%</w:t>
      </w:r>
      <w:r>
        <w:t xml:space="preserve"> </w:t>
      </w:r>
      <w:r>
        <w:t xml:space="preserve">bootstrap CI over</w:t>
      </w:r>
      <w:r>
        <w:t xml:space="preserve"> </w:t>
      </w:r>
      <m:oMath>
        <m:r>
          <m:t>40</m:t>
        </m:r>
      </m:oMath>
      <w:r>
        <w:t xml:space="preserve"> </w:t>
      </w:r>
      <w:r>
        <w:t xml:space="preserve">generated items; the weakest model is identified unanimously by all three judges in both</w:t>
      </w:r>
      <w:r>
        <w:t xml:space="preserve"> </w:t>
      </w:r>
      <w:r>
        <w:t xml:space="preserve">verticals.</w:t>
      </w:r>
    </w:p>
    <w:tbl>
      <w:tblPr>
        <w:tblStyle w:val="Table"/>
        <w:tblW w:type="pct" w:w="5000"/>
        <w:jc w:val="center"/>
        <w:tblLook w:firstRow="1" w:lastRow="0" w:firstColumn="0" w:lastColumn="0" w:noHBand="0" w:noVBand="0" w:val="0020"/>
        <w:tblCaption w:val="Table 4. CoEval ranks three candidate models on two custom, contamination-free verticals generated from a task description with no labeled data. Scores are the cross-family ensemble mean ([0,1]) with 95% bootstrap CI over 40 generated items; the weakest model is identified unanimously by all three judges in both vertica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Vertical / Model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CoEval ensemble score [95%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Clinical reasoning</w:t>
            </w:r>
          </w:p>
        </w:tc>
        <w:tc>
          <w:tcPr>
            <w:tcBorders>
              <w:left w:val="nil"/>
              <w:right w:val="nil"/>
              <w:top w:val="nil"/>
              <w:bottom w:val="single" w:sz="4" w:color="D9E1E8"/>
            </w:tcBorders>
          </w:tcPr>
          <w:p>
            <w:pPr>
              <w:pStyle w:val="Compact"/>
              <w:spacing w:before="0" w:after="20" w:line="240" w:lineRule="auto"/>
              <w:jc w:val="center"/>
              <w:keepNext w:val="0"/>
              <w:keepLines/>
              <w:widowControl w:val="1"/>
            </w:pP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0.873 [0.849, 0.895]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0.864 [0.840, 0.885]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llama-3.2-3b</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0.814 [0.784, 0.844]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Legal analysis</w:t>
            </w:r>
          </w:p>
        </w:tc>
        <w:tc>
          <w:tcPr>
            <w:tcBorders>
              <w:left w:val="nil"/>
              <w:right w:val="nil"/>
              <w:top w:val="nil"/>
              <w:bottom w:val="single" w:sz="4" w:color="D9E1E8"/>
            </w:tcBorders>
          </w:tcPr>
          <w:p>
            <w:pPr>
              <w:pStyle w:val="Compact"/>
              <w:spacing w:before="0" w:after="20" w:line="240" w:lineRule="auto"/>
              <w:jc w:val="center"/>
              <w:keepNext w:val="0"/>
              <w:keepLines/>
              <w:widowControl w:val="1"/>
            </w:pP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0.982 [0.973, 0.991]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0.740 [0.709, 0.770]</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llama-3.2-3b</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0.709 [0.677, 0.744]</w:t>
            </w:r>
          </w:p>
        </w:tc>
      </w:tr>
    </w:tbl>
    <w:bookmarkEnd w:id="47"/>
    <w:bookmarkEnd w:id="48"/>
    <w:bookmarkStart w:id="49"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need—its</w:t>
      </w:r>
      <w:r>
        <w:t xml:space="preserve"> </w:t>
      </w:r>
      <w:r>
        <w:t xml:space="preserve">label-free scores reproduce the true model ranking and track ground truth, and its generated items are verifiably</w:t>
      </w:r>
      <w:r>
        <w:t xml:space="preserve"> </w:t>
      </w:r>
      <w:r>
        <w:t xml:space="preserve">fresh—and they explain</w:t>
      </w:r>
      <w:r>
        <w:t xml:space="preserve"> </w:t>
      </w:r>
      <w:r>
        <w:rPr>
          <w:i/>
          <w:iCs/>
        </w:rPr>
        <w:t xml:space="preserve">why</w:t>
      </w:r>
      <w:r>
        <w:t xml:space="preserve"> </w:t>
      </w:r>
      <w:r>
        <w:t xml:space="preserve">the label-free judging is trustworthy.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biases—verbosity,</w:t>
      </w:r>
      <w:r>
        <w:t xml:space="preserve"> </w:t>
      </w:r>
      <w:r>
        <w:t xml:space="preserve">self-preference—that any individual judge carries, while a same-family panel would merely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 one architectural choice closing two leakage channels. Declarative</w:t>
      </w:r>
      <w:r>
        <w:t xml:space="preserve"> </w:t>
      </w:r>
      <w:r>
        <w:t xml:space="preserve">specification keeps the whole pipeline reproducible: a single YAML file regenerates the benchmark, the responses, and</w:t>
      </w:r>
      <w:r>
        <w:t xml:space="preserve"> </w:t>
      </w:r>
      <w:r>
        <w:t xml:space="preserve">the scores.</w:t>
      </w:r>
    </w:p>
    <w:p>
      <w:pPr>
        <w:pStyle w:val="BodyText"/>
        <w:jc w:val="both"/>
        <w:keepNext w:val="0"/>
        <w:keepLines w:val="0"/>
        <w:widowControl w:val="1"/>
      </w:pPr>
      <w:r>
        <w:rPr>
          <w:b/>
          <w:bCs/>
        </w:rPr>
        <w:t xml:space="preserve">Scope and limitations.</w:t>
      </w:r>
      <w:r>
        <w:t xml:space="preserve"> </w:t>
      </w:r>
      <w:r>
        <w:t xml:space="preserve">Our ground-truth validation of the ranking operation uses objective</w:t>
      </w:r>
      <w:r>
        <w:t xml:space="preserve"> </w:t>
      </w:r>
      <w:r>
        <w:t xml:space="preserve">exact-match QA, where labels exist; on subjective custom domains (Section 5.8) we rely on the cross-family</w:t>
      </w:r>
      <w:r>
        <w:t xml:space="preserve"> </w:t>
      </w:r>
      <w:r>
        <w:t xml:space="preserve">ensemble and report intervals rather than a held-out gold ranking, because by assumption none exists. We study three</w:t>
      </w:r>
      <w:r>
        <w:t xml:space="preserve"> </w:t>
      </w:r>
      <w:r>
        <w:t xml:space="preserve">candidate models across six task families and two verticals; broader model pools and additional domains would further</w:t>
      </w:r>
      <w:r>
        <w:t xml:space="preserve"> </w:t>
      </w:r>
      <w:r>
        <w:t xml:space="preserve">test generality. Self-preference (Section 5.4) is a structural design property whose magnitude we do not</w:t>
      </w:r>
      <w:r>
        <w:t xml:space="preserve"> </w:t>
      </w:r>
      <w:r>
        <w:t xml:space="preserve">cleanly isolate from capability. And the contamination guarantee is structural (fresh per-run synthesis) with n-gram</w:t>
      </w:r>
      <w:r>
        <w:t xml:space="preserve"> </w:t>
      </w:r>
      <w:r>
        <w:t xml:space="preserve">non-duplication as corroboration, not a membership test against any model's full pretraining corpus.</w:t>
      </w:r>
    </w:p>
    <w:bookmarkEnd w:id="49"/>
    <w:bookmarkStart w:id="50"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tool for ranking language models on custom tasks and domains when neither labeled data nor a trustworthy benchmark is available: from a task description alone it generates a fresh, contamination-resistant benchmark and ranks candidate models with a cross-family judge ensemble, with no human annotation.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 all at USD 5.89 for 7,978 evaluations.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 CoEval is open-source, declarative, and</w:t>
      </w:r>
      <w:r>
        <w:t xml:space="preserve"> </w:t>
      </w:r>
      <w:r>
        <w:t xml:space="preserve">fully reproducible.</w:t>
      </w:r>
    </w:p>
    <w:bookmarkEnd w:id="50"/>
    <w:bookmarkStart w:id="103" w:name="references"/>
    <w:p>
      <w:pPr>
        <w:pStyle w:val="ReferencesHeading"/>
        <w:jc w:val="left"/>
        <w:keepNext/>
        <w:keepLines/>
        <w:widowControl w:val="1"/>
      </w:pPr>
      <w:r>
        <w:t xml:space="preserve">References</w:t>
      </w:r>
    </w:p>
    <w:p>
      <w:pPr>
        <w:pStyle w:val="ReferenceEntry"/>
        <w:numPr>
          <w:ilvl w:val="0"/>
          <w:numId w:val="1002"/>
        </w:numPr>
        <w:jc w:val="left"/>
        <w:keepNext w:val="0"/>
        <w:keepLines w:val="0"/>
        <w:widowControl w:val="1"/>
      </w:pPr>
      <w:bookmarkStart w:id="52"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51">
        <w:r>
          <w:rPr>
            <w:rStyle w:val="Hyperlink"/>
          </w:rPr>
          <w:t xml:space="preserve">arxiv.org/abs/2306.05685</w:t>
        </w:r>
      </w:hyperlink>
      <w:bookmarkEnd w:id="52"/>
    </w:p>
    <w:p>
      <w:pPr>
        <w:pStyle w:val="ReferenceEntry"/>
        <w:numPr>
          <w:ilvl w:val="0"/>
          <w:numId w:val="1002"/>
        </w:numPr>
        <w:jc w:val="left"/>
        <w:keepNext w:val="0"/>
        <w:keepLines w:val="0"/>
        <w:widowControl w:val="1"/>
      </w:pPr>
      <w:bookmarkStart w:id="54"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53">
        <w:r>
          <w:rPr>
            <w:rStyle w:val="Hyperlink"/>
          </w:rPr>
          <w:t xml:space="preserve">arxiv.org/abs/2303.16634</w:t>
        </w:r>
      </w:hyperlink>
      <w:bookmarkEnd w:id="54"/>
    </w:p>
    <w:p>
      <w:pPr>
        <w:pStyle w:val="ReferenceEntry"/>
        <w:numPr>
          <w:ilvl w:val="0"/>
          <w:numId w:val="1002"/>
        </w:numPr>
        <w:jc w:val="left"/>
        <w:keepNext w:val="0"/>
        <w:keepLines w:val="0"/>
        <w:widowControl w:val="1"/>
      </w:pPr>
      <w:bookmarkStart w:id="56"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55">
        <w:r>
          <w:rPr>
            <w:rStyle w:val="Hyperlink"/>
          </w:rPr>
          <w:t xml:space="preserve">arxiv.org/abs/2405.01535</w:t>
        </w:r>
      </w:hyperlink>
      <w:bookmarkEnd w:id="56"/>
    </w:p>
    <w:p>
      <w:pPr>
        <w:pStyle w:val="ReferenceEntry"/>
        <w:numPr>
          <w:ilvl w:val="0"/>
          <w:numId w:val="1002"/>
        </w:numPr>
        <w:jc w:val="left"/>
        <w:keepNext w:val="0"/>
        <w:keepLines w:val="0"/>
        <w:widowControl w:val="1"/>
      </w:pPr>
      <w:bookmarkStart w:id="58"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57">
        <w:r>
          <w:rPr>
            <w:rStyle w:val="Hyperlink"/>
          </w:rPr>
          <w:t xml:space="preserve">arxiv.org/abs/2407.10817</w:t>
        </w:r>
      </w:hyperlink>
      <w:bookmarkEnd w:id="58"/>
    </w:p>
    <w:p>
      <w:pPr>
        <w:pStyle w:val="ReferenceEntry"/>
        <w:numPr>
          <w:ilvl w:val="0"/>
          <w:numId w:val="1002"/>
        </w:numPr>
        <w:jc w:val="left"/>
        <w:keepNext w:val="0"/>
        <w:keepLines w:val="0"/>
        <w:widowControl w:val="1"/>
      </w:pPr>
      <w:bookmarkStart w:id="60"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59">
        <w:r>
          <w:rPr>
            <w:rStyle w:val="Hyperlink"/>
          </w:rPr>
          <w:t xml:space="preserve">arxiv.org/abs/2404.18796</w:t>
        </w:r>
      </w:hyperlink>
      <w:bookmarkEnd w:id="60"/>
    </w:p>
    <w:p>
      <w:pPr>
        <w:pStyle w:val="ReferenceEntry"/>
        <w:numPr>
          <w:ilvl w:val="0"/>
          <w:numId w:val="1002"/>
        </w:numPr>
        <w:jc w:val="left"/>
        <w:keepNext w:val="0"/>
        <w:keepLines w:val="0"/>
        <w:widowControl w:val="1"/>
      </w:pPr>
      <w:bookmarkStart w:id="62"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61">
        <w:r>
          <w:rPr>
            <w:rStyle w:val="Hyperlink"/>
          </w:rPr>
          <w:t xml:space="preserve">arxiv.org/abs/2410.12784</w:t>
        </w:r>
      </w:hyperlink>
      <w:bookmarkEnd w:id="62"/>
    </w:p>
    <w:p>
      <w:pPr>
        <w:pStyle w:val="ReferenceEntry"/>
        <w:numPr>
          <w:ilvl w:val="0"/>
          <w:numId w:val="1002"/>
        </w:numPr>
        <w:jc w:val="left"/>
        <w:keepNext w:val="0"/>
        <w:keepLines w:val="0"/>
        <w:widowControl w:val="1"/>
      </w:pPr>
      <w:bookmarkStart w:id="64"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63">
        <w:r>
          <w:rPr>
            <w:rStyle w:val="Hyperlink"/>
          </w:rPr>
          <w:t xml:space="preserve">arxiv.org/abs/2406.05761</w:t>
        </w:r>
      </w:hyperlink>
      <w:bookmarkEnd w:id="64"/>
    </w:p>
    <w:p>
      <w:pPr>
        <w:pStyle w:val="ReferenceEntry"/>
        <w:numPr>
          <w:ilvl w:val="0"/>
          <w:numId w:val="1002"/>
        </w:numPr>
        <w:jc w:val="left"/>
        <w:keepNext w:val="0"/>
        <w:keepLines w:val="0"/>
        <w:widowControl w:val="1"/>
      </w:pPr>
      <w:bookmarkStart w:id="66"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65">
        <w:r>
          <w:rPr>
            <w:rStyle w:val="Hyperlink"/>
          </w:rPr>
          <w:t xml:space="preserve">arxiv.org/abs/2404.04475</w:t>
        </w:r>
      </w:hyperlink>
      <w:bookmarkEnd w:id="66"/>
    </w:p>
    <w:p>
      <w:pPr>
        <w:pStyle w:val="ReferenceEntry"/>
        <w:numPr>
          <w:ilvl w:val="0"/>
          <w:numId w:val="1002"/>
        </w:numPr>
        <w:jc w:val="left"/>
        <w:keepNext w:val="0"/>
        <w:keepLines w:val="0"/>
        <w:widowControl w:val="1"/>
      </w:pPr>
      <w:bookmarkStart w:id="68" w:name="r9"/>
      <w:r>
        <w:t xml:space="preserve">Li, X. L., Kazemi, M., et al. (2024).</w:t>
      </w:r>
      <w:r>
        <w:t xml:space="preserve"> </w:t>
      </w:r>
      <w:r>
        <w:rPr>
          <w:i/>
          <w:iCs/>
        </w:rPr>
        <w:t xml:space="preserve">AutoBencher: Towards Declarative Benchmark Construction.</w:t>
      </w:r>
      <w:r>
        <w:t xml:space="preserve"> </w:t>
      </w:r>
      <w:hyperlink r:id="rId67">
        <w:r>
          <w:rPr>
            <w:rStyle w:val="Hyperlink"/>
          </w:rPr>
          <w:t xml:space="preserve">arxiv.org/abs/2407.08351</w:t>
        </w:r>
      </w:hyperlink>
      <w:bookmarkEnd w:id="68"/>
    </w:p>
    <w:p>
      <w:pPr>
        <w:pStyle w:val="ReferenceEntry"/>
        <w:numPr>
          <w:ilvl w:val="0"/>
          <w:numId w:val="1002"/>
        </w:numPr>
        <w:jc w:val="left"/>
        <w:keepNext w:val="0"/>
        <w:keepLines w:val="0"/>
        <w:widowControl w:val="1"/>
      </w:pPr>
      <w:bookmarkStart w:id="70"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69">
        <w:r>
          <w:rPr>
            <w:rStyle w:val="Hyperlink"/>
          </w:rPr>
          <w:t xml:space="preserve">arxiv.org/abs/2410.22584</w:t>
        </w:r>
      </w:hyperlink>
      <w:bookmarkEnd w:id="70"/>
    </w:p>
    <w:p>
      <w:pPr>
        <w:pStyle w:val="ReferenceEntry"/>
        <w:numPr>
          <w:ilvl w:val="0"/>
          <w:numId w:val="1002"/>
        </w:numPr>
        <w:jc w:val="left"/>
        <w:keepNext w:val="0"/>
        <w:keepLines w:val="0"/>
        <w:widowControl w:val="1"/>
      </w:pPr>
      <w:bookmarkStart w:id="72" w:name="r11"/>
      <w:r>
        <w:t xml:space="preserve">Shashidhar, S., et al. (2025).</w:t>
      </w:r>
      <w:r>
        <w:t xml:space="preserve"> </w:t>
      </w:r>
      <w:r>
        <w:rPr>
          <w:i/>
          <w:iCs/>
        </w:rPr>
        <w:t xml:space="preserve">YourBench: Easy Custom Evaluation Sets for Everyone.</w:t>
      </w:r>
      <w:r>
        <w:t xml:space="preserve"> </w:t>
      </w:r>
      <w:hyperlink r:id="rId71">
        <w:r>
          <w:rPr>
            <w:rStyle w:val="Hyperlink"/>
          </w:rPr>
          <w:t xml:space="preserve">arxiv.org/abs/2504.01833</w:t>
        </w:r>
      </w:hyperlink>
      <w:bookmarkEnd w:id="72"/>
    </w:p>
    <w:p>
      <w:pPr>
        <w:pStyle w:val="ReferenceEntry"/>
        <w:numPr>
          <w:ilvl w:val="0"/>
          <w:numId w:val="1002"/>
        </w:numPr>
        <w:jc w:val="left"/>
        <w:keepNext w:val="0"/>
        <w:keepLines w:val="0"/>
        <w:widowControl w:val="1"/>
      </w:pPr>
      <w:bookmarkStart w:id="74"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73">
        <w:r>
          <w:rPr>
            <w:rStyle w:val="Hyperlink"/>
          </w:rPr>
          <w:t xml:space="preserve">arxiv.org/abs/2405.00332</w:t>
        </w:r>
      </w:hyperlink>
      <w:bookmarkEnd w:id="74"/>
    </w:p>
    <w:p>
      <w:pPr>
        <w:pStyle w:val="ReferenceEntry"/>
        <w:numPr>
          <w:ilvl w:val="0"/>
          <w:numId w:val="1002"/>
        </w:numPr>
        <w:jc w:val="left"/>
        <w:keepNext w:val="0"/>
        <w:keepLines w:val="0"/>
        <w:widowControl w:val="1"/>
      </w:pPr>
      <w:bookmarkStart w:id="76" w:name="r13"/>
      <w:r>
        <w:t xml:space="preserve">Xu, C., et al. (2025).</w:t>
      </w:r>
      <w:r>
        <w:t xml:space="preserve"> </w:t>
      </w:r>
      <w:r>
        <w:rPr>
          <w:i/>
          <w:iCs/>
        </w:rPr>
        <w:t xml:space="preserve">Benchmark Data Contamination of Large Language Models: A Survey.</w:t>
      </w:r>
      <w:r>
        <w:t xml:space="preserve"> </w:t>
      </w:r>
      <w:hyperlink r:id="rId75">
        <w:r>
          <w:rPr>
            <w:rStyle w:val="Hyperlink"/>
          </w:rPr>
          <w:t xml:space="preserve">arxiv.org/abs/2502.14425</w:t>
        </w:r>
      </w:hyperlink>
      <w:bookmarkEnd w:id="76"/>
    </w:p>
    <w:p>
      <w:pPr>
        <w:pStyle w:val="ReferenceEntry"/>
        <w:numPr>
          <w:ilvl w:val="0"/>
          <w:numId w:val="1002"/>
        </w:numPr>
        <w:jc w:val="left"/>
        <w:keepNext w:val="0"/>
        <w:keepLines w:val="0"/>
        <w:widowControl w:val="1"/>
      </w:pPr>
      <w:bookmarkStart w:id="78"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77">
        <w:r>
          <w:rPr>
            <w:rStyle w:val="Hyperlink"/>
          </w:rPr>
          <w:t xml:space="preserve">arxiv.org/abs/2104.14337</w:t>
        </w:r>
      </w:hyperlink>
      <w:bookmarkEnd w:id="78"/>
    </w:p>
    <w:p>
      <w:pPr>
        <w:pStyle w:val="ReferenceEntry"/>
        <w:numPr>
          <w:ilvl w:val="0"/>
          <w:numId w:val="1002"/>
        </w:numPr>
        <w:jc w:val="left"/>
        <w:keepNext w:val="0"/>
        <w:keepLines w:val="0"/>
        <w:widowControl w:val="1"/>
      </w:pPr>
      <w:bookmarkStart w:id="80"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79">
        <w:r>
          <w:rPr>
            <w:rStyle w:val="Hyperlink"/>
          </w:rPr>
          <w:t xml:space="preserve">arxiv.org/abs/2502.01534</w:t>
        </w:r>
      </w:hyperlink>
      <w:bookmarkEnd w:id="80"/>
    </w:p>
    <w:p>
      <w:pPr>
        <w:pStyle w:val="ReferenceEntry"/>
        <w:numPr>
          <w:ilvl w:val="0"/>
          <w:numId w:val="1002"/>
        </w:numPr>
        <w:jc w:val="left"/>
        <w:keepNext w:val="0"/>
        <w:keepLines w:val="0"/>
        <w:widowControl w:val="1"/>
      </w:pPr>
      <w:bookmarkStart w:id="82"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81">
        <w:r>
          <w:rPr>
            <w:rStyle w:val="Hyperlink"/>
          </w:rPr>
          <w:t xml:space="preserve">arxiv.org/abs/2508.06709</w:t>
        </w:r>
      </w:hyperlink>
      <w:bookmarkEnd w:id="82"/>
    </w:p>
    <w:p>
      <w:pPr>
        <w:pStyle w:val="ReferenceEntry"/>
        <w:numPr>
          <w:ilvl w:val="0"/>
          <w:numId w:val="1002"/>
        </w:numPr>
        <w:jc w:val="left"/>
        <w:keepNext w:val="0"/>
        <w:keepLines w:val="0"/>
        <w:widowControl w:val="1"/>
      </w:pPr>
      <w:bookmarkStart w:id="84"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83">
        <w:r>
          <w:rPr>
            <w:rStyle w:val="Hyperlink"/>
          </w:rPr>
          <w:t xml:space="preserve">arxiv.org/abs/2410.02736</w:t>
        </w:r>
      </w:hyperlink>
      <w:bookmarkEnd w:id="84"/>
    </w:p>
    <w:p>
      <w:pPr>
        <w:pStyle w:val="ReferenceEntry"/>
        <w:numPr>
          <w:ilvl w:val="0"/>
          <w:numId w:val="1002"/>
        </w:numPr>
        <w:jc w:val="left"/>
        <w:keepNext w:val="0"/>
        <w:keepLines w:val="0"/>
        <w:widowControl w:val="1"/>
      </w:pPr>
      <w:bookmarkStart w:id="86" w:name="r18"/>
      <w:r>
        <w:t xml:space="preserve">Wataoka, K., Takahashi, T., Ri, R. (2024).</w:t>
      </w:r>
      <w:r>
        <w:t xml:space="preserve"> </w:t>
      </w:r>
      <w:r>
        <w:rPr>
          <w:i/>
          <w:iCs/>
        </w:rPr>
        <w:t xml:space="preserve">Self-Preference Bias in LLM-as-a-Judge.</w:t>
      </w:r>
      <w:r>
        <w:t xml:space="preserve"> </w:t>
      </w:r>
      <w:hyperlink r:id="rId85">
        <w:r>
          <w:rPr>
            <w:rStyle w:val="Hyperlink"/>
          </w:rPr>
          <w:t xml:space="preserve">arxiv.org/abs/2410.21819</w:t>
        </w:r>
      </w:hyperlink>
      <w:bookmarkEnd w:id="86"/>
    </w:p>
    <w:p>
      <w:pPr>
        <w:pStyle w:val="ReferenceEntry"/>
        <w:numPr>
          <w:ilvl w:val="0"/>
          <w:numId w:val="1002"/>
        </w:numPr>
        <w:jc w:val="left"/>
        <w:keepNext w:val="0"/>
        <w:keepLines w:val="0"/>
        <w:widowControl w:val="1"/>
      </w:pPr>
      <w:bookmarkStart w:id="88" w:name="r19"/>
      <w:r>
        <w:t xml:space="preserve">Gu, J., Jiang, X., Shi, Z., et al. (2024).</w:t>
      </w:r>
      <w:r>
        <w:t xml:space="preserve"> </w:t>
      </w:r>
      <w:r>
        <w:rPr>
          <w:i/>
          <w:iCs/>
        </w:rPr>
        <w:t xml:space="preserve">A Survey on LLM-as-a-Judge.</w:t>
      </w:r>
      <w:r>
        <w:t xml:space="preserve"> </w:t>
      </w:r>
      <w:hyperlink r:id="rId87">
        <w:r>
          <w:rPr>
            <w:rStyle w:val="Hyperlink"/>
          </w:rPr>
          <w:t xml:space="preserve">arxiv.org/abs/2411.15594</w:t>
        </w:r>
      </w:hyperlink>
      <w:bookmarkEnd w:id="88"/>
    </w:p>
    <w:p>
      <w:pPr>
        <w:pStyle w:val="ReferenceEntry"/>
        <w:numPr>
          <w:ilvl w:val="0"/>
          <w:numId w:val="1002"/>
        </w:numPr>
        <w:jc w:val="left"/>
        <w:keepNext w:val="0"/>
        <w:keepLines w:val="0"/>
        <w:widowControl w:val="1"/>
      </w:pPr>
      <w:bookmarkStart w:id="90"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89">
        <w:r>
          <w:rPr>
            <w:rStyle w:val="Hyperlink"/>
          </w:rPr>
          <w:t xml:space="preserve">arxiv.org/abs/2411.16594</w:t>
        </w:r>
      </w:hyperlink>
      <w:bookmarkEnd w:id="90"/>
    </w:p>
    <w:p>
      <w:pPr>
        <w:pStyle w:val="ReferenceEntry"/>
        <w:numPr>
          <w:ilvl w:val="0"/>
          <w:numId w:val="1002"/>
        </w:numPr>
        <w:jc w:val="left"/>
        <w:keepNext w:val="0"/>
        <w:keepLines w:val="0"/>
        <w:widowControl w:val="1"/>
      </w:pPr>
      <w:bookmarkStart w:id="92"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91">
        <w:r>
          <w:rPr>
            <w:rStyle w:val="Hyperlink"/>
          </w:rPr>
          <w:t xml:space="preserve">arxiv.org/abs/2308.07201</w:t>
        </w:r>
      </w:hyperlink>
      <w:bookmarkEnd w:id="92"/>
    </w:p>
    <w:p>
      <w:pPr>
        <w:pStyle w:val="ReferenceEntry"/>
        <w:numPr>
          <w:ilvl w:val="0"/>
          <w:numId w:val="1002"/>
        </w:numPr>
        <w:jc w:val="left"/>
        <w:keepNext w:val="0"/>
        <w:keepLines w:val="0"/>
        <w:widowControl w:val="1"/>
      </w:pPr>
      <w:bookmarkStart w:id="94"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93">
        <w:r>
          <w:rPr>
            <w:rStyle w:val="Hyperlink"/>
          </w:rPr>
          <w:t xml:space="preserve">arxiv.org/abs/2406.19314</w:t>
        </w:r>
      </w:hyperlink>
      <w:bookmarkEnd w:id="94"/>
    </w:p>
    <w:p>
      <w:pPr>
        <w:pStyle w:val="ReferenceEntry"/>
        <w:numPr>
          <w:ilvl w:val="0"/>
          <w:numId w:val="1002"/>
        </w:numPr>
        <w:jc w:val="left"/>
        <w:keepNext w:val="0"/>
        <w:keepLines w:val="0"/>
        <w:widowControl w:val="1"/>
      </w:pPr>
      <w:bookmarkStart w:id="96"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95">
        <w:r>
          <w:rPr>
            <w:rStyle w:val="Hyperlink"/>
          </w:rPr>
          <w:t xml:space="preserve">arxiv.org/abs/2403.07974</w:t>
        </w:r>
      </w:hyperlink>
      <w:bookmarkEnd w:id="96"/>
    </w:p>
    <w:p>
      <w:pPr>
        <w:pStyle w:val="ReferenceEntry"/>
        <w:numPr>
          <w:ilvl w:val="0"/>
          <w:numId w:val="1002"/>
        </w:numPr>
        <w:jc w:val="left"/>
        <w:keepNext w:val="0"/>
        <w:keepLines w:val="0"/>
        <w:widowControl w:val="1"/>
      </w:pPr>
      <w:bookmarkStart w:id="98"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97">
        <w:r>
          <w:rPr>
            <w:rStyle w:val="Hyperlink"/>
          </w:rPr>
          <w:t xml:space="preserve">arxiv.org/abs/2504.03846</w:t>
        </w:r>
      </w:hyperlink>
      <w:bookmarkEnd w:id="98"/>
    </w:p>
    <w:p>
      <w:pPr>
        <w:pStyle w:val="ReferenceEntry"/>
        <w:numPr>
          <w:ilvl w:val="0"/>
          <w:numId w:val="1002"/>
        </w:numPr>
        <w:jc w:val="left"/>
        <w:keepNext w:val="0"/>
        <w:keepLines w:val="0"/>
        <w:widowControl w:val="1"/>
      </w:pPr>
      <w:bookmarkStart w:id="100"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99">
        <w:r>
          <w:rPr>
            <w:rStyle w:val="Hyperlink"/>
          </w:rPr>
          <w:t xml:space="preserve">arxiv.org/abs/2408.08808</w:t>
        </w:r>
      </w:hyperlink>
      <w:bookmarkEnd w:id="100"/>
    </w:p>
    <w:p>
      <w:pPr>
        <w:pStyle w:val="ReferenceEntry"/>
        <w:numPr>
          <w:ilvl w:val="0"/>
          <w:numId w:val="1002"/>
        </w:numPr>
        <w:jc w:val="left"/>
        <w:keepNext w:val="0"/>
        <w:keepLines w:val="0"/>
        <w:widowControl w:val="1"/>
      </w:pPr>
      <w:bookmarkStart w:id="102" w:name="r26"/>
      <w:r>
        <w:t xml:space="preserve">Li, Y., et al. (2025).</w:t>
      </w:r>
      <w:r>
        <w:t xml:space="preserve"> </w:t>
      </w:r>
      <w:r>
        <w:rPr>
          <w:i/>
          <w:iCs/>
        </w:rPr>
        <w:t xml:space="preserve">Leveraging LLMs as Meta-Judges: A Multi-Agent Framework.</w:t>
      </w:r>
      <w:r>
        <w:t xml:space="preserve"> </w:t>
      </w:r>
      <w:hyperlink r:id="rId101">
        <w:r>
          <w:rPr>
            <w:rStyle w:val="Hyperlink"/>
          </w:rPr>
          <w:t xml:space="preserve">arxiv.org/abs/2504.17087</w:t>
        </w:r>
      </w:hyperlink>
      <w:bookmarkEnd w:id="102"/>
    </w:p>
    <w:p>
      <w:pPr>
        <w:pStyle w:val="ReferenceEntry"/>
        <w:jc w:val="left"/>
        <w:keepNext w:val="0"/>
        <w:keepLines w:val="0"/>
        <w:widowControl w:val="1"/>
      </w:pPr>
      <w:r>
        <w:t xml:space="preserve">Preprint. Generated HTML build. © 2026 Alexander Apartsin &amp; Yehudit Aperstein.</w:t>
      </w:r>
    </w:p>
    <w:bookmarkEnd w:id="103"/>
    <w:bookmarkStart w:id="119" w:name="appendix-a-interactive-report-gallery"/>
    <w:p>
      <w:pPr>
        <w:pStyle w:val="Heading2"/>
        <w:keepNext/>
        <w:keepLines/>
        <w:widowControl w:val="1"/>
      </w:pPr>
      <w:r>
        <w:t xml:space="preserve">Appendix A: Interactive Report Gallery</w:t>
      </w:r>
    </w:p>
    <w:p>
      <w:pPr>
        <w:pStyle w:val="FirstParagraph"/>
        <w:jc w:val="both"/>
        <w:keepNext w:val="0"/>
        <w:keepLines w:val="0"/>
        <w:widowControl w:val="1"/>
      </w:pPr>
      <w:r>
        <w:t xml:space="preserve">Every CoEval run emits a suite of self-contained, interactive HTML reports (no external dependencies) alongside a</w:t>
      </w:r>
      <w:r>
        <w:t xml:space="preserve"> </w:t>
      </w:r>
      <w:r>
        <w:t xml:space="preserve">machine-readable benchmark export. The panels below are drawn from the four-task study of Section 5. They are</w:t>
      </w:r>
      <w:r>
        <w:t xml:space="preserve"> </w:t>
      </w:r>
      <w:r>
        <w:t xml:space="preserve">illustrative; the live reports support filtering, drill-down, and CSV export.</w:t>
      </w:r>
    </w:p>
    <w:p>
      <w:pPr>
        <w:pStyle w:val="BodyText"/>
        <w:jc w:val="center"/>
        <w:keepNext/>
        <w:keepLines/>
        <w:widowControl w:val="1"/>
      </w:pPr>
      <w:r>
        <w:drawing>
          <wp:inline>
            <wp:extent cx="5943600" cy="6605886"/>
            <wp:effectExtent b="0" l="0" r="0" t="0"/>
            <wp:docPr descr="CoEval summary dashboard" title="" id="105" name="Picture"/>
            <a:graphic>
              <a:graphicData uri="http://schemas.openxmlformats.org/drawingml/2006/picture">
                <pic:pic>
                  <pic:nvPicPr>
                    <pic:cNvPr descr="figures/gallery_fig_summary.png" id="106" name="Picture"/>
                    <pic:cNvPicPr>
                      <a:picLocks noChangeArrowheads="1" noChangeAspect="1"/>
                    </pic:cNvPicPr>
                  </pic:nvPicPr>
                  <pic:blipFill>
                    <a:blip r:embed="rId104"/>
                    <a:stretch>
                      <a:fillRect/>
                    </a:stretch>
                  </pic:blipFill>
                  <pic:spPr bwMode="auto">
                    <a:xfrm>
                      <a:off x="0" y="0"/>
                      <a:ext cx="5943600" cy="6605886"/>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A1.</w:t>
      </w:r>
      <w:r>
        <w:t xml:space="preserve"> </w:t>
      </w:r>
      <w:r>
        <w:t xml:space="preserve">Summary dashboard: model rankings, confidence intervals, and navigation.</w:t>
      </w:r>
    </w:p>
    <w:p>
      <w:pPr>
        <w:pStyle w:val="BodyText"/>
        <w:jc w:val="center"/>
        <w:keepNext/>
        <w:keepLines/>
        <w:widowControl w:val="1"/>
      </w:pPr>
      <w:r>
        <w:drawing>
          <wp:inline>
            <wp:extent cx="5943600" cy="7225719"/>
            <wp:effectExtent b="0" l="0" r="0" t="0"/>
            <wp:docPr descr="Judge agreement and reliability report" title="" id="108" name="Picture"/>
            <a:graphic>
              <a:graphicData uri="http://schemas.openxmlformats.org/drawingml/2006/picture">
                <pic:pic>
                  <pic:nvPicPr>
                    <pic:cNvPr descr="figures/gallery_fig_judge_report.png" id="109" name="Picture"/>
                    <pic:cNvPicPr>
                      <a:picLocks noChangeArrowheads="1" noChangeAspect="1"/>
                    </pic:cNvPicPr>
                  </pic:nvPicPr>
                  <pic:blipFill>
                    <a:blip r:embed="rId107"/>
                    <a:stretch>
                      <a:fillRect/>
                    </a:stretch>
                  </pic:blipFill>
                  <pic:spPr bwMode="auto">
                    <a:xfrm>
                      <a:off x="0" y="0"/>
                      <a:ext cx="5943600" cy="7225719"/>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A2.</w:t>
      </w:r>
      <w:r>
        <w:t xml:space="preserve"> </w:t>
      </w:r>
      <w:r>
        <w:t xml:space="preserve">Judge report: pairwise agreement, calibration, and reliability per judge.</w:t>
      </w:r>
    </w:p>
    <w:p>
      <w:pPr>
        <w:pStyle w:val="BodyText"/>
        <w:jc w:val="center"/>
        <w:keepNext/>
        <w:keepLines/>
        <w:widowControl w:val="1"/>
      </w:pPr>
      <w:r>
        <w:drawing>
          <wp:inline>
            <wp:extent cx="5943600" cy="9229561"/>
            <wp:effectExtent b="0" l="0" r="0" t="0"/>
            <wp:docPr descr="Attribute coverage summary report" title="" id="111" name="Picture"/>
            <a:graphic>
              <a:graphicData uri="http://schemas.openxmlformats.org/drawingml/2006/picture">
                <pic:pic>
                  <pic:nvPicPr>
                    <pic:cNvPr descr="figures/gallery_fig_coverage_summary.png" id="112" name="Picture"/>
                    <pic:cNvPicPr>
                      <a:picLocks noChangeArrowheads="1" noChangeAspect="1"/>
                    </pic:cNvPicPr>
                  </pic:nvPicPr>
                  <pic:blipFill>
                    <a:blip r:embed="rId110"/>
                    <a:stretch>
                      <a:fillRect/>
                    </a:stretch>
                  </pic:blipFill>
                  <pic:spPr bwMode="auto">
                    <a:xfrm>
                      <a:off x="0" y="0"/>
                      <a:ext cx="5943600" cy="9229561"/>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A3.</w:t>
      </w:r>
      <w:r>
        <w:t xml:space="preserve"> </w:t>
      </w:r>
      <w:r>
        <w:t xml:space="preserve">Coverage summary: attribute-coverage ratio and rare-stratum recall per task.</w:t>
      </w:r>
    </w:p>
    <w:p>
      <w:pPr>
        <w:pStyle w:val="BodyText"/>
        <w:jc w:val="center"/>
        <w:keepNext/>
        <w:keepLines/>
        <w:widowControl w:val="1"/>
      </w:pPr>
      <w:r>
        <w:drawing>
          <wp:inline>
            <wp:extent cx="5943600" cy="10974432"/>
            <wp:effectExtent b="0" l="0" r="0" t="0"/>
            <wp:docPr descr="Score distribution report" title="" id="114" name="Picture"/>
            <a:graphic>
              <a:graphicData uri="http://schemas.openxmlformats.org/drawingml/2006/picture">
                <pic:pic>
                  <pic:nvPicPr>
                    <pic:cNvPr descr="figures/gallery_fig_score_distribution.png" id="115" name="Picture"/>
                    <pic:cNvPicPr>
                      <a:picLocks noChangeArrowheads="1" noChangeAspect="1"/>
                    </pic:cNvPicPr>
                  </pic:nvPicPr>
                  <pic:blipFill>
                    <a:blip r:embed="rId113"/>
                    <a:stretch>
                      <a:fillRect/>
                    </a:stretch>
                  </pic:blipFill>
                  <pic:spPr bwMode="auto">
                    <a:xfrm>
                      <a:off x="0" y="0"/>
                      <a:ext cx="5943600" cy="10974432"/>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A4.</w:t>
      </w:r>
      <w:r>
        <w:t xml:space="preserve"> </w:t>
      </w:r>
      <w:r>
        <w:t xml:space="preserve">Score distribution: High/Medium/Low histograms, filterable by task and role.</w:t>
      </w:r>
    </w:p>
    <w:p>
      <w:pPr>
        <w:pStyle w:val="BodyText"/>
        <w:jc w:val="center"/>
        <w:keepNext/>
        <w:keepLines/>
        <w:widowControl w:val="1"/>
      </w:pPr>
      <w:r>
        <w:drawing>
          <wp:inline>
            <wp:extent cx="5943600" cy="7824324"/>
            <wp:effectExtent b="0" l="0" r="0" t="0"/>
            <wp:docPr descr="Teacher-student interaction matrix" title="" id="117" name="Picture"/>
            <a:graphic>
              <a:graphicData uri="http://schemas.openxmlformats.org/drawingml/2006/picture">
                <pic:pic>
                  <pic:nvPicPr>
                    <pic:cNvPr descr="figures/gallery_fig_interaction_matrix.png" id="118" name="Picture"/>
                    <pic:cNvPicPr>
                      <a:picLocks noChangeArrowheads="1" noChangeAspect="1"/>
                    </pic:cNvPicPr>
                  </pic:nvPicPr>
                  <pic:blipFill>
                    <a:blip r:embed="rId116"/>
                    <a:stretch>
                      <a:fillRect/>
                    </a:stretch>
                  </pic:blipFill>
                  <pic:spPr bwMode="auto">
                    <a:xfrm>
                      <a:off x="0" y="0"/>
                      <a:ext cx="5943600" cy="7824324"/>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A5.</w:t>
      </w:r>
      <w:r>
        <w:t xml:space="preserve"> </w:t>
      </w:r>
      <w:r>
        <w:t xml:space="preserve">Interaction matrix: teacher×student pair quality heatmap.</w:t>
      </w:r>
    </w:p>
    <w:bookmarkEnd w:id="119"/>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29" Type="http://schemas.openxmlformats.org/officeDocument/2006/relationships/image" Target="media/rId29.png"/><Relationship Id="rId33" Type="http://schemas.openxmlformats.org/officeDocument/2006/relationships/image" Target="media/rId33.png"/><Relationship Id="rId25" Type="http://schemas.openxmlformats.org/officeDocument/2006/relationships/image" Target="media/rId25.png"/><Relationship Id="rId38" Type="http://schemas.openxmlformats.org/officeDocument/2006/relationships/image" Target="media/rId38.png"/><Relationship Id="rId43" Type="http://schemas.openxmlformats.org/officeDocument/2006/relationships/image" Target="media/rId43.png"/><Relationship Id="rId110" Type="http://schemas.openxmlformats.org/officeDocument/2006/relationships/image" Target="media/rId110.png"/><Relationship Id="rId116" Type="http://schemas.openxmlformats.org/officeDocument/2006/relationships/image" Target="media/rId116.png"/><Relationship Id="rId107" Type="http://schemas.openxmlformats.org/officeDocument/2006/relationships/image" Target="media/rId107.png"/><Relationship Id="rId113" Type="http://schemas.openxmlformats.org/officeDocument/2006/relationships/image" Target="media/rId113.png"/><Relationship Id="rId104" Type="http://schemas.openxmlformats.org/officeDocument/2006/relationships/image" Target="media/rId104.png"/><Relationship Id="rId9" Type="http://schemas.openxmlformats.org/officeDocument/2006/relationships/hyperlink" Target="CoEval.docx" TargetMode="External"/><Relationship Id="rId77" Type="http://schemas.openxmlformats.org/officeDocument/2006/relationships/hyperlink" Target="https://arxiv.org/abs/2104.14337" TargetMode="External"/><Relationship Id="rId53" Type="http://schemas.openxmlformats.org/officeDocument/2006/relationships/hyperlink" Target="https://arxiv.org/abs/2303.16634" TargetMode="External"/><Relationship Id="rId51" Type="http://schemas.openxmlformats.org/officeDocument/2006/relationships/hyperlink" Target="https://arxiv.org/abs/2306.05685" TargetMode="External"/><Relationship Id="rId91" Type="http://schemas.openxmlformats.org/officeDocument/2006/relationships/hyperlink" Target="https://arxiv.org/abs/2308.07201" TargetMode="External"/><Relationship Id="rId95" Type="http://schemas.openxmlformats.org/officeDocument/2006/relationships/hyperlink" Target="https://arxiv.org/abs/2403.07974" TargetMode="External"/><Relationship Id="rId65" Type="http://schemas.openxmlformats.org/officeDocument/2006/relationships/hyperlink" Target="https://arxiv.org/abs/2404.04475" TargetMode="External"/><Relationship Id="rId59" Type="http://schemas.openxmlformats.org/officeDocument/2006/relationships/hyperlink" Target="https://arxiv.org/abs/2404.18796" TargetMode="External"/><Relationship Id="rId73" Type="http://schemas.openxmlformats.org/officeDocument/2006/relationships/hyperlink" Target="https://arxiv.org/abs/2405.00332" TargetMode="External"/><Relationship Id="rId55" Type="http://schemas.openxmlformats.org/officeDocument/2006/relationships/hyperlink" Target="https://arxiv.org/abs/2405.01535" TargetMode="External"/><Relationship Id="rId63" Type="http://schemas.openxmlformats.org/officeDocument/2006/relationships/hyperlink" Target="https://arxiv.org/abs/2406.05761" TargetMode="External"/><Relationship Id="rId93" Type="http://schemas.openxmlformats.org/officeDocument/2006/relationships/hyperlink" Target="https://arxiv.org/abs/2406.19314" TargetMode="External"/><Relationship Id="rId67" Type="http://schemas.openxmlformats.org/officeDocument/2006/relationships/hyperlink" Target="https://arxiv.org/abs/2407.08351" TargetMode="External"/><Relationship Id="rId57" Type="http://schemas.openxmlformats.org/officeDocument/2006/relationships/hyperlink" Target="https://arxiv.org/abs/2407.10817" TargetMode="External"/><Relationship Id="rId99" Type="http://schemas.openxmlformats.org/officeDocument/2006/relationships/hyperlink" Target="https://arxiv.org/abs/2408.08808" TargetMode="External"/><Relationship Id="rId83" Type="http://schemas.openxmlformats.org/officeDocument/2006/relationships/hyperlink" Target="https://arxiv.org/abs/2410.02736" TargetMode="External"/><Relationship Id="rId61" Type="http://schemas.openxmlformats.org/officeDocument/2006/relationships/hyperlink" Target="https://arxiv.org/abs/2410.12784" TargetMode="External"/><Relationship Id="rId85" Type="http://schemas.openxmlformats.org/officeDocument/2006/relationships/hyperlink" Target="https://arxiv.org/abs/2410.21819" TargetMode="External"/><Relationship Id="rId69" Type="http://schemas.openxmlformats.org/officeDocument/2006/relationships/hyperlink" Target="https://arxiv.org/abs/2410.22584" TargetMode="External"/><Relationship Id="rId87" Type="http://schemas.openxmlformats.org/officeDocument/2006/relationships/hyperlink" Target="https://arxiv.org/abs/2411.15594" TargetMode="External"/><Relationship Id="rId89" Type="http://schemas.openxmlformats.org/officeDocument/2006/relationships/hyperlink" Target="https://arxiv.org/abs/2411.16594" TargetMode="External"/><Relationship Id="rId79" Type="http://schemas.openxmlformats.org/officeDocument/2006/relationships/hyperlink" Target="https://arxiv.org/abs/2502.01534" TargetMode="External"/><Relationship Id="rId75" Type="http://schemas.openxmlformats.org/officeDocument/2006/relationships/hyperlink" Target="https://arxiv.org/abs/2502.14425" TargetMode="External"/><Relationship Id="rId71" Type="http://schemas.openxmlformats.org/officeDocument/2006/relationships/hyperlink" Target="https://arxiv.org/abs/2504.01833" TargetMode="External"/><Relationship Id="rId97" Type="http://schemas.openxmlformats.org/officeDocument/2006/relationships/hyperlink" Target="https://arxiv.org/abs/2504.03846" TargetMode="External"/><Relationship Id="rId101" Type="http://schemas.openxmlformats.org/officeDocument/2006/relationships/hyperlink" Target="https://arxiv.org/abs/2504.17087" TargetMode="External"/><Relationship Id="rId81" Type="http://schemas.openxmlformats.org/officeDocument/2006/relationships/hyperlink" Target="https://arxiv.org/abs/2508.06709"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CoEval.docx" TargetMode="External"/><Relationship Id="rId77" Type="http://schemas.openxmlformats.org/officeDocument/2006/relationships/hyperlink" Target="https://arxiv.org/abs/2104.14337" TargetMode="External"/><Relationship Id="rId53" Type="http://schemas.openxmlformats.org/officeDocument/2006/relationships/hyperlink" Target="https://arxiv.org/abs/2303.16634" TargetMode="External"/><Relationship Id="rId51" Type="http://schemas.openxmlformats.org/officeDocument/2006/relationships/hyperlink" Target="https://arxiv.org/abs/2306.05685" TargetMode="External"/><Relationship Id="rId91" Type="http://schemas.openxmlformats.org/officeDocument/2006/relationships/hyperlink" Target="https://arxiv.org/abs/2308.07201" TargetMode="External"/><Relationship Id="rId95" Type="http://schemas.openxmlformats.org/officeDocument/2006/relationships/hyperlink" Target="https://arxiv.org/abs/2403.07974" TargetMode="External"/><Relationship Id="rId65" Type="http://schemas.openxmlformats.org/officeDocument/2006/relationships/hyperlink" Target="https://arxiv.org/abs/2404.04475" TargetMode="External"/><Relationship Id="rId59" Type="http://schemas.openxmlformats.org/officeDocument/2006/relationships/hyperlink" Target="https://arxiv.org/abs/2404.18796" TargetMode="External"/><Relationship Id="rId73" Type="http://schemas.openxmlformats.org/officeDocument/2006/relationships/hyperlink" Target="https://arxiv.org/abs/2405.00332" TargetMode="External"/><Relationship Id="rId55" Type="http://schemas.openxmlformats.org/officeDocument/2006/relationships/hyperlink" Target="https://arxiv.org/abs/2405.01535" TargetMode="External"/><Relationship Id="rId63" Type="http://schemas.openxmlformats.org/officeDocument/2006/relationships/hyperlink" Target="https://arxiv.org/abs/2406.05761" TargetMode="External"/><Relationship Id="rId93" Type="http://schemas.openxmlformats.org/officeDocument/2006/relationships/hyperlink" Target="https://arxiv.org/abs/2406.19314" TargetMode="External"/><Relationship Id="rId67" Type="http://schemas.openxmlformats.org/officeDocument/2006/relationships/hyperlink" Target="https://arxiv.org/abs/2407.08351" TargetMode="External"/><Relationship Id="rId57" Type="http://schemas.openxmlformats.org/officeDocument/2006/relationships/hyperlink" Target="https://arxiv.org/abs/2407.10817" TargetMode="External"/><Relationship Id="rId99" Type="http://schemas.openxmlformats.org/officeDocument/2006/relationships/hyperlink" Target="https://arxiv.org/abs/2408.08808" TargetMode="External"/><Relationship Id="rId83" Type="http://schemas.openxmlformats.org/officeDocument/2006/relationships/hyperlink" Target="https://arxiv.org/abs/2410.02736" TargetMode="External"/><Relationship Id="rId61" Type="http://schemas.openxmlformats.org/officeDocument/2006/relationships/hyperlink" Target="https://arxiv.org/abs/2410.12784" TargetMode="External"/><Relationship Id="rId85" Type="http://schemas.openxmlformats.org/officeDocument/2006/relationships/hyperlink" Target="https://arxiv.org/abs/2410.21819" TargetMode="External"/><Relationship Id="rId69" Type="http://schemas.openxmlformats.org/officeDocument/2006/relationships/hyperlink" Target="https://arxiv.org/abs/2410.22584" TargetMode="External"/><Relationship Id="rId87" Type="http://schemas.openxmlformats.org/officeDocument/2006/relationships/hyperlink" Target="https://arxiv.org/abs/2411.15594" TargetMode="External"/><Relationship Id="rId89" Type="http://schemas.openxmlformats.org/officeDocument/2006/relationships/hyperlink" Target="https://arxiv.org/abs/2411.16594" TargetMode="External"/><Relationship Id="rId79" Type="http://schemas.openxmlformats.org/officeDocument/2006/relationships/hyperlink" Target="https://arxiv.org/abs/2502.01534" TargetMode="External"/><Relationship Id="rId75" Type="http://schemas.openxmlformats.org/officeDocument/2006/relationships/hyperlink" Target="https://arxiv.org/abs/2502.14425" TargetMode="External"/><Relationship Id="rId71" Type="http://schemas.openxmlformats.org/officeDocument/2006/relationships/hyperlink" Target="https://arxiv.org/abs/2504.01833" TargetMode="External"/><Relationship Id="rId97" Type="http://schemas.openxmlformats.org/officeDocument/2006/relationships/hyperlink" Target="https://arxiv.org/abs/2504.03846" TargetMode="External"/><Relationship Id="rId101" Type="http://schemas.openxmlformats.org/officeDocument/2006/relationships/hyperlink" Target="https://arxiv.org/abs/2504.17087" TargetMode="External"/><Relationship Id="rId81" Type="http://schemas.openxmlformats.org/officeDocument/2006/relationships/hyperlink" Target="https://arxiv.org/abs/2508.06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2026-06-01T08:26:48Z</dcterms:created>
  <dcterms:modified xsi:type="dcterms:W3CDTF">2026-06-01T08:26:48Z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