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40"/>
        <w:jc w:val="center"/>
        <w:keepNext/>
        <w:keepLines/>
        <w:widowControl w:val="1"/>
      </w:pPr>
      <w:r>
        <w:rPr>
          <w:rFonts w:ascii="Times New Roman" w:hAnsi="Times New Roman"/>
          <w:b/>
          <w:i w:val="0"/>
          <w:sz w:val="24"/>
        </w:rPr>
        <w:t xml:space="preserve">Alexander Apartsin</w:t>
      </w:r>
    </w:p>
    <w:p>
      <w:pPr>
        <w:pStyle w:val="Subtitle"/>
        <w:spacing w:before="0" w:after="160"/>
        <w:jc w:val="center"/>
        <w:keepNext w:val="0"/>
        <w:keepLines/>
        <w:widowControl w:val="1"/>
      </w:pPr>
      <w:r>
        <w:rPr>
          <w:rFonts w:ascii="Times New Roman" w:hAnsi="Times New Roman"/>
          <w:b w:val="0"/>
          <w:i/>
          <w:sz w:val="20"/>
        </w:rPr>
        <w:t xml:space="preserve">Holon Institute of Technology, Israel</w:t>
      </w:r>
    </w:p>
    <w:p>
      <w:pPr>
        <w:pStyle w:val="Subtitle"/>
        <w:spacing w:before="0" w:after="40"/>
        <w:jc w:val="center"/>
        <w:keepNext/>
        <w:keepLines/>
        <w:widowControl w:val="1"/>
      </w:pPr>
      <w:r>
        <w:rPr>
          <w:rFonts w:ascii="Times New Roman" w:hAnsi="Times New Roman"/>
          <w:b/>
          <w:i w:val="0"/>
          <w:sz w:val="24"/>
        </w:rPr>
        <w:t xml:space="preserve">Yehudit Aperstein</w:t>
      </w:r>
    </w:p>
    <w:p>
      <w:pPr>
        <w:pStyle w:val="Subtitle"/>
        <w:spacing w:before="0" w:after="160"/>
        <w:jc w:val="center"/>
        <w:keepNext w:val="0"/>
        <w:keepLines/>
        <w:widowControl w:val="1"/>
      </w:pPr>
      <w:r>
        <w:rPr>
          <w:rFonts w:ascii="Times New Roman" w:hAnsi="Times New Roman"/>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Choosing or ranking language models for a specific application is hardest when it matters most: when</w:t>
      </w:r>
      <w:r>
        <w:t xml:space="preserve"> </w:t>
      </w:r>
      <w:r>
        <w:rPr>
          <w:i/>
          <w:iCs/>
        </w:rPr>
        <w:t xml:space="preserve">no task-specific labeled data exists</w:t>
      </w:r>
      <w:r>
        <w:t xml:space="preserve"> </w:t>
      </w:r>
      <w:r>
        <w:t xml:space="preserve">to build an evaluation set, and when</w:t>
      </w:r>
      <w:r>
        <w:t xml:space="preserve"> </w:t>
      </w:r>
      <w:r>
        <w:rPr>
          <w:i/>
          <w:iCs/>
        </w:rPr>
        <w:t xml:space="preserve">standard public benchmarks</w:t>
      </w:r>
      <w:r>
        <w:rPr>
          <w:i/>
          <w:iCs/>
        </w:rPr>
        <w:t xml:space="preserve"> </w:t>
      </w:r>
      <w:r>
        <w:rPr>
          <w:i/>
          <w:iCs/>
        </w:rPr>
        <w:t xml:space="preserve">cannot be trusted</w:t>
      </w:r>
      <w:r>
        <w:t xml:space="preserve"> </w:t>
      </w:r>
      <w:r>
        <w:t xml:space="preserve">because their items have likely leaked into pretraining, so leaderboard numbers may reflect</w:t>
      </w:r>
      <w:r>
        <w:t xml:space="preserve"> </w:t>
      </w:r>
      <w:r>
        <w:t xml:space="preserve">memorization rather than fitness for the use case. Existing tools address only one side of this gap: automated</w:t>
      </w:r>
      <w:r>
        <w:t xml:space="preserve"> </w:t>
      </w:r>
      <w:r>
        <w:t xml:space="preserve">benchmark generators still score with a single, bias-prone judge; LLM-as-judge panels presuppose that an evaluation</w:t>
      </w:r>
      <w:r>
        <w:t xml:space="preserve"> </w:t>
      </w:r>
      <w:r>
        <w:t xml:space="preserve">set already exists; and continually refreshed live benchmarks curb leakage only through ongoing human curation and</w:t>
      </w:r>
      <w:r>
        <w:t xml:space="preserve"> </w:t>
      </w:r>
      <w:r>
        <w:t xml:space="preserve">avoid open-ended, judge-scored tasks. No existing approach supplies contamination-free, label-free, domain-targeted</w:t>
      </w:r>
      <w:r>
        <w:t xml:space="preserve"> </w:t>
      </w:r>
      <w:r>
        <w:t xml:space="preserve">evaluation end to end. We present</w:t>
      </w:r>
      <w:r>
        <w:t xml:space="preserve"> </w:t>
      </w:r>
      <w:r>
        <w:rPr>
          <w:b/>
          <w:bCs/>
        </w:rPr>
        <w:t xml:space="preserve">CoEval</w:t>
      </w:r>
      <w:r>
        <w:t xml:space="preserve">, an open-source, reusable framework that</w:t>
      </w:r>
      <w:r>
        <w:t xml:space="preserve"> </w:t>
      </w:r>
      <w:r>
        <w:t xml:space="preserve">addresses both conditions: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w:t>
      </w:r>
      <w:r>
        <w:t xml:space="preserve"> </w:t>
      </w:r>
      <w:r>
        <w:t xml:space="preserve">anew on each run. A cross-family judge ensemble then ranks candidate models, with no human raters. We validate the</w:t>
      </w:r>
      <w:r>
        <w:t xml:space="preserve"> </w:t>
      </w:r>
      <w:r>
        <w:t xml:space="preserve">tool against objective ground truth, then apply it where none exists: CoEval recovers the true model ranking</w:t>
      </w:r>
      <w:r>
        <w:t xml:space="preserve"> </w:t>
      </w:r>
      <w:r>
        <w:t xml:space="preserve">with no labeled data and its label-free scores track ground-truth correctness at</w:t>
      </w:r>
      <w:r>
        <w:t xml:space="preserve"> </w:t>
      </w:r>
      <m:oMath>
        <m:r>
          <m:t>ρ</m:t>
        </m:r>
        <m:r>
          <m:rPr>
            <m:sty m:val="p"/>
          </m:rPr>
          <m:t>=</m:t>
        </m:r>
        <m:r>
          <m:t>0.86</m:t>
        </m:r>
      </m:oMath>
      <w:r>
        <w:t xml:space="preserve">. A complementary</w:t>
      </w:r>
      <w:r>
        <w:t xml:space="preserve"> </w:t>
      </w:r>
      <w:r>
        <w:t xml:space="preserve">technical finding makes the label-free judging reliable without human calibration: judge-panel</w:t>
      </w:r>
      <w:r>
        <w:t xml:space="preserve"> </w:t>
      </w:r>
      <w:r>
        <w:rPr>
          <w:i/>
          <w:iCs/>
        </w:rPr>
        <w:t xml:space="preserve">composition</w:t>
      </w:r>
      <w:r>
        <w:t xml:space="preserve"> </w:t>
      </w:r>
      <w:r>
        <w:t xml:space="preserve">(diversity across vendor families), not panel</w:t>
      </w:r>
      <w:r>
        <w:t xml:space="preserve"> </w:t>
      </w:r>
      <w:r>
        <w:rPr>
          <w:i/>
          <w:iCs/>
        </w:rPr>
        <w:t xml:space="preserve">size</w:t>
      </w:r>
      <w:r>
        <w:t xml:space="preserve">, determines</w:t>
      </w:r>
      <w:r>
        <w:t xml:space="preserve"> </w:t>
      </w:r>
      <w:r>
        <w:t xml:space="preserve">reliability, and indiscriminately enlarging a panel can</w:t>
      </w:r>
      <w:r>
        <w:t xml:space="preserve"> </w:t>
      </w:r>
      <w:r>
        <w:rPr>
          <w:i/>
          <w:iCs/>
        </w:rPr>
        <w:t xml:space="preserve">reduce</w:t>
      </w:r>
      <w:r>
        <w:t xml:space="preserve"> </w:t>
      </w:r>
      <w:r>
        <w:t xml:space="preserve">it (inter-rater reliability peaks at two</w:t>
      </w:r>
      <w:r>
        <w:t xml:space="preserve"> </w:t>
      </w:r>
      <w:r>
        <w:t xml:space="preserve">well-chosen judges and falls as low-agreement judges are added, exactly matching the Spearman–Brown relation).</w:t>
      </w:r>
      <w:r>
        <w:t xml:space="preserve"> </w:t>
      </w:r>
      <w:r>
        <w:t xml:space="preserve">Composition is what makes a single judge unsafe to pick blind: on a benchmark-grounded set the candidate judges range</w:t>
      </w:r>
      <w:r>
        <w:t xml:space="preserve"> </w:t>
      </w:r>
      <w:r>
        <w:t xml:space="preserve">from anti-correlated to moderately correlated with ground truth (a judge-choice regret of</w:t>
      </w:r>
      <w:r>
        <w:t xml:space="preserve"> </w:t>
      </w:r>
      <m:oMath>
        <m:r>
          <m:t>0.35</m:t>
        </m:r>
      </m:oMath>
      <w:r>
        <w:t xml:space="preserve">), whereas the</w:t>
      </w:r>
      <w:r>
        <w:t xml:space="preserve"> </w:t>
      </w:r>
      <w:r>
        <w:t xml:space="preserve">cross-family ensemble is never anti-correlated, and an unsupervised reliability-weighted aggregator is the strongest</w:t>
      </w:r>
      <w:r>
        <w:t xml:space="preserve"> </w:t>
      </w:r>
      <w:r>
        <w:t xml:space="preserve">label-free choice.</w:t>
      </w:r>
      <w:r>
        <w:t xml:space="preserve"> </w:t>
      </w:r>
      <w:r>
        <w:t xml:space="preserve">CoEval fills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from one shared pool of models: any model can take any role, and a model that judges in one run can be a candidate in another, all configured from a single file across many provider interfaces. Generated items have</w:t>
      </w:r>
      <w:r>
        <w:t xml:space="preserve"> </w:t>
      </w:r>
      <m:oMath>
        <m:r>
          <m:t>0.0000</m:t>
        </m:r>
      </m:oMath>
      <w:r>
        <w:t xml:space="preserve"> </w:t>
      </w:r>
      <w:r>
        <w:t xml:space="preserve">verbatim 13-gram overlap with five major public benchmarks. Across a four-task medium-scale</w:t>
      </w:r>
      <w:r>
        <w:t xml:space="preserve"> </w:t>
      </w:r>
      <w:r>
        <w:t xml:space="preserve">study, CoEval produced 7,978 valid evaluations at a total cost of USD 5.89 with no human annotation. We show that the</w:t>
      </w:r>
      <w:r>
        <w:t xml:space="preserve"> </w:t>
      </w:r>
      <w:r>
        <w:t xml:space="preserve">ensemble removes a verbosity bias that no single judge avoids (mean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with a bootstrap CI spanning zero, a 93% reduction) and structurally precludes same-family</w:t>
      </w:r>
      <w:r>
        <w:t xml:space="preserve"> </w:t>
      </w:r>
      <w:r>
        <w:t xml:space="preserve">self-preference, while producing task-specialized rubrics that share a universal quality core. On objective</w:t>
      </w:r>
      <w:r>
        <w:t xml:space="preserve"> </w:t>
      </w:r>
      <w:r>
        <w:t xml:space="preserve">exact-match QA the frontier cross-family ensemble tracks ground-truth correctness at</w:t>
      </w:r>
      <w:r>
        <w:t xml:space="preserve"> </w:t>
      </w:r>
      <m:oMath>
        <m:r>
          <m:t>ρ</m:t>
        </m:r>
        <m:r>
          <m:rPr>
            <m:sty m:val="p"/>
          </m:rPr>
          <m:t>=</m:t>
        </m:r>
        <m:r>
          <m:t>0.86</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 with vendor-independent agreement. This non-monotone reliability result, where adding low-agreement judges</w:t>
      </w:r>
      <w:r>
        <w:t xml:space="preserve"> </w:t>
      </w:r>
      <w:r>
        <w:rPr>
          <w:i/>
          <w:iCs/>
        </w:rPr>
        <w:t xml:space="preserve">reduces</w:t>
      </w:r>
      <w:r>
        <w:t xml:space="preserve"> </w:t>
      </w:r>
      <w:r>
        <w:t xml:space="preserve">reliability, is what lets a small, well-chosen cross-family panel serve as a trustworthy, label-free substitute for a contaminated leaderboard, one that any team can regenerate for its own application and re-run on every model release.</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Composition over size in cross-family judge ensembles.</w:t>
      </w:r>
      <w:r>
        <w:t xml:space="preserve"> </w:t>
      </w:r>
      <w:r>
        <w:t xml:space="preserve">Responses are scored by judges drawn</w:t>
      </w:r>
      <w:r>
        <w:t xml:space="preserve"> </w:t>
      </w:r>
      <w:r>
        <w:t xml:space="preserve">from distinct model vendors. Our central finding is that</w:t>
      </w:r>
      <w:r>
        <w:t xml:space="preserve"> </w:t>
      </w:r>
      <w:r>
        <w:rPr>
          <w:i/>
          <w:iCs/>
        </w:rPr>
        <w:t xml:space="preserve">composition</w:t>
      </w:r>
      <w:r>
        <w:t xml:space="preserve"> </w:t>
      </w:r>
      <w:r>
        <w:t xml:space="preserve">(vendor diversity), not 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We evaluate both</w:t>
      </w:r>
      <w:r>
        <w:t xml:space="preserve"> </w:t>
      </w:r>
      <w:r>
        <w:t xml:space="preserve">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16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6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7"/>
    <w:bookmarkStart w:id="31" w:name="X8b3480caa00443f57186feaf5cffdc8fb88fe2f"/>
    <w:p>
      <w:pPr>
        <w:pStyle w:val="Heading3"/>
        <w:keepNext/>
        <w:keepLines/>
        <w:widowControl w:val="1"/>
      </w:pPr>
      <w:r>
        <w:t xml:space="preserve">5.2 Ensemble reliability and judge-choice regret</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0.015</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TableCaption"/>
        <w:spacing w:before="16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2"/>
    <w:bookmarkStart w:id="107"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44"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3">
        <w:r>
          <w:rPr>
            <w:rStyle w:val="Hyperlink"/>
          </w:rPr>
          <w:t xml:space="preserve">arxiv.org/abs/2306.05685</w:t>
        </w:r>
      </w:hyperlink>
      <w:bookmarkEnd w:id="44"/>
    </w:p>
    <w:p>
      <w:pPr>
        <w:pStyle w:val="ReferenceEntry"/>
        <w:numPr>
          <w:ilvl w:val="0"/>
          <w:numId w:val="1002"/>
        </w:numPr>
        <w:jc w:val="left"/>
        <w:keepNext w:val="0"/>
        <w:keepLines w:val="0"/>
        <w:widowControl w:val="1"/>
      </w:pPr>
      <w:bookmarkStart w:id="46"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5">
        <w:r>
          <w:rPr>
            <w:rStyle w:val="Hyperlink"/>
          </w:rPr>
          <w:t xml:space="preserve">arxiv.org/abs/2303.16634</w:t>
        </w:r>
      </w:hyperlink>
      <w:bookmarkEnd w:id="46"/>
    </w:p>
    <w:p>
      <w:pPr>
        <w:pStyle w:val="ReferenceEntry"/>
        <w:numPr>
          <w:ilvl w:val="0"/>
          <w:numId w:val="1002"/>
        </w:numPr>
        <w:jc w:val="left"/>
        <w:keepNext w:val="0"/>
        <w:keepLines w:val="0"/>
        <w:widowControl w:val="1"/>
      </w:pPr>
      <w:bookmarkStart w:id="48"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7">
        <w:r>
          <w:rPr>
            <w:rStyle w:val="Hyperlink"/>
          </w:rPr>
          <w:t xml:space="preserve">arxiv.org/abs/2405.01535</w:t>
        </w:r>
      </w:hyperlink>
      <w:bookmarkEnd w:id="48"/>
    </w:p>
    <w:p>
      <w:pPr>
        <w:pStyle w:val="ReferenceEntry"/>
        <w:numPr>
          <w:ilvl w:val="0"/>
          <w:numId w:val="1002"/>
        </w:numPr>
        <w:jc w:val="left"/>
        <w:keepNext w:val="0"/>
        <w:keepLines w:val="0"/>
        <w:widowControl w:val="1"/>
      </w:pPr>
      <w:bookmarkStart w:id="50"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9">
        <w:r>
          <w:rPr>
            <w:rStyle w:val="Hyperlink"/>
          </w:rPr>
          <w:t xml:space="preserve">arxiv.org/abs/2407.10817</w:t>
        </w:r>
      </w:hyperlink>
      <w:bookmarkEnd w:id="50"/>
    </w:p>
    <w:p>
      <w:pPr>
        <w:pStyle w:val="ReferenceEntry"/>
        <w:numPr>
          <w:ilvl w:val="0"/>
          <w:numId w:val="1002"/>
        </w:numPr>
        <w:jc w:val="left"/>
        <w:keepNext w:val="0"/>
        <w:keepLines w:val="0"/>
        <w:widowControl w:val="1"/>
      </w:pPr>
      <w:bookmarkStart w:id="52"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1">
        <w:r>
          <w:rPr>
            <w:rStyle w:val="Hyperlink"/>
          </w:rPr>
          <w:t xml:space="preserve">arxiv.org/abs/2404.18796</w:t>
        </w:r>
      </w:hyperlink>
      <w:bookmarkEnd w:id="52"/>
    </w:p>
    <w:p>
      <w:pPr>
        <w:pStyle w:val="ReferenceEntry"/>
        <w:numPr>
          <w:ilvl w:val="0"/>
          <w:numId w:val="1002"/>
        </w:numPr>
        <w:jc w:val="left"/>
        <w:keepNext w:val="0"/>
        <w:keepLines w:val="0"/>
        <w:widowControl w:val="1"/>
      </w:pPr>
      <w:bookmarkStart w:id="54"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3">
        <w:r>
          <w:rPr>
            <w:rStyle w:val="Hyperlink"/>
          </w:rPr>
          <w:t xml:space="preserve">arxiv.org/abs/2410.12784</w:t>
        </w:r>
      </w:hyperlink>
      <w:bookmarkEnd w:id="54"/>
    </w:p>
    <w:p>
      <w:pPr>
        <w:pStyle w:val="ReferenceEntry"/>
        <w:numPr>
          <w:ilvl w:val="0"/>
          <w:numId w:val="1002"/>
        </w:numPr>
        <w:jc w:val="left"/>
        <w:keepNext w:val="0"/>
        <w:keepLines w:val="0"/>
        <w:widowControl w:val="1"/>
      </w:pPr>
      <w:bookmarkStart w:id="56"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5">
        <w:r>
          <w:rPr>
            <w:rStyle w:val="Hyperlink"/>
          </w:rPr>
          <w:t xml:space="preserve">arxiv.org/abs/2406.05761</w:t>
        </w:r>
      </w:hyperlink>
      <w:bookmarkEnd w:id="56"/>
    </w:p>
    <w:p>
      <w:pPr>
        <w:pStyle w:val="ReferenceEntry"/>
        <w:numPr>
          <w:ilvl w:val="0"/>
          <w:numId w:val="1002"/>
        </w:numPr>
        <w:jc w:val="left"/>
        <w:keepNext w:val="0"/>
        <w:keepLines w:val="0"/>
        <w:widowControl w:val="1"/>
      </w:pPr>
      <w:bookmarkStart w:id="58"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7">
        <w:r>
          <w:rPr>
            <w:rStyle w:val="Hyperlink"/>
          </w:rPr>
          <w:t xml:space="preserve">arxiv.org/abs/2404.04475</w:t>
        </w:r>
      </w:hyperlink>
      <w:bookmarkEnd w:id="58"/>
    </w:p>
    <w:p>
      <w:pPr>
        <w:pStyle w:val="ReferenceEntry"/>
        <w:numPr>
          <w:ilvl w:val="0"/>
          <w:numId w:val="1002"/>
        </w:numPr>
        <w:jc w:val="left"/>
        <w:keepNext w:val="0"/>
        <w:keepLines w:val="0"/>
        <w:widowControl w:val="1"/>
      </w:pPr>
      <w:bookmarkStart w:id="60" w:name="r9"/>
      <w:r>
        <w:t xml:space="preserve">Li, X. L., Kazemi, M., et al. (2024).</w:t>
      </w:r>
      <w:r>
        <w:t xml:space="preserve"> </w:t>
      </w:r>
      <w:r>
        <w:rPr>
          <w:i/>
          <w:iCs/>
        </w:rPr>
        <w:t xml:space="preserve">AutoBencher: Towards Declarative Benchmark Construction.</w:t>
      </w:r>
      <w:r>
        <w:t xml:space="preserve"> </w:t>
      </w:r>
      <w:hyperlink r:id="rId59">
        <w:r>
          <w:rPr>
            <w:rStyle w:val="Hyperlink"/>
          </w:rPr>
          <w:t xml:space="preserve">arxiv.org/abs/2407.08351</w:t>
        </w:r>
      </w:hyperlink>
      <w:bookmarkEnd w:id="60"/>
    </w:p>
    <w:p>
      <w:pPr>
        <w:pStyle w:val="ReferenceEntry"/>
        <w:numPr>
          <w:ilvl w:val="0"/>
          <w:numId w:val="1002"/>
        </w:numPr>
        <w:jc w:val="left"/>
        <w:keepNext w:val="0"/>
        <w:keepLines w:val="0"/>
        <w:widowControl w:val="1"/>
      </w:pPr>
      <w:bookmarkStart w:id="62"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1">
        <w:r>
          <w:rPr>
            <w:rStyle w:val="Hyperlink"/>
          </w:rPr>
          <w:t xml:space="preserve">arxiv.org/abs/2410.22584</w:t>
        </w:r>
      </w:hyperlink>
      <w:bookmarkEnd w:id="62"/>
    </w:p>
    <w:p>
      <w:pPr>
        <w:pStyle w:val="ReferenceEntry"/>
        <w:numPr>
          <w:ilvl w:val="0"/>
          <w:numId w:val="1002"/>
        </w:numPr>
        <w:jc w:val="left"/>
        <w:keepNext w:val="0"/>
        <w:keepLines w:val="0"/>
        <w:widowControl w:val="1"/>
      </w:pPr>
      <w:bookmarkStart w:id="64" w:name="r11"/>
      <w:r>
        <w:t xml:space="preserve">Shashidhar, S., et al. (2025).</w:t>
      </w:r>
      <w:r>
        <w:t xml:space="preserve"> </w:t>
      </w:r>
      <w:r>
        <w:rPr>
          <w:i/>
          <w:iCs/>
        </w:rPr>
        <w:t xml:space="preserve">YourBench: Easy Custom Evaluation Sets for Everyone.</w:t>
      </w:r>
      <w:r>
        <w:t xml:space="preserve"> </w:t>
      </w:r>
      <w:hyperlink r:id="rId63">
        <w:r>
          <w:rPr>
            <w:rStyle w:val="Hyperlink"/>
          </w:rPr>
          <w:t xml:space="preserve">arxiv.org/abs/2504.01833</w:t>
        </w:r>
      </w:hyperlink>
      <w:bookmarkEnd w:id="64"/>
    </w:p>
    <w:p>
      <w:pPr>
        <w:pStyle w:val="ReferenceEntry"/>
        <w:numPr>
          <w:ilvl w:val="0"/>
          <w:numId w:val="1002"/>
        </w:numPr>
        <w:jc w:val="left"/>
        <w:keepNext w:val="0"/>
        <w:keepLines w:val="0"/>
        <w:widowControl w:val="1"/>
      </w:pPr>
      <w:bookmarkStart w:id="66"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5">
        <w:r>
          <w:rPr>
            <w:rStyle w:val="Hyperlink"/>
          </w:rPr>
          <w:t xml:space="preserve">arxiv.org/abs/2405.00332</w:t>
        </w:r>
      </w:hyperlink>
      <w:bookmarkEnd w:id="66"/>
    </w:p>
    <w:p>
      <w:pPr>
        <w:pStyle w:val="ReferenceEntry"/>
        <w:numPr>
          <w:ilvl w:val="0"/>
          <w:numId w:val="1002"/>
        </w:numPr>
        <w:jc w:val="left"/>
        <w:keepNext w:val="0"/>
        <w:keepLines w:val="0"/>
        <w:widowControl w:val="1"/>
      </w:pPr>
      <w:bookmarkStart w:id="68" w:name="r13"/>
      <w:r>
        <w:t xml:space="preserve">Xu, C., et al. (2025).</w:t>
      </w:r>
      <w:r>
        <w:t xml:space="preserve"> </w:t>
      </w:r>
      <w:r>
        <w:rPr>
          <w:i/>
          <w:iCs/>
        </w:rPr>
        <w:t xml:space="preserve">Benchmark Data Contamination of Large Language Models: A Survey.</w:t>
      </w:r>
      <w:r>
        <w:t xml:space="preserve"> </w:t>
      </w:r>
      <w:hyperlink r:id="rId67">
        <w:r>
          <w:rPr>
            <w:rStyle w:val="Hyperlink"/>
          </w:rPr>
          <w:t xml:space="preserve">arxiv.org/abs/2502.14425</w:t>
        </w:r>
      </w:hyperlink>
      <w:bookmarkEnd w:id="68"/>
    </w:p>
    <w:p>
      <w:pPr>
        <w:pStyle w:val="ReferenceEntry"/>
        <w:numPr>
          <w:ilvl w:val="0"/>
          <w:numId w:val="1002"/>
        </w:numPr>
        <w:jc w:val="left"/>
        <w:keepNext w:val="0"/>
        <w:keepLines w:val="0"/>
        <w:widowControl w:val="1"/>
      </w:pPr>
      <w:bookmarkStart w:id="70"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9">
        <w:r>
          <w:rPr>
            <w:rStyle w:val="Hyperlink"/>
          </w:rPr>
          <w:t xml:space="preserve">arxiv.org/abs/2104.14337</w:t>
        </w:r>
      </w:hyperlink>
      <w:bookmarkEnd w:id="70"/>
    </w:p>
    <w:p>
      <w:pPr>
        <w:pStyle w:val="ReferenceEntry"/>
        <w:numPr>
          <w:ilvl w:val="0"/>
          <w:numId w:val="1002"/>
        </w:numPr>
        <w:jc w:val="left"/>
        <w:keepNext w:val="0"/>
        <w:keepLines w:val="0"/>
        <w:widowControl w:val="1"/>
      </w:pPr>
      <w:bookmarkStart w:id="72"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1">
        <w:r>
          <w:rPr>
            <w:rStyle w:val="Hyperlink"/>
          </w:rPr>
          <w:t xml:space="preserve">arxiv.org/abs/2502.01534</w:t>
        </w:r>
      </w:hyperlink>
      <w:bookmarkEnd w:id="72"/>
    </w:p>
    <w:p>
      <w:pPr>
        <w:pStyle w:val="ReferenceEntry"/>
        <w:numPr>
          <w:ilvl w:val="0"/>
          <w:numId w:val="1002"/>
        </w:numPr>
        <w:jc w:val="left"/>
        <w:keepNext w:val="0"/>
        <w:keepLines w:val="0"/>
        <w:widowControl w:val="1"/>
      </w:pPr>
      <w:bookmarkStart w:id="74"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3">
        <w:r>
          <w:rPr>
            <w:rStyle w:val="Hyperlink"/>
          </w:rPr>
          <w:t xml:space="preserve">arxiv.org/abs/2508.06709</w:t>
        </w:r>
      </w:hyperlink>
      <w:bookmarkEnd w:id="74"/>
    </w:p>
    <w:p>
      <w:pPr>
        <w:pStyle w:val="ReferenceEntry"/>
        <w:numPr>
          <w:ilvl w:val="0"/>
          <w:numId w:val="1002"/>
        </w:numPr>
        <w:jc w:val="left"/>
        <w:keepNext w:val="0"/>
        <w:keepLines w:val="0"/>
        <w:widowControl w:val="1"/>
      </w:pPr>
      <w:bookmarkStart w:id="76"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5">
        <w:r>
          <w:rPr>
            <w:rStyle w:val="Hyperlink"/>
          </w:rPr>
          <w:t xml:space="preserve">arxiv.org/abs/2410.02736</w:t>
        </w:r>
      </w:hyperlink>
      <w:bookmarkEnd w:id="76"/>
    </w:p>
    <w:p>
      <w:pPr>
        <w:pStyle w:val="ReferenceEntry"/>
        <w:numPr>
          <w:ilvl w:val="0"/>
          <w:numId w:val="1002"/>
        </w:numPr>
        <w:jc w:val="left"/>
        <w:keepNext w:val="0"/>
        <w:keepLines w:val="0"/>
        <w:widowControl w:val="1"/>
      </w:pPr>
      <w:bookmarkStart w:id="78" w:name="r18"/>
      <w:r>
        <w:t xml:space="preserve">Wataoka, K., Takahashi, T., Ri, R. (2024).</w:t>
      </w:r>
      <w:r>
        <w:t xml:space="preserve"> </w:t>
      </w:r>
      <w:r>
        <w:rPr>
          <w:i/>
          <w:iCs/>
        </w:rPr>
        <w:t xml:space="preserve">Self-Preference Bias in LLM-as-a-Judge.</w:t>
      </w:r>
      <w:r>
        <w:t xml:space="preserve"> </w:t>
      </w:r>
      <w:hyperlink r:id="rId77">
        <w:r>
          <w:rPr>
            <w:rStyle w:val="Hyperlink"/>
          </w:rPr>
          <w:t xml:space="preserve">arxiv.org/abs/2410.21819</w:t>
        </w:r>
      </w:hyperlink>
      <w:bookmarkEnd w:id="78"/>
    </w:p>
    <w:p>
      <w:pPr>
        <w:pStyle w:val="ReferenceEntry"/>
        <w:numPr>
          <w:ilvl w:val="0"/>
          <w:numId w:val="1002"/>
        </w:numPr>
        <w:jc w:val="left"/>
        <w:keepNext w:val="0"/>
        <w:keepLines w:val="0"/>
        <w:widowControl w:val="1"/>
      </w:pPr>
      <w:bookmarkStart w:id="80" w:name="r19"/>
      <w:r>
        <w:t xml:space="preserve">Gu, J., Jiang, X., Shi, Z., et al. (2024).</w:t>
      </w:r>
      <w:r>
        <w:t xml:space="preserve"> </w:t>
      </w:r>
      <w:r>
        <w:rPr>
          <w:i/>
          <w:iCs/>
        </w:rPr>
        <w:t xml:space="preserve">A Survey on LLM-as-a-Judge.</w:t>
      </w:r>
      <w:r>
        <w:t xml:space="preserve"> </w:t>
      </w:r>
      <w:hyperlink r:id="rId79">
        <w:r>
          <w:rPr>
            <w:rStyle w:val="Hyperlink"/>
          </w:rPr>
          <w:t xml:space="preserve">arxiv.org/abs/2411.15594</w:t>
        </w:r>
      </w:hyperlink>
      <w:bookmarkEnd w:id="80"/>
    </w:p>
    <w:p>
      <w:pPr>
        <w:pStyle w:val="ReferenceEntry"/>
        <w:numPr>
          <w:ilvl w:val="0"/>
          <w:numId w:val="1002"/>
        </w:numPr>
        <w:jc w:val="left"/>
        <w:keepNext w:val="0"/>
        <w:keepLines w:val="0"/>
        <w:widowControl w:val="1"/>
      </w:pPr>
      <w:bookmarkStart w:id="82"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1">
        <w:r>
          <w:rPr>
            <w:rStyle w:val="Hyperlink"/>
          </w:rPr>
          <w:t xml:space="preserve">arxiv.org/abs/2411.16594</w:t>
        </w:r>
      </w:hyperlink>
      <w:bookmarkEnd w:id="82"/>
    </w:p>
    <w:p>
      <w:pPr>
        <w:pStyle w:val="ReferenceEntry"/>
        <w:numPr>
          <w:ilvl w:val="0"/>
          <w:numId w:val="1002"/>
        </w:numPr>
        <w:jc w:val="left"/>
        <w:keepNext w:val="0"/>
        <w:keepLines w:val="0"/>
        <w:widowControl w:val="1"/>
      </w:pPr>
      <w:bookmarkStart w:id="84"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3">
        <w:r>
          <w:rPr>
            <w:rStyle w:val="Hyperlink"/>
          </w:rPr>
          <w:t xml:space="preserve">arxiv.org/abs/2308.07201</w:t>
        </w:r>
      </w:hyperlink>
      <w:bookmarkEnd w:id="84"/>
    </w:p>
    <w:p>
      <w:pPr>
        <w:pStyle w:val="ReferenceEntry"/>
        <w:numPr>
          <w:ilvl w:val="0"/>
          <w:numId w:val="1002"/>
        </w:numPr>
        <w:jc w:val="left"/>
        <w:keepNext w:val="0"/>
        <w:keepLines w:val="0"/>
        <w:widowControl w:val="1"/>
      </w:pPr>
      <w:bookmarkStart w:id="86"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5">
        <w:r>
          <w:rPr>
            <w:rStyle w:val="Hyperlink"/>
          </w:rPr>
          <w:t xml:space="preserve">arxiv.org/abs/2406.19314</w:t>
        </w:r>
      </w:hyperlink>
      <w:bookmarkEnd w:id="86"/>
    </w:p>
    <w:p>
      <w:pPr>
        <w:pStyle w:val="ReferenceEntry"/>
        <w:numPr>
          <w:ilvl w:val="0"/>
          <w:numId w:val="1002"/>
        </w:numPr>
        <w:jc w:val="left"/>
        <w:keepNext w:val="0"/>
        <w:keepLines w:val="0"/>
        <w:widowControl w:val="1"/>
      </w:pPr>
      <w:bookmarkStart w:id="88"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7">
        <w:r>
          <w:rPr>
            <w:rStyle w:val="Hyperlink"/>
          </w:rPr>
          <w:t xml:space="preserve">arxiv.org/abs/2403.07974</w:t>
        </w:r>
      </w:hyperlink>
      <w:bookmarkEnd w:id="88"/>
    </w:p>
    <w:p>
      <w:pPr>
        <w:pStyle w:val="ReferenceEntry"/>
        <w:numPr>
          <w:ilvl w:val="0"/>
          <w:numId w:val="1002"/>
        </w:numPr>
        <w:jc w:val="left"/>
        <w:keepNext w:val="0"/>
        <w:keepLines w:val="0"/>
        <w:widowControl w:val="1"/>
      </w:pPr>
      <w:bookmarkStart w:id="90"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9">
        <w:r>
          <w:rPr>
            <w:rStyle w:val="Hyperlink"/>
          </w:rPr>
          <w:t xml:space="preserve">arxiv.org/abs/2504.03846</w:t>
        </w:r>
      </w:hyperlink>
      <w:bookmarkEnd w:id="90"/>
    </w:p>
    <w:p>
      <w:pPr>
        <w:pStyle w:val="ReferenceEntry"/>
        <w:numPr>
          <w:ilvl w:val="0"/>
          <w:numId w:val="1002"/>
        </w:numPr>
        <w:jc w:val="left"/>
        <w:keepNext w:val="0"/>
        <w:keepLines w:val="0"/>
        <w:widowControl w:val="1"/>
      </w:pPr>
      <w:bookmarkStart w:id="92"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1">
        <w:r>
          <w:rPr>
            <w:rStyle w:val="Hyperlink"/>
          </w:rPr>
          <w:t xml:space="preserve">arxiv.org/abs/2408.08808</w:t>
        </w:r>
      </w:hyperlink>
      <w:bookmarkEnd w:id="92"/>
    </w:p>
    <w:p>
      <w:pPr>
        <w:pStyle w:val="ReferenceEntry"/>
        <w:numPr>
          <w:ilvl w:val="0"/>
          <w:numId w:val="1002"/>
        </w:numPr>
        <w:jc w:val="left"/>
        <w:keepNext w:val="0"/>
        <w:keepLines w:val="0"/>
        <w:widowControl w:val="1"/>
      </w:pPr>
      <w:bookmarkStart w:id="94" w:name="r26"/>
      <w:r>
        <w:t xml:space="preserve">Li, Y., et al. (2025).</w:t>
      </w:r>
      <w:r>
        <w:t xml:space="preserve"> </w:t>
      </w:r>
      <w:r>
        <w:rPr>
          <w:i/>
          <w:iCs/>
        </w:rPr>
        <w:t xml:space="preserve">Leveraging LLMs as Meta-Judges: A Multi-Agent Framework.</w:t>
      </w:r>
      <w:r>
        <w:t xml:space="preserve"> </w:t>
      </w:r>
      <w:hyperlink r:id="rId93">
        <w:r>
          <w:rPr>
            <w:rStyle w:val="Hyperlink"/>
          </w:rPr>
          <w:t xml:space="preserve">arxiv.org/abs/2504.17087</w:t>
        </w:r>
      </w:hyperlink>
      <w:bookmarkEnd w:id="94"/>
    </w:p>
    <w:p>
      <w:pPr>
        <w:pStyle w:val="ReferenceEntry"/>
        <w:numPr>
          <w:ilvl w:val="0"/>
          <w:numId w:val="1002"/>
        </w:numPr>
        <w:jc w:val="left"/>
        <w:keepNext w:val="0"/>
        <w:keepLines w:val="0"/>
        <w:widowControl w:val="1"/>
      </w:pPr>
      <w:bookmarkStart w:id="96"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5">
        <w:r>
          <w:rPr>
            <w:rStyle w:val="Hyperlink"/>
          </w:rPr>
          <w:t xml:space="preserve">arxiv.org/abs/2602.16610</w:t>
        </w:r>
      </w:hyperlink>
      <w:bookmarkEnd w:id="96"/>
    </w:p>
    <w:p>
      <w:pPr>
        <w:pStyle w:val="ReferenceEntry"/>
        <w:numPr>
          <w:ilvl w:val="0"/>
          <w:numId w:val="1002"/>
        </w:numPr>
        <w:jc w:val="left"/>
        <w:keepNext w:val="0"/>
        <w:keepLines w:val="0"/>
        <w:widowControl w:val="1"/>
      </w:pPr>
      <w:bookmarkStart w:id="98"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7">
        <w:r>
          <w:rPr>
            <w:rStyle w:val="Hyperlink"/>
          </w:rPr>
          <w:t xml:space="preserve">arxiv.org/abs/2603.00039</w:t>
        </w:r>
      </w:hyperlink>
      <w:bookmarkEnd w:id="98"/>
    </w:p>
    <w:p>
      <w:pPr>
        <w:pStyle w:val="ReferenceEntry"/>
        <w:numPr>
          <w:ilvl w:val="0"/>
          <w:numId w:val="1002"/>
        </w:numPr>
        <w:jc w:val="left"/>
        <w:keepNext w:val="0"/>
        <w:keepLines w:val="0"/>
        <w:widowControl w:val="1"/>
      </w:pPr>
      <w:bookmarkStart w:id="100"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9">
        <w:r>
          <w:rPr>
            <w:rStyle w:val="Hyperlink"/>
          </w:rPr>
          <w:t xml:space="preserve">arxiv.org/abs/2601.21817</w:t>
        </w:r>
      </w:hyperlink>
      <w:bookmarkEnd w:id="100"/>
    </w:p>
    <w:p>
      <w:pPr>
        <w:pStyle w:val="ReferenceEntry"/>
        <w:numPr>
          <w:ilvl w:val="0"/>
          <w:numId w:val="1002"/>
        </w:numPr>
        <w:jc w:val="left"/>
        <w:keepNext w:val="0"/>
        <w:keepLines w:val="0"/>
        <w:widowControl w:val="1"/>
      </w:pPr>
      <w:bookmarkStart w:id="102"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1">
        <w:r>
          <w:rPr>
            <w:rStyle w:val="Hyperlink"/>
          </w:rPr>
          <w:t xml:space="preserve">arxiv.org/abs/2502.14678</w:t>
        </w:r>
      </w:hyperlink>
      <w:bookmarkEnd w:id="102"/>
    </w:p>
    <w:p>
      <w:pPr>
        <w:pStyle w:val="ReferenceEntry"/>
        <w:numPr>
          <w:ilvl w:val="0"/>
          <w:numId w:val="1002"/>
        </w:numPr>
        <w:jc w:val="left"/>
        <w:keepNext w:val="0"/>
        <w:keepLines w:val="0"/>
        <w:widowControl w:val="1"/>
      </w:pPr>
      <w:bookmarkStart w:id="104"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3">
        <w:r>
          <w:rPr>
            <w:rStyle w:val="Hyperlink"/>
          </w:rPr>
          <w:t xml:space="preserve">arxiv.org/abs/2501.12789</w:t>
        </w:r>
      </w:hyperlink>
      <w:bookmarkEnd w:id="104"/>
    </w:p>
    <w:p>
      <w:pPr>
        <w:pStyle w:val="ReferenceEntry"/>
        <w:numPr>
          <w:ilvl w:val="0"/>
          <w:numId w:val="1002"/>
        </w:numPr>
        <w:jc w:val="left"/>
        <w:keepNext w:val="0"/>
        <w:keepLines w:val="0"/>
        <w:widowControl w:val="1"/>
      </w:pPr>
      <w:bookmarkStart w:id="106"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5">
        <w:r>
          <w:rPr>
            <w:rStyle w:val="Hyperlink"/>
          </w:rPr>
          <w:t xml:space="preserve">arxiv.org/abs/2502.17521</w:t>
        </w:r>
      </w:hyperlink>
      <w:bookmarkEnd w:id="106"/>
    </w:p>
    <w:bookmarkEnd w:id="107"/>
    <w:bookmarkStart w:id="108"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08"/>
    <w:bookmarkStart w:id="112"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0" name="Picture"/>
            <a:graphic>
              <a:graphicData uri="http://schemas.openxmlformats.org/drawingml/2006/picture">
                <pic:pic>
                  <pic:nvPicPr>
                    <pic:cNvPr descr="figures/f5_rubric_heatmap.png" id="111" name="Picture"/>
                    <pic:cNvPicPr>
                      <a:picLocks noChangeArrowheads="1" noChangeAspect="1"/>
                    </pic:cNvPicPr>
                  </pic:nvPicPr>
                  <pic:blipFill>
                    <a:blip r:embed="rId109"/>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bookmarkEnd w:id="112"/>
    <w:bookmarkStart w:id="116" w:name="appC"/>
    <w:p>
      <w:pPr>
        <w:pStyle w:val="Heading2"/>
        <w:keepNext/>
        <w:keepLines/>
        <w:widowControl w:val="1"/>
      </w:pPr>
      <w:r>
        <w:t xml:space="preserve">Appendix C. Evaluation throughput</w:t>
      </w:r>
    </w:p>
    <w:p>
      <w:pPr>
        <w:pStyle w:val="BodyText"/>
        <w:jc w:val="center"/>
        <w:keepNext/>
        <w:keepLines/>
        <w:widowControl w:val="1"/>
      </w:pPr>
      <w:r>
        <w:drawing>
          <wp:inline>
            <wp:extent cx="4632960" cy="2987040"/>
            <wp:effectExtent b="0" l="0" r="0" t="0"/>
            <wp:docPr descr="Evaluations per dollar: CoEval versus human annotation" title="" id="114" name="Picture"/>
            <a:graphic>
              <a:graphicData uri="http://schemas.openxmlformats.org/drawingml/2006/picture">
                <pic:pic>
                  <pic:nvPicPr>
                    <pic:cNvPr descr="figures/f6_cost.png" id="115" name="Picture"/>
                    <pic:cNvPicPr>
                      <a:picLocks noChangeArrowheads="1" noChangeAspect="1"/>
                    </pic:cNvPicPr>
                  </pic:nvPicPr>
                  <pic:blipFill>
                    <a:blip r:embed="rId113"/>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116"/>
    <w:bookmarkStart w:id="117"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pStyle w:val="BodyText"/>
        <w:spacing w:before="16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7"/>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09" Type="http://schemas.openxmlformats.org/officeDocument/2006/relationships/image" Target="media/rId109.png"/><Relationship Id="rId113" Type="http://schemas.openxmlformats.org/officeDocument/2006/relationships/image" Target="media/rId113.png"/><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2026-06-02T08:07:20Z</dcterms:created>
  <dcterms:modified xsi:type="dcterms:W3CDTF">2026-06-02T08:07:20Z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