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Review of Discrete Learning Algorithms for Precipitation Estimation from Commercial Microwave Links</w:t>
      </w:r>
    </w:p>
    <w:p>
      <w:pPr>
        <w:pStyle w:val="Subtitle"/>
        <w:widowControl/>
      </w:pPr>
      <w:r>
        <w:t>Assessment for submission in meteorology hydrometeorology or hydrology</w:t>
      </w:r>
    </w:p>
    <w:p>
      <w:pPr>
        <w:pStyle w:val="SmallNote"/>
        <w:widowControl/>
      </w:pPr>
      <w:r>
        <w:t>Manuscript reviewed: 24 manuscript pages plus highlights | Review date: 9 September 2026</w:t>
      </w:r>
    </w:p>
    <w:p>
      <w:pPr>
        <w:pStyle w:val="Heading1"/>
        <w:widowControl/>
      </w:pPr>
      <w:r>
        <w:t>Overall assessment</w:t>
      </w:r>
    </w:p>
    <w:p>
      <w:pPr>
        <w:pStyle w:val="BodyText"/>
        <w:widowControl/>
      </w:pPr>
      <w:r>
        <w:rPr>
          <w:b/>
        </w:rPr>
        <w:t>Do not submit the manuscript in its current form. The paper has a publishable nucleus, but a selective meteorology, hydrometeorology, or hydrology journal is likely to reject it before or after review unless the scientific framing and evaluation are substantially rebuilt.</w:t>
      </w:r>
    </w:p>
    <w:p>
      <w:pPr>
        <w:pStyle w:val="BodyText"/>
        <w:widowControl/>
      </w:pPr>
      <w:r>
        <w:t>The valuable core is a controlled reconstruction experiment that preserves the path geometry of commercial microwave links, formulates a regularized field estimator, and examines error as a function of network proximity. Within that narrow experiment, the convex-surrogate and homotopy configurations clearly outperform the particular fixed-parameter midpoint IDW baseline: Table 6 reports mean patch RMSE of 0.85 versus 1.31 mm h^-1 and 100 wins in 100 patches.</w:t>
      </w:r>
    </w:p>
    <w:p>
      <w:pPr>
        <w:pStyle w:val="BodyText"/>
        <w:widowControl/>
      </w:pPr>
      <w:r>
        <w:t>The evidence does not yet support the broader claims of a new path-based inverse formulation, a well-posed problem, operational CML rainfall estimation, validated 125 m rainfall fields, or hydrological benefit. The experiment uses the same forward law and discretization to generate and invert noise-free attenuation, the 125 m reference is created from 2 km hourly EURADCLIM cells, all evaluated patches come from two winter weeks, established path-aware methods are missing, and the current PDF contains unresolved author notes and contradictions.</w:t>
      </w:r>
    </w:p>
    <w:p>
      <w:pPr>
        <w:pStyle w:val="BodyText"/>
        <w:widowControl/>
      </w:pPr>
      <w:r>
        <w:t>A defensible present-tense claim is: a specified regularized line-integral estimator outperforms one midpoint-IDW implementation in an idealized perfect-model observing-system simulation experiment. The revision should either stay within that scope and become a rigorous inverse-method paper, or add realistic observation errors and real CML validation to support a measurement or hydrometeorology claim.</w:t>
      </w:r>
    </w:p>
    <w:p>
      <w:pPr>
        <w:pStyle w:val="Heading1"/>
        <w:widowControl/>
      </w:pPr>
      <w:r>
        <w:t>Quality assessment</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Criterion</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Current assessment</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Reason</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Importance of question</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Strong</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CML rainfall mapping is relevant and the point-versus-path distinction matters.</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Originality as claimed</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Weak</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Nonlinear, regularized, path-aware CML tomography predates this work; the distinct contribution is not isolated.</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Methodological rigor</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Weak to moderate</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The formulation is promising, but convexity, smoothness, weighting, observability, and solver details require correction.</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Validation</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Weak</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The evaluation is noise-free, same-model, January-only, and lacks held-out links or real observations.</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Hydrometeorological credibility</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Weak</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Temporal support, precipitation phase, radar uncertainty, network realism, and spatial scale are not handled adequately.</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Exposition and figures</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Weak to moderate</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Core equations render well, but the paper contains draft notes, inconsistent counts, crowded tables, and badly placed figures.</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Reproducibility</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Weak</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No released benchmark or code statement and many extraction, solver, and evaluation settings are missing.</w:t>
            </w:r>
          </w:p>
        </w:tc>
      </w:tr>
      <w:tr>
        <w:trPr>
          <w:cantSplit/>
        </w:trP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Overall readiness</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Not submission ready</w:t>
            </w:r>
          </w:p>
        </w:tc>
        <w:tc>
          <w:tcPr>
            <w:tcW w:type="dxa" w:w="576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Substantial new analysis and a complete rewrite are needed before journal submission.</w:t>
            </w:r>
          </w:p>
        </w:tc>
      </w:tr>
    </w:tbl>
    <w:p>
      <w:pPr>
        <w:widowControl/>
        <w:spacing w:after="0"/>
      </w:pPr>
    </w:p>
    <w:p>
      <w:pPr>
        <w:pStyle w:val="Heading1"/>
        <w:widowControl/>
      </w:pPr>
      <w:r>
        <w:t>Strengths to preserve</w:t>
      </w:r>
    </w:p>
    <w:p>
      <w:pPr>
        <w:pStyle w:val="ListBullet"/>
        <w:widowControl/>
        <w:spacing w:after="60"/>
      </w:pPr>
      <w:r>
        <w:t>The manuscript correctly emphasizes that CML observations are extended path measurements rather than point gauges.</w:t>
      </w:r>
    </w:p>
    <w:p>
      <w:pPr>
        <w:pStyle w:val="ListBullet"/>
        <w:widowControl/>
        <w:spacing w:after="60"/>
      </w:pPr>
      <w:r>
        <w:t>The pixel-link geometry and frequency-specific forward relation provide a transparent starting point for a reproducible estimator.</w:t>
      </w:r>
    </w:p>
    <w:p>
      <w:pPr>
        <w:pStyle w:val="ListBullet"/>
        <w:widowControl/>
        <w:spacing w:after="60"/>
      </w:pPr>
      <w:r>
        <w:t>The idealized experiment can isolate geometric reconstruction behavior if it is described explicitly as a perfect-model OSSE.</w:t>
      </w:r>
    </w:p>
    <w:p>
      <w:pPr>
        <w:pStyle w:val="ListBullet"/>
        <w:widowControl/>
        <w:spacing w:after="60"/>
      </w:pPr>
      <w:r>
        <w:t>Patch-level paired summaries are preferable to treating millions of spatially dependent pixels as independent replicates.</w:t>
      </w:r>
    </w:p>
    <w:p>
      <w:pPr>
        <w:pStyle w:val="ListBullet"/>
        <w:widowControl/>
        <w:spacing w:after="60"/>
      </w:pPr>
      <w:r>
        <w:t>The distance-to-network analysis is useful, provided distance is defined over unique physical paths and augmented with orientation and conditioning information.</w:t>
      </w:r>
    </w:p>
    <w:p>
      <w:pPr>
        <w:pStyle w:val="ListBullet"/>
        <w:widowControl/>
        <w:spacing w:after="60"/>
      </w:pPr>
      <w:r>
        <w:t>The oracle initialization experiment exposes objective-truth mismatch. Reframed as a non-identifiability diagnostic, it could become one of the paper's most informative results.</w:t>
      </w:r>
    </w:p>
    <w:p>
      <w:pPr>
        <w:pStyle w:val="Heading1"/>
        <w:widowControl/>
      </w:pPr>
      <w:r>
        <w:t>Major scientific and methodological comments</w:t>
      </w:r>
    </w:p>
    <w:p>
      <w:pPr>
        <w:pStyle w:val="Heading2"/>
        <w:widowControl/>
      </w:pPr>
      <w:r>
        <w:t>1 Novelty and literature positioning</w:t>
      </w:r>
    </w:p>
    <w:p>
      <w:pPr>
        <w:pStyle w:val="BodyText"/>
        <w:widowControl/>
      </w:pPr>
      <w:r>
        <w:t>The central novelty claim is not defensible as written. Section 2.1 claims to introduce rain-field estimation as a nonconvex constrained inverse problem, while Section 3 contains almost no related-work analysis beyond the ITU-R forward law. Earlier studies already formulate CML mapping as nonlinear or regularized tomography and explicitly use link-path geometry. Zinevich et al. (2008), for example, discretize rainfall into cells, use a nonlinear path operator, recognize the underdetermined system, impose smoothing and positivity, and test on radar-derived synthetic fields with real network geometry. Goldshtein et al. (2009), D'Amico et al. (2016), Haese et al. (2017), and later block-kriging, stochastic, CLEAR, and diffusion approaches further narrow the claimed gap.</w:t>
      </w:r>
    </w:p>
    <w:p>
      <w:pPr>
        <w:pStyle w:val="BodyText"/>
        <w:widowControl/>
      </w:pPr>
      <w:r>
        <w:t>The paper should identify its novelty through a structured comparison of observation operator, prior or regularizer, solver, uncertainty representation, validation data, and computational cost. The benchmark, ILDW rule, four-term penalty, and frequency-continuation heuristic may be useful contributions, but each must be distinguished from prior art and evaluated directly. The title phrase 'Learning Algorithms' is also misleading because no model is trained and no statistical learning procedure is presented.</w:t>
      </w:r>
    </w:p>
    <w:p>
      <w:pPr>
        <w:pStyle w:val="ListBullet"/>
        <w:widowControl/>
        <w:spacing w:after="60"/>
      </w:pPr>
      <w:r>
        <w:t>Replace the current related-work section with a substantive synthesis of path-aware CML reconstruction.</w:t>
      </w:r>
    </w:p>
    <w:p>
      <w:pPr>
        <w:pStyle w:val="ListBullet"/>
        <w:widowControl/>
        <w:spacing w:after="60"/>
      </w:pPr>
      <w:r>
        <w:t>Remove the claim that the paper introduces CML rainfall mapping as a nonconvex inverse problem.</w:t>
      </w:r>
    </w:p>
    <w:p>
      <w:pPr>
        <w:pStyle w:val="ListBullet"/>
        <w:widowControl/>
        <w:spacing w:after="60"/>
      </w:pPr>
      <w:r>
        <w:t>Compare against at least one established tomographic method and one path-aware geostatistical or stochastic method.</w:t>
      </w:r>
    </w:p>
    <w:p>
      <w:pPr>
        <w:pStyle w:val="ListBullet"/>
        <w:widowControl/>
        <w:spacing w:after="60"/>
      </w:pPr>
      <w:r>
        <w:t>State precisely what is new about ILDW and homotopy, and show whether either improves map skill beyond simpler alternatives.</w:t>
      </w:r>
    </w:p>
    <w:p>
      <w:pPr>
        <w:pStyle w:val="Heading2"/>
        <w:widowControl/>
      </w:pPr>
      <w:r>
        <w:t>2 Ill posedness identifiability and uncertainty</w:t>
      </w:r>
    </w:p>
    <w:p>
      <w:pPr>
        <w:pStyle w:val="BodyText"/>
        <w:widowControl/>
      </w:pPr>
      <w:r>
        <w:t>The physical inversion is severely underdetermined. A 50 by 50 km patch discretized at 125 m contains about 160,000 unknown pixels; the average patch contains about 269,000 pixels. Table 2 lists only 939 to 1,507 link-frequency observations for representative patches, corresponding to still fewer unique paths. The Jacobian rank cannot exceed the number of observations, so most field directions are unconstrained by the links.</w:t>
      </w:r>
    </w:p>
    <w:p>
      <w:pPr>
        <w:pStyle w:val="BodyText"/>
        <w:widowControl/>
      </w:pPr>
      <w:r>
        <w:t>A positive quadratic penalty may select a unique numerical minimizer for a genuinely linear surrogate, but that does not make the rainfall field observationally identifiable or the physical inverse problem well posed. The manuscript's own oracle case shows that objective value and truth error can disagree. Replace 'well-posed inverse problem' throughout with 'regularized ill-posed inverse formulation' and distinguish uniqueness of an optimization problem from identifiability of the atmospheric field.</w:t>
      </w:r>
    </w:p>
    <w:p>
      <w:pPr>
        <w:pStyle w:val="ListBullet"/>
        <w:widowControl/>
        <w:spacing w:after="60"/>
      </w:pPr>
      <w:r>
        <w:t>Report unknown counts, unique path counts, link-frequency counts, and observation-to-unknown ratios for every patch.</w:t>
      </w:r>
    </w:p>
    <w:p>
      <w:pPr>
        <w:pStyle w:val="ListBullet"/>
        <w:widowControl/>
        <w:spacing w:after="60"/>
      </w:pPr>
      <w:r>
        <w:t>Analyze rank or singular spectrum at a coarser grid, resolution kernels or point-spread functions, and skill as predictions are aggregated from 125 m to 250 m, 500 m, 1 km, and 2 km.</w:t>
      </w:r>
    </w:p>
    <w:p>
      <w:pPr>
        <w:pStyle w:val="ListBullet"/>
        <w:widowControl/>
        <w:spacing w:after="60"/>
      </w:pPr>
      <w:r>
        <w:t>Provide uncertainty intervals or ensembles and show sensitivity to the regularization prior.</w:t>
      </w:r>
    </w:p>
    <w:p>
      <w:pPr>
        <w:pStyle w:val="ListBullet"/>
        <w:widowControl/>
        <w:spacing w:after="60"/>
      </w:pPr>
      <w:r>
        <w:t>Use geometry diagnostics beyond d3, including unique-path density, angular diversity, intersection density, and a local conditioning proxy.</w:t>
      </w:r>
    </w:p>
    <w:p>
      <w:pPr>
        <w:pStyle w:val="Heading2"/>
        <w:widowControl/>
      </w:pPr>
      <w:r>
        <w:t>3 Reference field and scale interpretation</w:t>
      </w:r>
    </w:p>
    <w:p>
      <w:pPr>
        <w:pStyle w:val="BodyText"/>
        <w:widowControl/>
      </w:pPr>
      <w:r>
        <w:t>EURADCLIM supplies 1 h precipitation accumulations on a 2 km grid. Section 4.3 subdivides every cell 16 by 16 and applies a Gaussian smoother with sigma equal to one 125 m subpixel. This does not add observed sub-kilometre variability. It creates a computationally refined, highly dependent, and artificially smooth field whose gradients depend on the chosen upsampling rule.</w:t>
      </w:r>
    </w:p>
    <w:p>
      <w:pPr>
        <w:pStyle w:val="BodyText"/>
        <w:widowControl/>
      </w:pPr>
      <w:r>
        <w:t>Call EURADCLIM a radar-gauge reference estimate, not ground truth. Treat 125 m as the optimization grid, not the validated spatial resolution. Evaluate primary skill after aggregation to the native 2 km support and report sensitivity to subdivision and smoothing. A claim of genuine sub-kilometre recovery requires an independent fine-scale radar product, a controlled high-resolution atmospheric simulation, or a stochastic downscaling design that propagates subgrid uncertainty.</w:t>
      </w:r>
    </w:p>
    <w:p>
      <w:pPr>
        <w:pStyle w:val="BodyText"/>
        <w:widowControl/>
      </w:pPr>
      <w:r>
        <w:t>There is also a temporal-support issue. P.838 relates specific attenuation to rain rate, whereas EURADCLIM provides hourly accumulation. Under intermittent rain, the time mean of R raised to alpha is not generally equal to the hourly mean R raised to alpha. The same nonlinear-support issue occurs when a cell-average radar value is used inside the power law. The authors should use shorter-time-step input or quantify the resulting aggregation error.</w:t>
      </w:r>
    </w:p>
    <w:p>
      <w:pPr>
        <w:pStyle w:val="Heading2"/>
        <w:widowControl/>
      </w:pPr>
      <w:r>
        <w:t>4 Perfect model simulation and operational realism</w:t>
      </w:r>
    </w:p>
    <w:p>
      <w:pPr>
        <w:pStyle w:val="BodyText"/>
        <w:widowControl/>
      </w:pPr>
      <w:r>
        <w:t>The attenuation is generated and inverted with the same ITU-R law, coefficients, grid, and apparently the same pixel-intersection operator, without noise. This is an inverse crime in the standard inverse-problem sense. It is useful as an algorithm unit test, but it cannot establish operational CML quantitative precipitation estimation.</w:t>
      </w:r>
    </w:p>
    <w:p>
      <w:pPr>
        <w:pStyle w:val="BodyText"/>
        <w:widowControl/>
      </w:pPr>
      <w:r>
        <w:t>Table 10 is especially circular because it reports residuals on the same links and attenuation values that enter the objective. Better in-sample fit is expected. The reported differences are not compared with realistic received-signal quantization, baseline error, or wet-antenna uncertainty and may be operationally negligible.</w:t>
      </w:r>
    </w:p>
    <w:p>
      <w:pPr>
        <w:pStyle w:val="BodyText"/>
        <w:widowControl/>
      </w:pPr>
      <w:r>
        <w:t>Build a validation ladder:</w:t>
      </w:r>
    </w:p>
    <w:p>
      <w:pPr>
        <w:pStyle w:val="ListNumber"/>
        <w:widowControl/>
        <w:spacing w:after="60"/>
      </w:pPr>
      <w:r>
        <w:t>Perfect-model and noise-free reconstruction as the idealized lower-error bound.</w:t>
      </w:r>
    </w:p>
    <w:p>
      <w:pPr>
        <w:pStyle w:val="ListNumber"/>
        <w:widowControl/>
        <w:spacing w:after="60"/>
      </w:pPr>
      <w:r>
        <w:t>Model-mismatch tests with perturbed kappa and alpha, different forward discretization, and uncertain polarization.</w:t>
      </w:r>
    </w:p>
    <w:p>
      <w:pPr>
        <w:pStyle w:val="ListNumber"/>
        <w:widowControl/>
        <w:spacing w:after="60"/>
      </w:pPr>
      <w:r>
        <w:t>Hardware and preprocessing tests with baseline offsets and drift, wet-antenna attenuation, random and correlated dB noise, quantization, outliers, saturation, missing intervals, and link outages.</w:t>
      </w:r>
    </w:p>
    <w:p>
      <w:pPr>
        <w:pStyle w:val="ListNumber"/>
        <w:widowControl/>
        <w:spacing w:after="60"/>
      </w:pPr>
      <w:r>
        <w:t>Held-out physical paths for attenuation prediction and, ideally, a real CML case validated against independent radar and gauges.</w:t>
      </w:r>
    </w:p>
    <w:p>
      <w:pPr>
        <w:pStyle w:val="Heading2"/>
        <w:widowControl/>
      </w:pPr>
      <w:r>
        <w:t>5 Event sampling precipitation phase and network realism</w:t>
      </w:r>
    </w:p>
    <w:p>
      <w:pPr>
        <w:pStyle w:val="BodyText"/>
        <w:widowControl/>
      </w:pPr>
      <w:r>
        <w:t>All evaluated patches come from 18 to 31 January 2023. That sample cannot support claims of diverse precipitation patterns, convective urban storms, or flood-relevant extremes. The Northern Norway case on 31 January raises an immediate snow or mixed-phase concern because P.838 is a liquid-rain attenuation relation. The paper should apply an explicit liquid-phase screen or use rain-only warm-season events.</w:t>
      </w:r>
    </w:p>
    <w:p>
      <w:pPr>
        <w:pStyle w:val="BodyText"/>
        <w:widowControl/>
      </w:pPr>
      <w:r>
        <w:t>The event-conditioned boxes are about 89 percent wet according to Tables 4 and 9. This is not representative of routine rainfall mapping and deemphasizes the sparse, localized cells for which CML sensing is often promoted. The reported 100 patches may also include consecutive hours or overlapping boxes from the same synoptic systems, invalidating patch independence. The manuscript additionally claims both a 750-patch benchmark and a 100-patch evaluation without explaining selection.</w:t>
      </w:r>
    </w:p>
    <w:p>
      <w:pPr>
        <w:pStyle w:val="BodyText"/>
        <w:widowControl/>
      </w:pPr>
      <w:r>
        <w:t>The Netherlands CML layout is overlaid on rainfall patches distributed across Europe, but translation, rotation, crop origin, and boundary treatment are not described. This is not a physically co-located deployment and breaks relationships among terrain, population, path feasibility, and precipitation climatology. Either restrict to co-located Netherlands fields or present the links honestly as a generic sampling mask and test many alignments and density levels.</w:t>
      </w:r>
    </w:p>
    <w:p>
      <w:pPr>
        <w:pStyle w:val="ListBullet"/>
        <w:widowControl/>
        <w:spacing w:after="60"/>
      </w:pPr>
      <w:r>
        <w:t>Expand to multiple seasons and years and classify storms as convective, stratiform, frontal, orographic, light, and extreme.</w:t>
      </w:r>
    </w:p>
    <w:p>
      <w:pPr>
        <w:pStyle w:val="ListBullet"/>
        <w:widowControl/>
        <w:spacing w:after="60"/>
      </w:pPr>
      <w:r>
        <w:t>Group related snapshots into independent storm episodes and split development and test data at the storm level.</w:t>
      </w:r>
    </w:p>
    <w:p>
      <w:pPr>
        <w:pStyle w:val="ListBullet"/>
        <w:widowControl/>
        <w:spacing w:after="60"/>
      </w:pPr>
      <w:r>
        <w:t>Publish complete extraction parameters, overlap rules, inclusion and exclusion counts, and the relationship between 750 and 100 patches.</w:t>
      </w:r>
    </w:p>
    <w:p>
      <w:pPr>
        <w:pStyle w:val="ListBullet"/>
        <w:widowControl/>
        <w:spacing w:after="60"/>
      </w:pPr>
      <w:r>
        <w:t>Repeat the experiment with independent network layouts, rotations and translations, density thinning, path removal, and frequency or length strata.</w:t>
      </w:r>
    </w:p>
    <w:p>
      <w:pPr>
        <w:pStyle w:val="Heading2"/>
        <w:widowControl/>
      </w:pPr>
      <w:r>
        <w:t>6 Mathematical formulation and solver claims</w:t>
      </w:r>
    </w:p>
    <w:p>
      <w:pPr>
        <w:pStyle w:val="BodyText"/>
        <w:widowControl/>
      </w:pPr>
      <w:r>
        <w:t>Several details require correction before the reported solvers can be evaluated reliably.</w:t>
      </w:r>
    </w:p>
    <w:p>
      <w:pPr>
        <w:pStyle w:val="BodyText"/>
        <w:widowControl/>
      </w:pPr>
      <w:r>
        <w:rPr>
          <w:b/>
        </w:rPr>
        <w:t>Convexity at 25 GHz.</w:t>
      </w:r>
      <w:r>
        <w:t xml:space="preserve"> Section 6.4 states that horizontal polarization at 25 GHz gives alpha equal to 1, but Table 1 gives 0.999. The full P.838-3 value is approximately 0.9991; the continuous-formula root is near 24.92 GHz. If the code uses 25 GHz coefficients, the operator is not exactly linear and the strict-convexity claim does not follow. Either solve for and report the root and numerical tolerance, or define a virtual exponent of exactly 1 and rerun the analysis.</w:t>
      </w:r>
    </w:p>
    <w:p>
      <w:pPr>
        <w:pStyle w:val="BodyText"/>
        <w:widowControl/>
      </w:pPr>
      <w:r>
        <w:rPr>
          <w:b/>
        </w:rPr>
        <w:t>Smoothness at zero.</w:t>
      </w:r>
      <w:r>
        <w:t xml:space="preserve"> L-BFGS-B is described as a smooth constrained optimizer, but the derivative of R^alpha diverges at R equal to zero when alpha is below 1. Most listed observations lie in the 35 to 40 GHz range, where horizontal alpha is below 1, and zeros are central to rainfall fields. State how the implementation handles the boundary, use a documented smoothing or positive parameterization, verify analytic gradients, and report projected-gradient or KKT residuals.</w:t>
      </w:r>
    </w:p>
    <w:p>
      <w:pPr>
        <w:pStyle w:val="BodyText"/>
        <w:widowControl/>
      </w:pPr>
      <w:r>
        <w:rPr>
          <w:b/>
        </w:rPr>
        <w:t>Objective weights.</w:t>
      </w:r>
      <w:r>
        <w:t xml:space="preserve"> Each weight is set to the reciprocal of its ILDW term; w_2d is then halved and w_total is divided by the number of pixels. At the ILDW field, the four contributions are approximately 1, 1, 0.5, and 1 divided by the number of pixels. For the average patch, the last value is about 3.7e-6 even though that term supplies the strict-convexity argument. Because J_total is already a pixel mean, this looks like double normalization. The rule is also undefined when an ILDW term is zero and unstable when it is nearly zero.</w:t>
      </w:r>
    </w:p>
    <w:p>
      <w:pPr>
        <w:pStyle w:val="BodyText"/>
        <w:widowControl/>
      </w:pPr>
      <w:r>
        <w:rPr>
          <w:b/>
        </w:rPr>
        <w:t>Meaning of the penalties.</w:t>
      </w:r>
      <w:r>
        <w:t xml:space="preserve"> J_total is a mean-square ridge penalty, not total rainfall. The first- and second-difference penalties omit physical grid-spacing factors and boundary conventions, so their meaning changes with resolution. Normalize by edge or triple counts and spatial step where appropriate, specify whether each pair and triple is counted once, and provide term-by-term ablations and weight-sensitivity curves.</w:t>
      </w:r>
    </w:p>
    <w:p>
      <w:pPr>
        <w:pStyle w:val="BodyText"/>
        <w:widowControl/>
      </w:pPr>
      <w:r>
        <w:rPr>
          <w:b/>
        </w:rPr>
        <w:t>Attenuation loss.</w:t>
      </w:r>
      <w:r>
        <w:t xml:space="preserve"> The displayed residual is squared and divided by link length, which has units of dB^2 per km and weights links differently from squared specific-attenuation error, where the denominator would be length squared. State the assumed measurement covariance and justify length, frequency, and multiplicity weighting.</w:t>
      </w:r>
    </w:p>
    <w:p>
      <w:pPr>
        <w:pStyle w:val="BodyText"/>
        <w:widowControl/>
      </w:pPr>
      <w:r>
        <w:rPr>
          <w:b/>
        </w:rPr>
        <w:t>Discrete forward operator.</w:t>
      </w:r>
      <w:r>
        <w:t xml:space="preserve"> Write the central operator explicitly as predicted attenuation equal to the sum, over crossed pixels, of in-pixel path length times kappa times rainfall raised to alpha. Define line-rasterization, edge and corner contacts, clipped boundary paths, units, and the sparse gradient. Finite-difference gradients are not credible for hundreds of thousands of variables.</w:t>
      </w:r>
    </w:p>
    <w:p>
      <w:pPr>
        <w:pStyle w:val="BodyText"/>
        <w:widowControl/>
      </w:pPr>
      <w:r>
        <w:rPr>
          <w:b/>
        </w:rPr>
        <w:t>Homotopy definition.</w:t>
      </w:r>
      <w:r>
        <w:t xml:space="preserve"> Define one objective J_lambda, the weight policy at each stage, the number and spacing of stages, stopping rules, failures, runtime, and memory. Compare direct initialization from the convex solution with the full continuation path.</w:t>
      </w:r>
    </w:p>
    <w:p>
      <w:pPr>
        <w:pStyle w:val="Heading2"/>
        <w:widowControl/>
      </w:pPr>
      <w:r>
        <w:t>7 Rain equivalent multifrequency paths and ILDW</w:t>
      </w:r>
    </w:p>
    <w:p>
      <w:pPr>
        <w:pStyle w:val="BodyText"/>
        <w:widowControl/>
      </w:pPr>
      <w:r>
        <w:t>The rain-rate equivalent in Section 6.2 is a frequency-dependent power mean along the link, not the arithmetic path-average unless alpha equals 1 or rain is uniform. ILDW then assigns this equivalent value to every crossed pixel. That rule can smear a localized cell along an entire long path; Appendix A.1 uses rainfall that is constant along each row and therefore strongly favors the proposed rule. Add a narrow-cell and intermittent-link counterexample, then quantify error by within-path variability, path length, and frequency.</w:t>
      </w:r>
    </w:p>
    <w:p>
      <w:pPr>
        <w:pStyle w:val="BodyText"/>
        <w:widowControl/>
      </w:pPr>
      <w:r>
        <w:t>Most physical paths have two frequency records. The manuscript must distinguish physical paths, directions or channels, and link-frequency observations. Counting both frequencies as separate loss terms doubles the geometric weight of a path and ignores correlated errors. At the homotopy start, two frequencies on the same geometry produce identical linear operator rows but can yield different virtual targets because their power means differ. Report this disagreement and use path-level or covariance-aware weighting.</w:t>
      </w:r>
    </w:p>
    <w:p>
      <w:pPr>
        <w:pStyle w:val="BodyText"/>
        <w:widowControl/>
      </w:pPr>
      <w:r>
        <w:t>The same distinction matters for d3. If colocated frequencies count as separate links, the third-nearest 'link' can represent only two or even fewer unique geometries. Compute coverage metrics over unique physical paths.</w:t>
      </w:r>
    </w:p>
    <w:p>
      <w:pPr>
        <w:pStyle w:val="Heading2"/>
        <w:widowControl/>
      </w:pPr>
      <w:r>
        <w:t>8 Baselines ablations and fair comparison</w:t>
      </w:r>
    </w:p>
    <w:p>
      <w:pPr>
        <w:pStyle w:val="BodyText"/>
        <w:widowControl/>
      </w:pPr>
      <w:r>
        <w:t>The manuscript mentions kriging but tests only one midpoint-IDW setting, ILDW, and variants of the proposed objective. This is not enough to establish superiority in the target communities. The 15 km IDW cutoff may specifically disadvantage that baseline in far-link bins, while global regularization can propagate information throughout the patch.</w:t>
      </w:r>
    </w:p>
    <w:p>
      <w:pPr>
        <w:pStyle w:val="ListBullet"/>
        <w:widowControl/>
        <w:spacing w:after="60"/>
      </w:pPr>
      <w:r>
        <w:t>Tune IDW and ILDW exponent and radius on development storms, including an unlimited-radius variant.</w:t>
      </w:r>
    </w:p>
    <w:p>
      <w:pPr>
        <w:pStyle w:val="ListBullet"/>
        <w:widowControl/>
        <w:spacing w:after="60"/>
      </w:pPr>
      <w:r>
        <w:t>Add ordinary or block/path-aware kriging and a multi-point or iterative GMZ-style baseline.</w:t>
      </w:r>
    </w:p>
    <w:p>
      <w:pPr>
        <w:pStyle w:val="ListBullet"/>
        <w:widowControl/>
        <w:spacing w:after="60"/>
      </w:pPr>
      <w:r>
        <w:t>Add nonnegative linearized least squares with graph-Laplacian or Tikhonov regularization and a total-variation reconstruction.</w:t>
      </w:r>
    </w:p>
    <w:p>
      <w:pPr>
        <w:pStyle w:val="ListBullet"/>
        <w:widowControl/>
        <w:spacing w:after="60"/>
      </w:pPr>
      <w:r>
        <w:t>If feasible, include one established stochastic or modern path-aware approach; otherwise explain the scope and avoid state-of-the-art claims.</w:t>
      </w:r>
    </w:p>
    <w:p>
      <w:pPr>
        <w:pStyle w:val="ListBullet"/>
        <w:widowControl/>
        <w:spacing w:after="60"/>
      </w:pPr>
      <w:r>
        <w:t>Ablate first differences, second differences, ridge shrinkage, exact path geometry, exponent nonlinearity, adaptive weights, and homotopy.</w:t>
      </w:r>
    </w:p>
    <w:p>
      <w:pPr>
        <w:pStyle w:val="ListBullet"/>
        <w:widowControl/>
        <w:spacing w:after="60"/>
      </w:pPr>
      <w:r>
        <w:t>Report direct comparisons among ILDW, solver initialized at ILDW, convex surrogate, and homotopy, not only comparisons with IDW.</w:t>
      </w:r>
    </w:p>
    <w:p>
      <w:pPr>
        <w:pStyle w:val="Heading2"/>
        <w:widowControl/>
      </w:pPr>
      <w:r>
        <w:t>9 Evaluation metrics and statistical inference</w:t>
      </w:r>
    </w:p>
    <w:p>
      <w:pPr>
        <w:pStyle w:val="BodyText"/>
        <w:widowControl/>
      </w:pPr>
      <w:r>
        <w:t>The paired results show a real effect within the selected sample, but the inference is overstated. Patches from nearby places, overlapping boxes, consecutive hours, or the same storm are not independent. One-sided t tests across 100 patches therefore use an uncertain effective sample size. Several favorable comparisons are tested without multiplicity control, and correlation coefficients are averaged without Fisher transformation.</w:t>
      </w:r>
    </w:p>
    <w:p>
      <w:pPr>
        <w:pStyle w:val="ListBullet"/>
        <w:widowControl/>
        <w:spacing w:after="60"/>
      </w:pPr>
      <w:r>
        <w:t>Make the storm episode the inferential unit and use blocked or cluster bootstrap confidence intervals for paired effects.</w:t>
      </w:r>
    </w:p>
    <w:p>
      <w:pPr>
        <w:pStyle w:val="ListBullet"/>
        <w:widowControl/>
        <w:spacing w:after="60"/>
      </w:pPr>
      <w:r>
        <w:t>Use two-sided tests unless the direction was specified before analysis; emphasize effect sizes and confidence intervals rather than a 'reject' column.</w:t>
      </w:r>
    </w:p>
    <w:p>
      <w:pPr>
        <w:pStyle w:val="ListBullet"/>
        <w:widowControl/>
        <w:spacing w:after="60"/>
      </w:pPr>
      <w:r>
        <w:t>For correlation, use Fisher z transformation and state how zero-variance or undefined bins are handled.</w:t>
      </w:r>
    </w:p>
    <w:p>
      <w:pPr>
        <w:pStyle w:val="ListBullet"/>
        <w:widowControl/>
        <w:spacing w:after="60"/>
      </w:pPr>
      <w:r>
        <w:t>Report the number of contributing patches in every distance bin and whether empty bins are included. Table 5 lists 1,091 pixels in the final bin while Table 4 implies 600, which needs reconciliation.</w:t>
      </w:r>
    </w:p>
    <w:p>
      <w:pPr>
        <w:pStyle w:val="ListBullet"/>
        <w:widowControl/>
        <w:spacing w:after="60"/>
      </w:pPr>
      <w:r>
        <w:t>Use the same distance bins everywhere. Figures 4 and 5 merge all distances above 6 km, while Tables 4, 5, and 11 separate 6 to 9 km and above 9 km.</w:t>
      </w:r>
    </w:p>
    <w:p>
      <w:pPr>
        <w:pStyle w:val="BodyText"/>
        <w:widowControl/>
      </w:pPr>
      <w:r>
        <w:t>The categorical analysis also needs standard precipitation-verification language. Table 9's convex result still labels about 40 percent of reference-dry pixels as wet in a noise-free experiment, despite the small fraction when divided by all pixels. Report POD, probability of false detection, false-alarm ratio, frequency bias, CSI, ETS or HSS, and confidence intervals over multiple rain thresholds. Add MAE, intensity-stratified and quantile errors, area-total bias, peak and location errors, and scale-aware spatial scores such as fractions skill score and SAL.</w:t>
      </w:r>
    </w:p>
    <w:p>
      <w:pPr>
        <w:pStyle w:val="BodyText"/>
        <w:widowControl/>
      </w:pPr>
      <w:r>
        <w:t>For a hydrology journal, include catchment-average rainfall, accumulated volume, and a rainfall-runoff or urban-drainage experiment with peak flow, timing, and volume. Otherwise remove statements implying demonstrated flood-forecast or drainage benefit.</w:t>
      </w:r>
    </w:p>
    <w:p>
      <w:pPr>
        <w:pStyle w:val="Heading2"/>
        <w:widowControl/>
      </w:pPr>
      <w:r>
        <w:t>10 Interpretation of the oracle and objective traces</w:t>
      </w:r>
    </w:p>
    <w:p>
      <w:pPr>
        <w:pStyle w:val="BodyText"/>
        <w:widowControl/>
      </w:pPr>
      <w:r>
        <w:t>SOLVER(GT) uses the evaluation target as its initial state and is not an operational method or a best-case performance bound. It should be renamed 'oracle-initialized landscape diagnostic' and removed from hypothesis tests and ordinary performance rankings. Report objective and RMSE both before and after optimization to show how the chosen prior moves the solution away from the reference.</w:t>
      </w:r>
    </w:p>
    <w:p>
      <w:pPr>
        <w:pStyle w:val="BodyText"/>
        <w:widowControl/>
      </w:pPr>
      <w:r>
        <w:t>Section 8 appears to compare objective values from different problems: the oracle run minimizes the original-link objective, while the convex solver minimizes a virtual-link objective. Values such as 1.485 and 0.265 are not comparable unless both final fields are re-evaluated with the same J_1 and identical weights. Define J_lambda explicitly, keep solver-internal traces separate, and evaluate every final field under a common objective before claiming that lower objective can imply worse rainfall RMSE.</w:t>
      </w:r>
    </w:p>
    <w:p>
      <w:pPr>
        <w:pStyle w:val="BodyText"/>
        <w:widowControl/>
      </w:pPr>
      <w:r>
        <w:t>The identical rounded rainfall metrics for convex and homotopy methods indicate that continuation has no demonstrated map-level benefit. Table 10 shows a smaller in-sample attenuation residual for homotopy, but that is not independent validation. Either establish a material advantage through held-out data, robustness, convergence, or runtime, or simplify the paper around the convex regularized estimator.</w:t>
      </w:r>
    </w:p>
    <w:p>
      <w:pPr>
        <w:pStyle w:val="Heading2"/>
        <w:widowControl/>
      </w:pPr>
      <w:r>
        <w:t>11 Reproducibility and benchmark release</w:t>
      </w:r>
    </w:p>
    <w:p>
      <w:pPr>
        <w:pStyle w:val="BodyText"/>
        <w:widowControl/>
      </w:pPr>
      <w:r>
        <w:t>A paper centered on a benchmark must make the benchmark independently reproducible. Add a data and code availability section with a persistent version, license, and fixed development and test splits. Cite the exact EURADCLIM dataset version and DOI rather than only the version 1 data-description paper; the 2023 scenes require a later dataset version.</w:t>
      </w:r>
    </w:p>
    <w:p>
      <w:pPr>
        <w:pStyle w:val="ListBullet"/>
        <w:widowControl/>
        <w:spacing w:after="60"/>
      </w:pPr>
      <w:r>
        <w:t>Specify the local-averaging kernel, threshold, connectivity, size bounds, padding, overlap removal, missing-data mask, projection, and all accepted or rejected patch counts.</w:t>
      </w:r>
    </w:p>
    <w:p>
      <w:pPr>
        <w:pStyle w:val="ListBullet"/>
        <w:widowControl/>
        <w:spacing w:after="60"/>
      </w:pPr>
      <w:r>
        <w:t>Specify the upsampling interpolation, Gaussian boundary mode, link-to-pixel intersection algorithm, coordinate transformation, crop rules, path multiplicity, and treatment of boundary-crossing paths.</w:t>
      </w:r>
    </w:p>
    <w:p>
      <w:pPr>
        <w:pStyle w:val="ListBullet"/>
        <w:widowControl/>
        <w:spacing w:after="60"/>
      </w:pPr>
      <w:r>
        <w:t>Report SciPy and library versions, analytic-gradient setting, maxiter, maxcor, ftol, gtol, line-search controls, homotopy schedule, initial fields, stopping status, random seeds, hardware, runtime, and memory.</w:t>
      </w:r>
    </w:p>
    <w:p>
      <w:pPr>
        <w:pStyle w:val="ListBullet"/>
        <w:widowControl/>
        <w:spacing w:after="60"/>
      </w:pPr>
      <w:r>
        <w:t>Release patch identifiers, timestamps, coordinates, storm-group labels, reference values, physical path IDs, link-frequency metadata, attenuation data, and evaluation scripts.</w:t>
      </w:r>
    </w:p>
    <w:p>
      <w:pPr>
        <w:pStyle w:val="Heading1"/>
        <w:widowControl/>
      </w:pPr>
      <w:r>
        <w:t>Clarity organization and visual presentation</w:t>
      </w:r>
    </w:p>
    <w:p>
      <w:pPr>
        <w:pStyle w:val="BodyText"/>
        <w:widowControl/>
      </w:pPr>
      <w:r>
        <w:t>The basic PDF rendering is technically sound: equations are sharp, body type is readable, and margins are consistent. The manuscript still reads as an internal draft and requires a complete editorial pass.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Location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Issue</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Recommended correction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Title and highlights</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'Learning Algorithms' is inaccurate; highlights may exceed journal limits.</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Use a title centered on regularized link-integral reconstruction and check the selected journal's highlight rules.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Abstract p 1</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About 320 words, repetitive, no numeric result, 'quantized' and 'well posed' are inaccurate.</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State the idealized OSSE scope, use 'spatially discretized,' report the main RMSE comparison, and narrow the conclusion.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Introduction pp 1 to 3</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Duplicate Introduction numbering, long sentences, visible notes, oversimplified radar discussion, and unsupported operational claims.</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Rewrite from the hydrometeorological problem to the literature gap and explicit study questions.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Sections 2 and 3</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The contributions overclaim novelty and Related Work contains almost no related work.</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Integrate a prior-art comparison and reduce contributions to defensible, tested advances.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Section 4 pp 3 to 4</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Event extraction, smoothing, link placement, dataset version, and selection are underspecified.</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Add a workflow diagram, exact algorithm, data lineage, and the 750-to-100 selection explanation.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Section 5 pp 4 to 5</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Orphan 'Patches' label and ambiguous counts of paths versus frequencies.</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Use a coherent benchmark-characteristics subsection and consistent experimental-unit terminology.</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Section 6 pp 5 to 9</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ILDW and the nonconvex formulation are incorrectly nested under IDW; Algorithm 1 says endpoint but tests midpoint.</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Renumber methods as peers, correct pseudocode, and add the missing forward and gradient equations.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Section 6 p 9</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Text says three strategies but lists four; 'total rainfall' conflicts with a mean-square penalty.</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Correct the count and rename the penalty everywhere.</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Figures 1 to 3</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Small graphics occupy nearly empty pages; maps lack enough attribution and geometry terminology.</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Enlarge and combine where sensible; add projection, scale, legend, basemap credit, and unique-path definitions.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Table 5</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Extremely wide and small; the final-bin count conflicts with Table 4.</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Use a distance-performance figure in the main text and move a corrected full table to supplement or landscape layout.</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Tables 6 to 11</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Many repetitive small tables and ambiguous categorical denominators.</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Consolidate effect sizes and intervals; remove the 'decision' column; use standard verification names.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Figures 4 and 5</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Broken axes and min-to-max whiskers obscure comparisons; bins differ from tables.</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Use a log scale or paired-difference distributions, robust whiskers, consistent bins, and accessible colors or symbols.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Figures 6 to 9</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Panels and labels are too small; link geometry is absent; oracle status is easy to miss.</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Add panel letters, larger fonts, links or coverage, 'reference' labels, and a prominent oracle designation.</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Float order</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Figures 4 to 9 appear after the references and after Appendix A begins.</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Fix float placement so every figure appears in or immediately after its body section, before references.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Discussion and conclusion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Too brief; 'stable and consistent' is untested; conclusion begins 'This journal draft.'</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Discuss identifiability, scale, failure modes, and uncertainty; end with quantified, conditional conclusions.</w:t>
            </w:r>
          </w:p>
        </w:tc>
      </w:tr>
      <w:tr>
        <w:trPr>
          <w:cantSplit/>
        </w:trP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References and declarations</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Long KNMI URL is clipped; formatting and data citations are incomplete.</w:t>
            </w:r>
          </w:p>
        </w:tc>
        <w:tc>
          <w:tcPr>
            <w:tcW w:type="dxa" w:w="468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Use DOI-based citations and add data/code availability, funding, competing interests, author roles, and map licenses.</w:t>
            </w:r>
          </w:p>
        </w:tc>
      </w:tr>
    </w:tbl>
    <w:p>
      <w:pPr>
        <w:widowControl/>
        <w:spacing w:after="0"/>
      </w:pPr>
    </w:p>
    <w:p>
      <w:pPr>
        <w:pStyle w:val="Heading1"/>
        <w:widowControl/>
      </w:pPr>
      <w:r>
        <w:t>Suggested manuscript structure</w:t>
      </w:r>
    </w:p>
    <w:p>
      <w:pPr>
        <w:pStyle w:val="BodyText"/>
        <w:widowControl/>
        <w:spacing w:after="60"/>
        <w:ind w:left="374" w:hanging="374"/>
      </w:pPr>
      <w:r>
        <w:rPr>
          <w:b/>
        </w:rPr>
        <w:t xml:space="preserve">1. </w:t>
      </w:r>
      <w:r>
        <w:t>Introduction with a narrow problem statement, literature gap, and study questions.</w:t>
      </w:r>
    </w:p>
    <w:p>
      <w:pPr>
        <w:pStyle w:val="BodyText"/>
        <w:widowControl/>
        <w:spacing w:after="60"/>
        <w:ind w:left="374" w:hanging="374"/>
      </w:pPr>
      <w:r>
        <w:rPr>
          <w:b/>
        </w:rPr>
        <w:t xml:space="preserve">2. </w:t>
      </w:r>
      <w:r>
        <w:t>Prior work with a comparison of point interpolation, multi-point methods, tomography, geostatistics, stochastic reconstruction, and modern learned priors.</w:t>
      </w:r>
    </w:p>
    <w:p>
      <w:pPr>
        <w:pStyle w:val="BodyText"/>
        <w:widowControl/>
        <w:spacing w:after="60"/>
        <w:ind w:left="374" w:hanging="374"/>
      </w:pPr>
      <w:r>
        <w:rPr>
          <w:b/>
        </w:rPr>
        <w:t xml:space="preserve">3. </w:t>
      </w:r>
      <w:r>
        <w:t>Data and OSSE design covering EURADCLIM version, event sampling, phase screen, network transformation, and forward-error scenarios.</w:t>
      </w:r>
    </w:p>
    <w:p>
      <w:pPr>
        <w:pStyle w:val="BodyText"/>
        <w:widowControl/>
        <w:spacing w:after="60"/>
        <w:ind w:left="374" w:hanging="374"/>
      </w:pPr>
      <w:r>
        <w:rPr>
          <w:b/>
        </w:rPr>
        <w:t xml:space="preserve">4. </w:t>
      </w:r>
      <w:r>
        <w:t>Inverse methods with the complete operator, regularizers, weight selection, solver, gradients, and computational complexity.</w:t>
      </w:r>
    </w:p>
    <w:p>
      <w:pPr>
        <w:pStyle w:val="BodyText"/>
        <w:widowControl/>
        <w:spacing w:after="60"/>
        <w:ind w:left="374" w:hanging="374"/>
      </w:pPr>
      <w:r>
        <w:rPr>
          <w:b/>
        </w:rPr>
        <w:t xml:space="preserve">5. </w:t>
      </w:r>
      <w:r>
        <w:t>Evaluation protocol with storm-level splits, tuned baselines, held-out paths, metrics, and inference.</w:t>
      </w:r>
    </w:p>
    <w:p>
      <w:pPr>
        <w:pStyle w:val="BodyText"/>
        <w:widowControl/>
        <w:spacing w:after="60"/>
        <w:ind w:left="374" w:hanging="374"/>
      </w:pPr>
      <w:r>
        <w:rPr>
          <w:b/>
        </w:rPr>
        <w:t xml:space="preserve">6. </w:t>
      </w:r>
      <w:r>
        <w:t>Results organized around ideal performance, robustness, network geometry, spatial scale, and computational cost.</w:t>
      </w:r>
    </w:p>
    <w:p>
      <w:pPr>
        <w:pStyle w:val="BodyText"/>
        <w:widowControl/>
        <w:spacing w:after="60"/>
        <w:ind w:left="374" w:hanging="374"/>
      </w:pPr>
      <w:r>
        <w:rPr>
          <w:b/>
        </w:rPr>
        <w:t xml:space="preserve">7. </w:t>
      </w:r>
      <w:r>
        <w:t>Discussion centered on identifiability, objective-prior effects, operational limitations, and journal-relevant applications.</w:t>
      </w:r>
    </w:p>
    <w:p>
      <w:pPr>
        <w:pStyle w:val="BodyText"/>
        <w:widowControl/>
        <w:spacing w:after="60"/>
        <w:ind w:left="374" w:hanging="374"/>
      </w:pPr>
      <w:r>
        <w:rPr>
          <w:b/>
        </w:rPr>
        <w:t xml:space="preserve">8. </w:t>
      </w:r>
      <w:r>
        <w:t>Conclusions with the main quantitative result and strict limits of validity.</w:t>
      </w:r>
    </w:p>
    <w:p>
      <w:pPr>
        <w:pStyle w:val="Heading1"/>
        <w:widowControl/>
      </w:pPr>
      <w:r>
        <w:t>Minimum experimental revision package</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Component</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Minimum credible addition</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What it resolves</w:t>
            </w:r>
          </w:p>
        </w:tc>
      </w:tr>
      <w:tr>
        <w:trPr>
          <w:cantSplit/>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Independent sampling</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Storm-grouped development and locked test sets spanning seasons; liquid-phase screening.</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Dependence, selection, mixed phase, and generality.</w:t>
            </w:r>
          </w:p>
        </w:tc>
      </w:tr>
      <w:tr>
        <w:trPr>
          <w:cantSplit/>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Spatial scale</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Primary evaluation at native 2 km plus aggregation-scale curves and upsampling sensitivity.</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Unsupported 125 m interpretation.</w:t>
            </w:r>
          </w:p>
        </w:tc>
      </w:tr>
      <w:tr>
        <w:trPr>
          <w:cantSplit/>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Observation realism</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Quantization, baseline and wet-antenna errors, coefficient mismatch, missing links, and outliers.</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Perfect-model bias and operational relevance.</w:t>
            </w:r>
          </w:p>
        </w:tc>
      </w:tr>
      <w:tr>
        <w:trPr>
          <w:cantSplit/>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Independent validation</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Held-out physical paths and at least one real CML-radar-gauge case if feasible.</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Circular in-sample attenuation fit.</w:t>
            </w:r>
          </w:p>
        </w:tc>
      </w:tr>
      <w:tr>
        <w:trPr>
          <w:cantSplit/>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Comparators</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Tuned IDW or kriging, GMZ-style path disaggregation, and Tikhonov or TV tomography.</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Weak baseline and novelty assessment.</w:t>
            </w:r>
          </w:p>
        </w:tc>
      </w:tr>
      <w:tr>
        <w:trPr>
          <w:cantSplit/>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Ablation and stability</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Penalty ablations, fixed versus adaptive weights, grid sensitivity, multiple starts, and homotopy-stage sensitivity.</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Attribution of gains and solver reliability.</w:t>
            </w:r>
          </w:p>
        </w:tc>
      </w:tr>
      <w:tr>
        <w:trPr>
          <w:cantSplit/>
        </w:trPr>
        <w:tc>
          <w:tcPr>
            <w:tcW w:type="dxa" w:w="1944"/>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Verification</w:t>
            </w:r>
          </w:p>
        </w:tc>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Storm-cluster confidence intervals, standard categorical scores, spatial-scale scores, extremes, and runtime.</w:t>
            </w:r>
          </w:p>
        </w:tc>
        <w:tc>
          <w:tcPr>
            <w:tcW w:type="dxa" w:w="360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Community-standard evidence.</w:t>
            </w:r>
          </w:p>
        </w:tc>
      </w:tr>
    </w:tbl>
    <w:p>
      <w:pPr>
        <w:widowControl/>
        <w:spacing w:after="0"/>
      </w:pPr>
    </w:p>
    <w:p>
      <w:pPr>
        <w:pStyle w:val="Heading1"/>
        <w:widowControl/>
      </w:pPr>
      <w:r>
        <w:t>Journal positioning</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Journal community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Fit after revision</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1F4E78"/>
          </w:tcPr>
          <w:p>
            <w:pPr>
              <w:spacing w:after="0" w:line="240" w:lineRule="auto"/>
            </w:pPr>
            <w:r>
              <w:rPr>
                <w:rFonts w:ascii="Arial" w:hAnsi="Arial"/>
                <w:b/>
                <w:color w:val="FFFFFF"/>
                <w:sz w:val="18"/>
              </w:rPr>
              <w:t>What that audience will require</w:t>
            </w:r>
          </w:p>
        </w:tc>
      </w:tr>
      <w:tr>
        <w:trPr>
          <w:cantSplit/>
        </w:trP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Journal of Hydrometeorology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Plausible and probably the best broad fit</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Broader storm climatology, phase screening, scale-aware precipitation verification, uncertainty, and preferably real CML validation.</w:t>
            </w:r>
          </w:p>
        </w:tc>
      </w:tr>
      <w:tr>
        <w:trPr>
          <w:cantSplit/>
        </w:trP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Atmospheric Measurement Techniques or Journal of Atmospheric and Oceanic Technology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Strong fit if treated as a retrieval or measurement paper</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A full CML error budget, sensitivity to hardware and preprocessing, independent validation, and reproducible data and code.</w:t>
            </w:r>
          </w:p>
        </w:tc>
      </w:tr>
      <w:tr>
        <w:trPr>
          <w:cantSplit/>
        </w:trP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Hydrology and Earth System Sciences</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Weak in the present form</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A hydrological question, catchment-scale rainfall, runoff consequences, and uncertainty propagation rather than only image reconstruction.</w:t>
            </w:r>
          </w:p>
        </w:tc>
      </w:tr>
      <w:tr>
        <w:trPr>
          <w:cantSplit/>
        </w:trP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Water Resources Research or Journal of Hydrology</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Possible only after substantial expansion</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shd w:fill="EAF2F8"/>
          </w:tcPr>
          <w:p>
            <w:pPr>
              <w:spacing w:after="0" w:line="240" w:lineRule="auto"/>
            </w:pPr>
            <w:r>
              <w:rPr>
                <w:rFonts w:ascii="Arial" w:hAnsi="Arial"/>
                <w:sz w:val="18"/>
              </w:rPr>
              <w:t>Clear water-science advance, strong inverse-method novelty, broad validation, and downstream hydrological relevance.</w:t>
            </w:r>
          </w:p>
        </w:tc>
      </w:tr>
      <w:tr>
        <w:trPr>
          <w:cantSplit/>
        </w:trP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Inverse methods or remote-sensing venue</w:t>
            </w:r>
          </w:p>
        </w:tc>
        <w:tc>
          <w:tcPr>
            <w:tcW w:type="dxa" w:w="2448"/>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Natural if the study remains synthetic</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Mar>
              <w:top w:w="90" w:type="dxa"/>
              <w:start w:w="110" w:type="dxa"/>
              <w:bottom w:w="90" w:type="dxa"/>
              <w:end w:w="110" w:type="dxa"/>
            </w:tcMar>
          </w:tcPr>
          <w:p>
            <w:pPr>
              <w:spacing w:after="0" w:line="240" w:lineRule="auto"/>
            </w:pPr>
            <w:r>
              <w:rPr>
                <w:rFonts w:ascii="Arial" w:hAnsi="Arial"/>
                <w:sz w:val="18"/>
              </w:rPr>
              <w:t>Rigorous novelty against tomography, conditioning and uncertainty analysis, strong baselines, and complete reproducibility.</w:t>
            </w:r>
          </w:p>
        </w:tc>
      </w:tr>
    </w:tbl>
    <w:p>
      <w:pPr>
        <w:widowControl/>
        <w:spacing w:after="0"/>
      </w:pPr>
    </w:p>
    <w:p>
      <w:pPr>
        <w:pStyle w:val="BodyText"/>
        <w:widowControl/>
      </w:pPr>
      <w:r>
        <w:t>A suitable revised title would be 'Link-Aware Regularized Reconstruction of Rainfall Fields from Commercial Microwave Links in an Idealized OSSE.' If a real-data experiment is added, 'Link-Aware Regularized Reconstruction of Rainfall Fields from Commercial Microwave Links' is adequate. Avoid 'learning' unless an actual learned component is introduced.</w:t>
      </w:r>
    </w:p>
    <w:p>
      <w:pPr>
        <w:pStyle w:val="Heading1"/>
        <w:widowControl/>
      </w:pPr>
      <w:r>
        <w:t>Priority order before submission</w:t>
      </w:r>
    </w:p>
    <w:p>
      <w:pPr>
        <w:pStyle w:val="BodyText"/>
        <w:widowControl/>
        <w:spacing w:after="60"/>
        <w:ind w:left="374" w:hanging="374"/>
      </w:pPr>
      <w:r>
        <w:rPr>
          <w:b/>
        </w:rPr>
        <w:t xml:space="preserve">1. </w:t>
      </w:r>
      <w:r>
        <w:t>Decide the paper's claim: idealized inverse-method study or operational rainfall-retrieval study.</w:t>
      </w:r>
    </w:p>
    <w:p>
      <w:pPr>
        <w:pStyle w:val="BodyText"/>
        <w:widowControl/>
        <w:spacing w:after="60"/>
        <w:ind w:left="374" w:hanging="374"/>
      </w:pPr>
      <w:r>
        <w:rPr>
          <w:b/>
        </w:rPr>
        <w:t xml:space="preserve">2. </w:t>
      </w:r>
      <w:r>
        <w:t>Rebuild the prior-art section and reframe novelty against nonlinear tomography and path-aware reconstruction.</w:t>
      </w:r>
    </w:p>
    <w:p>
      <w:pPr>
        <w:pStyle w:val="BodyText"/>
        <w:widowControl/>
        <w:spacing w:after="60"/>
        <w:ind w:left="374" w:hanging="374"/>
      </w:pPr>
      <w:r>
        <w:rPr>
          <w:b/>
        </w:rPr>
        <w:t xml:space="preserve">3. </w:t>
      </w:r>
      <w:r>
        <w:t>Correct the convexity, boundary differentiability, loss scaling, objective-comparison, and path-multiplicity issues.</w:t>
      </w:r>
    </w:p>
    <w:p>
      <w:pPr>
        <w:pStyle w:val="BodyText"/>
        <w:widowControl/>
        <w:spacing w:after="60"/>
        <w:ind w:left="374" w:hanging="374"/>
      </w:pPr>
      <w:r>
        <w:rPr>
          <w:b/>
        </w:rPr>
        <w:t xml:space="preserve">4. </w:t>
      </w:r>
      <w:r>
        <w:t>Create storm-level development and test sets; evaluate at native support and add realistic forward-model mismatch.</w:t>
      </w:r>
    </w:p>
    <w:p>
      <w:pPr>
        <w:pStyle w:val="BodyText"/>
        <w:widowControl/>
        <w:spacing w:after="60"/>
        <w:ind w:left="374" w:hanging="374"/>
      </w:pPr>
      <w:r>
        <w:rPr>
          <w:b/>
        </w:rPr>
        <w:t xml:space="preserve">5. </w:t>
      </w:r>
      <w:r>
        <w:t>Add competitive baselines, penalty ablations, held-out-path validation, uncertainty, and stability diagnostics.</w:t>
      </w:r>
    </w:p>
    <w:p>
      <w:pPr>
        <w:pStyle w:val="BodyText"/>
        <w:widowControl/>
        <w:spacing w:after="60"/>
        <w:ind w:left="374" w:hanging="374"/>
      </w:pPr>
      <w:r>
        <w:rPr>
          <w:b/>
        </w:rPr>
        <w:t xml:space="preserve">6. </w:t>
      </w:r>
      <w:r>
        <w:t>Only then rewrite the abstract, introduction, discussion, conclusion, tables, and figures and perform a full copyedit.</w:t>
      </w:r>
    </w:p>
    <w:p>
      <w:pPr>
        <w:pStyle w:val="Heading1"/>
        <w:widowControl/>
      </w:pPr>
      <w:r>
        <w:t>Selected literature that must be addressed</w:t>
      </w:r>
    </w:p>
    <w:p>
      <w:pPr>
        <w:pStyle w:val="SmallNote"/>
        <w:widowControl/>
        <w:ind w:left="288" w:hanging="288"/>
      </w:pPr>
      <w:r>
        <w:t>Giuli, D., Toccafondi, A., Gentili, G. B., and Freni, A. (1991). Tomographic reconstruction of rainfall fields through microwave attenuation measurements. Journal of Applied Meteorology, 30, 1323-1340. doi:10.1175/1520-0450(1991)030&lt;1323:TRORFT&gt;2.0.CO;2.</w:t>
      </w:r>
    </w:p>
    <w:p>
      <w:pPr>
        <w:pStyle w:val="SmallNote"/>
        <w:widowControl/>
        <w:ind w:left="288" w:hanging="288"/>
      </w:pPr>
      <w:r>
        <w:t>Zinevich, A., Alpert, P., and Messer, H. (2008). Estimation of rainfall fields using commercial microwave communication networks of variable density. Advances in Water Resources, 31, 1470-1480. doi:10.1016/j.advwatres.2008.03.003.</w:t>
      </w:r>
    </w:p>
    <w:p>
      <w:pPr>
        <w:pStyle w:val="SmallNote"/>
        <w:widowControl/>
        <w:ind w:left="288" w:hanging="288"/>
      </w:pPr>
      <w:r>
        <w:t>Goldshtein, O., Messer, H., and Zinevich, A. (2009). Rain rate estimation using measurements from commercial telecommunications links. IEEE Transactions on Signal Processing, 57, 1616-1625. doi:10.1109/TSP.2009.2012554.</w:t>
      </w:r>
    </w:p>
    <w:p>
      <w:pPr>
        <w:pStyle w:val="SmallNote"/>
        <w:widowControl/>
        <w:ind w:left="288" w:hanging="288"/>
      </w:pPr>
      <w:r>
        <w:t>D'Amico, M., Manzoni, A., and Solazzi, G. (2016). Use of operational microwave link measurements for the tomographic reconstruction of 2-D maps of accumulated rainfall. IEEE Geoscience and Remote Sensing Letters, 13, 1827-1831. doi:10.1109/LGRS.2016.2614326.</w:t>
      </w:r>
    </w:p>
    <w:p>
      <w:pPr>
        <w:pStyle w:val="SmallNote"/>
        <w:widowControl/>
        <w:ind w:left="288" w:hanging="288"/>
      </w:pPr>
      <w:r>
        <w:t>Haese, B., Hoerning, S., Chwala, C., Bardossy, A., Schalge, B., and Kunstmann, H. (2017). Stochastic reconstruction and interpolation of precipitation fields using combined information of commercial microwave links and rain gauges. Water Resources Research, 53. doi:10.1002/2017WR021015.</w:t>
      </w:r>
    </w:p>
    <w:p>
      <w:pPr>
        <w:pStyle w:val="SmallNote"/>
        <w:widowControl/>
        <w:ind w:left="288" w:hanging="288"/>
      </w:pPr>
      <w:r>
        <w:t>Blettner, N. et al. (2022). Combining commercial microwave link and rain gauge observations to estimate countrywide precipitation. Water Resources Research, 58. doi:10.1029/2022WR032563.</w:t>
      </w:r>
    </w:p>
    <w:p>
      <w:pPr>
        <w:pStyle w:val="SmallNote"/>
        <w:widowControl/>
        <w:ind w:left="288" w:hanging="288"/>
      </w:pPr>
      <w:r>
        <w:t>Fencl, M. and Schleiss, M. (2025). CLEAR: a new discrete multiplicative random cascade model for disaggregating path-integrated rainfall estimates from commercial microwave links. Atmospheric Measurement Techniques, 18, 4467-4482. doi:10.5194/amt-18-4467-2025.</w:t>
      </w:r>
    </w:p>
    <w:p>
      <w:pPr>
        <w:pStyle w:val="SmallNote"/>
        <w:widowControl/>
        <w:ind w:left="288" w:hanging="288"/>
      </w:pPr>
      <w:r>
        <w:t>Ji, S. et al. (2026). Rainfall field reconstruction from commercial microwave links via a conditional diffusion model. Water Resources Research. doi:10.1029/2025WR042876.</w:t>
      </w:r>
    </w:p>
    <w:p>
      <w:pPr>
        <w:pStyle w:val="SmallNote"/>
        <w:widowControl/>
        <w:ind w:left="288" w:hanging="288"/>
      </w:pPr>
      <w:r>
        <w:t>Overeem, A. et al. (2025). EURADCLIM version 3, 1 h precipitation accumulations. KNMI Data Platform. doi:10.21944/1rxx-ev62.</w:t>
      </w:r>
    </w:p>
    <w:p>
      <w:pPr>
        <w:pStyle w:val="Heading1"/>
        <w:widowControl/>
      </w:pPr>
      <w:r>
        <w:t>Final recommendation</w:t>
      </w:r>
    </w:p>
    <w:p>
      <w:pPr>
        <w:pStyle w:val="BodyText"/>
        <w:widowControl/>
      </w:pPr>
      <w:r>
        <w:rPr>
          <w:b/>
        </w:rPr>
        <w:t>Recommendation to the authors: major redevelopment before submission. If submitted unchanged, the visible draft artifacts alone create a high risk of desk rejection, and the scientific evaluation is not yet sufficient for a strong field journal. After the prior-art, mathematical, scale, realism, and validation issues are addressed, the work could become a useful methodological contribution. The strongest route is a transparent OSSE paper with rigorous robustness and identifiability analysis, preferably anchored by at least one real CML validation case.</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w:hAnsi="Arial"/>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Discrete Learning Algorithms for Precipitation Estimation from Commercial Microwave Links</dc:title>
  <dc:subject>Journal submission readiness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